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5eb0030cfe6e9437c5d9eb3d892087fd9290b8e"/>
    <w:p>
      <w:pPr>
        <w:pStyle w:val="Heading1"/>
      </w:pPr>
      <w:r>
        <w:t xml:space="preserve">Branded Oxybate Treatments for Idiopathic Hypersomnia</w:t>
      </w:r>
    </w:p>
    <w:bookmarkStart w:id="24" w:name="executive-summary"/>
    <w:p>
      <w:pPr>
        <w:pStyle w:val="Heading2"/>
      </w:pPr>
      <w:r>
        <w:t xml:space="preserve">Executive summary</w:t>
      </w:r>
    </w:p>
    <w:p>
      <w:pPr>
        <w:pStyle w:val="FirstParagraph"/>
      </w:pPr>
      <w:r>
        <w:t xml:space="preserve">The evidence base for branded oxybate therapy in idiopathic hypersomnia is not close.</w:t>
      </w:r>
      <w:r>
        <w:t xml:space="preserve"> </w:t>
      </w:r>
      <w:r>
        <w:rPr>
          <w:b/>
          <w:bCs/>
        </w:rPr>
        <w:t xml:space="preserve">Xywav</w:t>
      </w:r>
      <w:r>
        <w:t xml:space="preserve"> </w:t>
      </w:r>
      <w:r>
        <w:t xml:space="preserve">has the strongest overall evidence because it is the only branded oxybate with a dedicated registration-grade phase 3 IH program, a US adult IH indication, a published pivotal randomized-withdrawal trial, a 24-week open-label extension, and a subsequent phase 4 prospective study that adds objective sleep and functioning measures. The central caveat is methodological: the pivotal efficacy trial used an enriched randomized-withdrawal design, so it estimates maintenance of benefit among responders and tolerators more directly than de novo average treatment effect in an unselected IH population. Even after that downgrade, the body of evidence is still the deepest and most regulatorily validated.</w:t>
      </w:r>
      <w:r>
        <w:t xml:space="preserve"> </w:t>
      </w:r>
      <w:hyperlink r:id="rId21">
        <w:r>
          <w:rPr>
            <w:rStyle w:val="Hyperlink"/>
          </w:rPr>
          <w:t xml:space="preserve">[1]</w:t>
        </w:r>
      </w:hyperlink>
    </w:p>
    <w:p>
      <w:pPr>
        <w:pStyle w:val="BodyText"/>
      </w:pPr>
      <w:r>
        <w:rPr>
          <w:b/>
          <w:bCs/>
        </w:rPr>
        <w:t xml:space="preserve">Xyrem</w:t>
      </w:r>
      <w:r>
        <w:t xml:space="preserve"> </w:t>
      </w:r>
      <w:r>
        <w:t xml:space="preserve">is second. It has no IH indication in the US or EU materials I reviewed, but it now has a meaningful off-label evidence base: a 2025 randomized controlled trial showing clinically important benefit on IH severity and wakefulness, plus earlier retrospective real-world data showing benefit on sleepiness and severe morning inertia. The problem is not absence of signal. The problem is lack of replication, lack of an IH regulatory filing, thinner long-term prospective follow-up, and a less complete public regulatory evidence package for IH than exists for Xywav.</w:t>
      </w:r>
      <w:r>
        <w:t xml:space="preserve"> </w:t>
      </w:r>
      <w:hyperlink r:id="rId22">
        <w:r>
          <w:rPr>
            <w:rStyle w:val="Hyperlink"/>
          </w:rPr>
          <w:t xml:space="preserve">[2]</w:t>
        </w:r>
      </w:hyperlink>
    </w:p>
    <w:p>
      <w:pPr>
        <w:pStyle w:val="BodyText"/>
      </w:pPr>
      <w:r>
        <w:rPr>
          <w:b/>
          <w:bCs/>
        </w:rPr>
        <w:t xml:space="preserve">Lumryz</w:t>
      </w:r>
      <w:r>
        <w:t xml:space="preserve"> </w:t>
      </w:r>
      <w:r>
        <w:t xml:space="preserve">ranks third, not because once-nightly oxybate is uninteresting, but because as of the sources reviewed there were</w:t>
      </w:r>
      <w:r>
        <w:t xml:space="preserve"> </w:t>
      </w:r>
      <w:r>
        <w:rPr>
          <w:b/>
          <w:bCs/>
        </w:rPr>
        <w:t xml:space="preserve">no public IH efficacy results yet</w:t>
      </w:r>
      <w:r>
        <w:t xml:space="preserve">. Its IH evidence is currently developmental: an ongoing or recently fully enrolled phase 3 randomized-withdrawal trial, REVITALYZ, with top-line results expected in 2026 in company communications, but no public outcome data identified in the sources I reviewed. Any ranking above Xyrem would therefore be speculation.</w:t>
      </w:r>
      <w:r>
        <w:t xml:space="preserve"> </w:t>
      </w:r>
      <w:hyperlink r:id="rId23">
        <w:r>
          <w:rPr>
            <w:rStyle w:val="Hyperlink"/>
          </w:rPr>
          <w:t xml:space="preserve">[3]</w:t>
        </w:r>
      </w:hyperlink>
    </w:p>
    <w:p>
      <w:pPr>
        <w:pStyle w:val="BodyText"/>
      </w:pPr>
      <w:r>
        <w:t xml:space="preserve">If the question is</w:t>
      </w:r>
      <w:r>
        <w:t xml:space="preserve"> </w:t>
      </w:r>
      <w:r>
        <w:rPr>
          <w:b/>
          <w:bCs/>
        </w:rPr>
        <w:t xml:space="preserve">which branded oxybate has the strongest evidence base for IH today</w:t>
      </w:r>
      <w:r>
        <w:t xml:space="preserve">, the answer is</w:t>
      </w:r>
      <w:r>
        <w:t xml:space="preserve"> </w:t>
      </w:r>
      <w:r>
        <w:rPr>
          <w:b/>
          <w:bCs/>
        </w:rPr>
        <w:t xml:space="preserve">Xywav</w:t>
      </w:r>
      <w:r>
        <w:t xml:space="preserve">. If the question is</w:t>
      </w:r>
      <w:r>
        <w:t xml:space="preserve"> </w:t>
      </w:r>
      <w:r>
        <w:rPr>
          <w:b/>
          <w:bCs/>
        </w:rPr>
        <w:t xml:space="preserve">which lower-ranked product has the best chance to close the gap</w:t>
      </w:r>
      <w:r>
        <w:t xml:space="preserve">, the answer is</w:t>
      </w:r>
      <w:r>
        <w:t xml:space="preserve"> </w:t>
      </w:r>
      <w:r>
        <w:rPr>
          <w:b/>
          <w:bCs/>
        </w:rPr>
        <w:t xml:space="preserve">Lumryz</w:t>
      </w:r>
      <w:r>
        <w:t xml:space="preserve">, but only after public release of REVITALYZ data and, ideally, a head-to-head or robust comparative-effectiveness program against twice-nightly oxybate.</w:t>
      </w:r>
      <w:r>
        <w:t xml:space="preserve"> </w:t>
      </w:r>
      <w:hyperlink r:id="rId21">
        <w:r>
          <w:rPr>
            <w:rStyle w:val="Hyperlink"/>
          </w:rPr>
          <w:t xml:space="preserve">[4]</w:t>
        </w:r>
      </w:hyperlink>
    </w:p>
    <w:bookmarkEnd w:id="24"/>
    <w:bookmarkStart w:id="30" w:name="product-landscape-and-approval-status"/>
    <w:p>
      <w:pPr>
        <w:pStyle w:val="Heading2"/>
      </w:pPr>
      <w:r>
        <w:t xml:space="preserve">Product landscape and approval status</w:t>
      </w:r>
    </w:p>
    <w:p>
      <w:pPr>
        <w:pStyle w:val="FirstParagraph"/>
      </w:pPr>
      <w:r>
        <w:t xml:space="preserve">In the public regulatory and trial sources reviewed, the branded oxybate products with identifiable IH-specific relevance were</w:t>
      </w:r>
      <w:r>
        <w:t xml:space="preserve"> </w:t>
      </w:r>
      <w:r>
        <w:rPr>
          <w:b/>
          <w:bCs/>
        </w:rPr>
        <w:t xml:space="preserve">Xywav</w:t>
      </w:r>
      <w:r>
        <w:t xml:space="preserve">,</w:t>
      </w:r>
      <w:r>
        <w:t xml:space="preserve"> </w:t>
      </w:r>
      <w:r>
        <w:rPr>
          <w:b/>
          <w:bCs/>
        </w:rPr>
        <w:t xml:space="preserve">Xyrem</w:t>
      </w:r>
      <w:r>
        <w:t xml:space="preserve">, and</w:t>
      </w:r>
      <w:r>
        <w:t xml:space="preserve"> </w:t>
      </w:r>
      <w:r>
        <w:rPr>
          <w:b/>
          <w:bCs/>
        </w:rPr>
        <w:t xml:space="preserve">Lumryz</w:t>
      </w:r>
      <w:r>
        <w:t xml:space="preserve">. Xywav is the only product with a US IH indication. Xyrem has off-label IH use and now published trial data, but no IH indication in the regulatory materials I reviewed. Lumryz has an IH development program but no public IH results yet in the reviewed sources.</w:t>
      </w:r>
      <w:r>
        <w:t xml:space="preserve"> </w:t>
      </w:r>
      <w:hyperlink r:id="rId21">
        <w:r>
          <w:rPr>
            <w:rStyle w:val="Hyperlink"/>
          </w:rPr>
          <w:t xml:space="preserve">[5]</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Product</w:t>
            </w:r>
          </w:p>
        </w:tc>
        <w:tc>
          <w:tcPr/>
          <w:p>
            <w:pPr>
              <w:pStyle w:val="Compact"/>
            </w:pPr>
            <w:r>
              <w:t xml:space="preserve">Formulation</w:t>
            </w:r>
          </w:p>
        </w:tc>
        <w:tc>
          <w:tcPr/>
          <w:p>
            <w:pPr>
              <w:pStyle w:val="Compact"/>
            </w:pPr>
            <w:r>
              <w:t xml:space="preserve">US status</w:t>
            </w:r>
          </w:p>
        </w:tc>
        <w:tc>
          <w:tcPr/>
          <w:p>
            <w:pPr>
              <w:pStyle w:val="Compact"/>
            </w:pPr>
            <w:r>
              <w:t xml:space="preserve">EU status in reviewed official materials</w:t>
            </w:r>
          </w:p>
        </w:tc>
        <w:tc>
          <w:tcPr/>
          <w:p>
            <w:pPr>
              <w:pStyle w:val="Compact"/>
            </w:pPr>
            <w:r>
              <w:t xml:space="preserve">Other official status identified in this review</w:t>
            </w:r>
          </w:p>
        </w:tc>
        <w:tc>
          <w:tcPr/>
          <w:p>
            <w:pPr>
              <w:pStyle w:val="Compact"/>
            </w:pPr>
            <w:r>
              <w:t xml:space="preserve">IH-specific public evidence identified</w:t>
            </w:r>
          </w:p>
        </w:tc>
        <w:tc>
          <w:tcPr/>
          <w:p>
            <w:pPr>
              <w:pStyle w:val="Compact"/>
            </w:pPr>
            <w:r>
              <w:t xml:space="preserve">Bottom-line status for IH</w:t>
            </w:r>
          </w:p>
        </w:tc>
        <w:tc>
          <w:tcPr/>
          <w:p>
            <w:pPr>
              <w:pStyle w:val="Compact"/>
            </w:pPr>
            <w:r>
              <w:t xml:space="preserve">Sources</w:t>
            </w:r>
          </w:p>
        </w:tc>
      </w:tr>
      <w:tr>
        <w:tc>
          <w:tcPr/>
          <w:p>
            <w:pPr>
              <w:pStyle w:val="Compact"/>
            </w:pPr>
            <w:r>
              <w:t xml:space="preserve">Xywav</w:t>
            </w:r>
          </w:p>
        </w:tc>
        <w:tc>
          <w:tcPr/>
          <w:p>
            <w:pPr>
              <w:pStyle w:val="Compact"/>
            </w:pPr>
            <w:r>
              <w:t xml:space="preserve">Calcium, magnesium, potassium, and sodium oxybates, oral solution, once- or twice-nightly in adult IH</w:t>
            </w:r>
          </w:p>
        </w:tc>
        <w:tc>
          <w:tcPr/>
          <w:p>
            <w:pPr>
              <w:pStyle w:val="Compact"/>
            </w:pPr>
            <w:r>
              <w:t xml:space="preserve">In the United States</w:t>
            </w:r>
            <w:hyperlink r:id="rId21">
              <w:r>
                <w:rPr>
                  <w:rStyle w:val="Hyperlink"/>
                </w:rPr>
                <w:t xml:space="preserve">[6]</w:t>
              </w:r>
            </w:hyperlink>
            <w:r>
              <w:t xml:space="preserve">, approved by the FDA</w:t>
            </w:r>
            <w:hyperlink r:id="rId25">
              <w:r>
                <w:rPr>
                  <w:rStyle w:val="Hyperlink"/>
                </w:rPr>
                <w:t xml:space="preserve">[7]</w:t>
              </w:r>
            </w:hyperlink>
            <w:r>
              <w:t xml:space="preserve"> </w:t>
            </w:r>
            <w:r>
              <w:t xml:space="preserve">for IH in adults; approval announced August 2021</w:t>
            </w:r>
          </w:p>
        </w:tc>
        <w:tc>
          <w:tcPr/>
          <w:p>
            <w:pPr>
              <w:pStyle w:val="Compact"/>
            </w:pPr>
            <w:r>
              <w:t xml:space="preserve">I did</w:t>
            </w:r>
            <w:r>
              <w:t xml:space="preserve"> </w:t>
            </w:r>
            <w:r>
              <w:rPr>
                <w:b/>
                <w:bCs/>
              </w:rPr>
              <w:t xml:space="preserve">not</w:t>
            </w:r>
            <w:r>
              <w:t xml:space="preserve"> </w:t>
            </w:r>
            <w:r>
              <w:t xml:space="preserve">identify a public European Medicines Agency</w:t>
            </w:r>
            <w:hyperlink r:id="rId26">
              <w:r>
                <w:rPr>
                  <w:rStyle w:val="Hyperlink"/>
                </w:rPr>
                <w:t xml:space="preserve">[8]</w:t>
              </w:r>
            </w:hyperlink>
            <w:r>
              <w:t xml:space="preserve"> </w:t>
            </w:r>
            <w:r>
              <w:t xml:space="preserve">EPAR showing an IH indication; no EU IH authorization was identified in the official materials reviewed</w:t>
            </w:r>
          </w:p>
        </w:tc>
        <w:tc>
          <w:tcPr/>
          <w:p>
            <w:pPr>
              <w:pStyle w:val="Compact"/>
            </w:pPr>
            <w:r>
              <w:t xml:space="preserve">In Canada</w:t>
            </w:r>
            <w:hyperlink r:id="rId27">
              <w:r>
                <w:rPr>
                  <w:rStyle w:val="Hyperlink"/>
                </w:rPr>
                <w:t xml:space="preserve">[9]</w:t>
              </w:r>
            </w:hyperlink>
            <w:r>
              <w:t xml:space="preserve">, marketed via Health Canada</w:t>
            </w:r>
            <w:hyperlink r:id="rId21">
              <w:r>
                <w:rPr>
                  <w:rStyle w:val="Hyperlink"/>
                </w:rPr>
                <w:t xml:space="preserve">[10]</w:t>
              </w:r>
            </w:hyperlink>
            <w:r>
              <w:t xml:space="preserve">, but the product monograph reviewed indicates</w:t>
            </w:r>
            <w:r>
              <w:t xml:space="preserve"> </w:t>
            </w:r>
            <w:r>
              <w:rPr>
                <w:b/>
                <w:bCs/>
              </w:rPr>
              <w:t xml:space="preserve">cataplexy in narcolepsy only</w:t>
            </w:r>
            <w:r>
              <w:t xml:space="preserve">, not IH</w:t>
            </w:r>
          </w:p>
        </w:tc>
        <w:tc>
          <w:tcPr/>
          <w:p>
            <w:pPr>
              <w:pStyle w:val="Compact"/>
            </w:pPr>
            <w:r>
              <w:t xml:space="preserve">Pivotal phase 3 randomized-withdrawal trial, open-label titration paper, 24-week OLE, phase 4 DUET study; conference-level real-world survey signals also exist</w:t>
            </w:r>
          </w:p>
        </w:tc>
        <w:tc>
          <w:tcPr/>
          <w:p>
            <w:pPr>
              <w:pStyle w:val="Compact"/>
            </w:pPr>
            <w:r>
              <w:rPr>
                <w:b/>
                <w:bCs/>
              </w:rPr>
              <w:t xml:space="preserve">Approved and best-supported</w:t>
            </w:r>
          </w:p>
        </w:tc>
        <w:tc>
          <w:tcPr/>
          <w:p>
            <w:pPr>
              <w:pStyle w:val="Compact"/>
            </w:pPr>
            <w:hyperlink r:id="rId28">
              <w:r>
                <w:rPr>
                  <w:rStyle w:val="Hyperlink"/>
                </w:rPr>
                <w:t xml:space="preserve">[11]</w:t>
              </w:r>
            </w:hyperlink>
          </w:p>
        </w:tc>
      </w:tr>
      <w:tr>
        <w:tc>
          <w:tcPr/>
          <w:p>
            <w:pPr>
              <w:pStyle w:val="Compact"/>
            </w:pPr>
            <w:r>
              <w:t xml:space="preserve">Xyrem</w:t>
            </w:r>
          </w:p>
        </w:tc>
        <w:tc>
          <w:tcPr/>
          <w:p>
            <w:pPr>
              <w:pStyle w:val="Compact"/>
            </w:pPr>
            <w:r>
              <w:t xml:space="preserve">Sodium oxybate immediate-release oral solution, twice nightly</w:t>
            </w:r>
          </w:p>
        </w:tc>
        <w:tc>
          <w:tcPr/>
          <w:p>
            <w:pPr>
              <w:pStyle w:val="Compact"/>
            </w:pPr>
            <w:r>
              <w:t xml:space="preserve">US label reviewed shows narcolepsy cataplexy or EDS only, not IH</w:t>
            </w:r>
          </w:p>
        </w:tc>
        <w:tc>
          <w:tcPr/>
          <w:p>
            <w:pPr>
              <w:pStyle w:val="Compact"/>
            </w:pPr>
            <w:r>
              <w:t xml:space="preserve">EMA EPAR reviewed shows narcolepsy with cataplexy, not IH</w:t>
            </w:r>
          </w:p>
        </w:tc>
        <w:tc>
          <w:tcPr/>
          <w:p>
            <w:pPr>
              <w:pStyle w:val="Compact"/>
            </w:pPr>
            <w:r>
              <w:t xml:space="preserve">Canada monograph reviewed shows cataplexy in narcolepsy only</w:t>
            </w:r>
          </w:p>
        </w:tc>
        <w:tc>
          <w:tcPr/>
          <w:p>
            <w:pPr>
              <w:pStyle w:val="Compact"/>
            </w:pPr>
            <w:r>
              <w:t xml:space="preserve">2025 academic RCT in adult IH, 2016 retrospective chart review, AASM guideline support for off-label adult IH use</w:t>
            </w:r>
          </w:p>
        </w:tc>
        <w:tc>
          <w:tcPr/>
          <w:p>
            <w:pPr>
              <w:pStyle w:val="Compact"/>
            </w:pPr>
            <w:r>
              <w:rPr>
                <w:b/>
                <w:bCs/>
              </w:rPr>
              <w:t xml:space="preserve">Off-label, meaningful but weaker evidence</w:t>
            </w:r>
          </w:p>
        </w:tc>
        <w:tc>
          <w:tcPr/>
          <w:p>
            <w:pPr>
              <w:pStyle w:val="Compact"/>
            </w:pPr>
            <w:hyperlink r:id="rId22">
              <w:r>
                <w:rPr>
                  <w:rStyle w:val="Hyperlink"/>
                </w:rPr>
                <w:t xml:space="preserve">[12]</w:t>
              </w:r>
            </w:hyperlink>
          </w:p>
        </w:tc>
      </w:tr>
      <w:tr>
        <w:tc>
          <w:tcPr/>
          <w:p>
            <w:pPr>
              <w:pStyle w:val="Compact"/>
            </w:pPr>
            <w:r>
              <w:t xml:space="preserve">Lumryz</w:t>
            </w:r>
          </w:p>
        </w:tc>
        <w:tc>
          <w:tcPr/>
          <w:p>
            <w:pPr>
              <w:pStyle w:val="Compact"/>
            </w:pPr>
            <w:r>
              <w:t xml:space="preserve">Sodium oxybate extended-release oral suspension, once nightly</w:t>
            </w:r>
          </w:p>
        </w:tc>
        <w:tc>
          <w:tcPr/>
          <w:p>
            <w:pPr>
              <w:pStyle w:val="Compact"/>
            </w:pPr>
            <w:r>
              <w:t xml:space="preserve">US label reviewed shows narcolepsy cataplexy or EDS only, now in patients aged 7 years and older, not IH</w:t>
            </w:r>
          </w:p>
        </w:tc>
        <w:tc>
          <w:tcPr/>
          <w:p>
            <w:pPr>
              <w:pStyle w:val="Compact"/>
            </w:pPr>
            <w:r>
              <w:t xml:space="preserve">No EMA product record for IH was identified in the official materials reviewed</w:t>
            </w:r>
          </w:p>
        </w:tc>
        <w:tc>
          <w:tcPr/>
          <w:p>
            <w:pPr>
              <w:pStyle w:val="Compact"/>
            </w:pPr>
            <w:r>
              <w:t xml:space="preserve">No Canada authorization identified in the official materials reviewed</w:t>
            </w:r>
          </w:p>
        </w:tc>
        <w:tc>
          <w:tcPr/>
          <w:p>
            <w:pPr>
              <w:pStyle w:val="Compact"/>
            </w:pPr>
            <w:r>
              <w:t xml:space="preserve">Ongoing or recently fully enrolled phase 3 IH trial, REVITALYZ; no public IH efficacy results identified in reviewed sources</w:t>
            </w:r>
          </w:p>
        </w:tc>
        <w:tc>
          <w:tcPr/>
          <w:p>
            <w:pPr>
              <w:pStyle w:val="Compact"/>
            </w:pPr>
            <w:r>
              <w:rPr>
                <w:b/>
                <w:bCs/>
              </w:rPr>
              <w:t xml:space="preserve">Investigational for IH, insufficient evidence</w:t>
            </w:r>
          </w:p>
        </w:tc>
        <w:tc>
          <w:tcPr/>
          <w:p>
            <w:pPr>
              <w:pStyle w:val="Compact"/>
            </w:pPr>
            <w:hyperlink r:id="rId23">
              <w:r>
                <w:rPr>
                  <w:rStyle w:val="Hyperlink"/>
                </w:rPr>
                <w:t xml:space="preserve">[13]</w:t>
              </w:r>
            </w:hyperlink>
          </w:p>
        </w:tc>
      </w:tr>
    </w:tbl>
    <w:bookmarkStart w:id="29" w:name="Xd859115f773bbfc545dab76b2e73d8b377ab869"/>
    <w:p>
      <w:pPr>
        <w:pStyle w:val="Heading3"/>
      </w:pPr>
      <w:r>
        <w:t xml:space="preserve">Regulatory document set actually retrievable</w:t>
      </w:r>
    </w:p>
    <w:p>
      <w:pPr>
        <w:pStyle w:val="FirstParagraph"/>
      </w:pPr>
      <w:r>
        <w:t xml:space="preserve">For Xywav, the high-confidence regulatory sources I could retrieve were the FDA label and FDA approval communication, plus Canadian product information and monograph. For Xyrem, I could retrieve US labeling, Canadian labeling, and EMA EPAR and product information. For Lumryz, I could retrieve current FDA labeling and FDA review documents for narcolepsy, plus company and SEC materials describing the IH development program. I did</w:t>
      </w:r>
      <w:r>
        <w:t xml:space="preserve"> </w:t>
      </w:r>
      <w:r>
        <w:rPr>
          <w:b/>
          <w:bCs/>
        </w:rPr>
        <w:t xml:space="preserve">not</w:t>
      </w:r>
      <w:r>
        <w:t xml:space="preserve"> </w:t>
      </w:r>
      <w:r>
        <w:t xml:space="preserve">reliably retrieve a publicly parsed FDA multidisciplinary review for the Xywav IH supplement, so the regulatory synthesis for Xywav relies mainly on label-level and approval-level materials rather than a full FDA clinical review.</w:t>
      </w:r>
      <w:r>
        <w:t xml:space="preserve"> </w:t>
      </w:r>
      <w:hyperlink r:id="rId21">
        <w:r>
          <w:rPr>
            <w:rStyle w:val="Hyperlink"/>
          </w:rPr>
          <w:t xml:space="preserve">[14]</w:t>
        </w:r>
      </w:hyperlink>
    </w:p>
    <w:bookmarkEnd w:id="29"/>
    <w:bookmarkEnd w:id="30"/>
    <w:bookmarkStart w:id="38" w:name="study-level-evidence"/>
    <w:p>
      <w:pPr>
        <w:pStyle w:val="Heading2"/>
      </w:pPr>
      <w:r>
        <w:t xml:space="preserve">Study-level evidence</w:t>
      </w:r>
    </w:p>
    <w:p>
      <w:pPr>
        <w:pStyle w:val="SourceCode"/>
      </w:pPr>
      <w:r>
        <w:rPr>
          <w:rStyle w:val="VerbatimChar"/>
        </w:rPr>
        <w:t xml:space="preserve">timeline</w:t>
      </w:r>
      <w:r>
        <w:br/>
      </w:r>
      <w:r>
        <w:rPr>
          <w:rStyle w:val="VerbatimChar"/>
        </w:rPr>
        <w:t xml:space="preserve">    title IH oxybate evidence and regulatory milestones</w:t>
      </w:r>
      <w:r>
        <w:br/>
      </w:r>
      <w:r>
        <w:rPr>
          <w:rStyle w:val="VerbatimChar"/>
        </w:rPr>
        <w:t xml:space="preserve">    2016 : Xyrem off-label IH chart review published</w:t>
      </w:r>
      <w:r>
        <w:br/>
      </w:r>
      <w:r>
        <w:rPr>
          <w:rStyle w:val="VerbatimChar"/>
        </w:rPr>
        <w:t xml:space="preserve">    2018 : Xywav phase 3 IH program initiated</w:t>
      </w:r>
      <w:r>
        <w:br/>
      </w:r>
      <w:r>
        <w:rPr>
          <w:rStyle w:val="VerbatimChar"/>
        </w:rPr>
        <w:t xml:space="preserve">    2021 : FDA approves Xywav for adult IH</w:t>
      </w:r>
      <w:r>
        <w:br/>
      </w:r>
      <w:r>
        <w:rPr>
          <w:rStyle w:val="VerbatimChar"/>
        </w:rPr>
        <w:t xml:space="preserve">    2022 : Xywav pivotal phase 3 trial and open-label titration paper published</w:t>
      </w:r>
      <w:r>
        <w:br/>
      </w:r>
      <w:r>
        <w:rPr>
          <w:rStyle w:val="VerbatimChar"/>
        </w:rPr>
        <w:t xml:space="preserve">    2023 : Xywav 24-week open-label extension published</w:t>
      </w:r>
      <w:r>
        <w:br/>
      </w:r>
      <w:r>
        <w:rPr>
          <w:rStyle w:val="VerbatimChar"/>
        </w:rPr>
        <w:t xml:space="preserve">    2025 : Xyrem academic IH RCT published</w:t>
      </w:r>
      <w:r>
        <w:br/>
      </w:r>
      <w:r>
        <w:rPr>
          <w:rStyle w:val="VerbatimChar"/>
        </w:rPr>
        <w:t xml:space="preserve">    2025 : Lumryz REVITALYZ completes enrollment</w:t>
      </w:r>
      <w:r>
        <w:br/>
      </w:r>
      <w:r>
        <w:rPr>
          <w:rStyle w:val="VerbatimChar"/>
        </w:rPr>
        <w:t xml:space="preserve">    2026 : Xywav DUET phase 4 IH results published</w:t>
      </w:r>
    </w:p>
    <w:p>
      <w:pPr>
        <w:pStyle w:val="FirstParagraph"/>
      </w:pPr>
      <w:r>
        <w:t xml:space="preserve">The timeline above reflects the public trajectory of branded oxybate evidence in IH across the sources reviewed. It shows why the market and the evidence base are asymmetric: Xywav moved from registration trial to approval to longer-term and phase 4 confirmation; Xyrem accumulated later academic evidence without an IH label; Lumryz is still between development and public readout.</w:t>
      </w:r>
      <w:r>
        <w:t xml:space="preserve"> </w:t>
      </w:r>
      <w:hyperlink r:id="rId31">
        <w:r>
          <w:rPr>
            <w:rStyle w:val="Hyperlink"/>
          </w:rPr>
          <w:t xml:space="preserve">[15]</w:t>
        </w:r>
      </w:hyperlink>
    </w:p>
    <w:bookmarkStart w:id="34" w:name="xywav"/>
    <w:p>
      <w:pPr>
        <w:pStyle w:val="Heading3"/>
      </w:pPr>
      <w:r>
        <w:t xml:space="preserve">Xywav</w:t>
      </w:r>
    </w:p>
    <w:p>
      <w:pPr>
        <w:pStyle w:val="FirstParagraph"/>
      </w:pPr>
      <w:r>
        <w:t xml:space="preserve">Xywav is the only branded oxybate with a full, indication-specific IH development package that is both public and regulatory-facing. The pivotal evidence is a phase 3 double-blind placebo-controlled randomized-withdrawal study after open-label optimization, supported by an open-label titration paper, a 24-week open-label extension, and the phase 4 DUET prospective study. That body of evidence is internally consistent on subjective sleepiness and IH symptom burden, and DUET extends it into functioning, work impairment, cognition complaints, and actigraphy-derived sleep measures.</w:t>
      </w:r>
      <w:r>
        <w:t xml:space="preserve"> </w:t>
      </w:r>
      <w:hyperlink r:id="rId21">
        <w:r>
          <w:rPr>
            <w:rStyle w:val="Hyperlink"/>
          </w:rPr>
          <w:t xml:space="preserve">[16]</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Study</w:t>
            </w:r>
          </w:p>
        </w:tc>
        <w:tc>
          <w:tcPr/>
          <w:p>
            <w:pPr>
              <w:pStyle w:val="Compact"/>
            </w:pPr>
            <w:r>
              <w:t xml:space="preserve">Design</w:t>
            </w:r>
          </w:p>
        </w:tc>
        <w:tc>
          <w:tcPr/>
          <w:p>
            <w:pPr>
              <w:pStyle w:val="Compact"/>
              <w:jc w:val="right"/>
            </w:pPr>
            <w:r>
              <w:t xml:space="preserve">Sample size</w:t>
            </w:r>
          </w:p>
        </w:tc>
        <w:tc>
          <w:tcPr/>
          <w:p>
            <w:pPr>
              <w:pStyle w:val="Compact"/>
            </w:pPr>
            <w:r>
              <w:t xml:space="preserve">Inclusion and IH diagnostic criteria</w:t>
            </w:r>
          </w:p>
        </w:tc>
        <w:tc>
          <w:tcPr/>
          <w:p>
            <w:pPr>
              <w:pStyle w:val="Compact"/>
            </w:pPr>
            <w:r>
              <w:t xml:space="preserve">Dosing regimen</w:t>
            </w:r>
          </w:p>
        </w:tc>
        <w:tc>
          <w:tcPr/>
          <w:p>
            <w:pPr>
              <w:pStyle w:val="Compact"/>
            </w:pPr>
            <w:r>
              <w:t xml:space="preserve">Endpoints</w:t>
            </w:r>
          </w:p>
        </w:tc>
        <w:tc>
          <w:tcPr/>
          <w:p>
            <w:pPr>
              <w:pStyle w:val="Compact"/>
            </w:pPr>
            <w:r>
              <w:t xml:space="preserve">Results</w:t>
            </w:r>
          </w:p>
        </w:tc>
        <w:tc>
          <w:tcPr/>
          <w:p>
            <w:pPr>
              <w:pStyle w:val="Compact"/>
            </w:pPr>
            <w:r>
              <w:t xml:space="preserve">Safety</w:t>
            </w:r>
          </w:p>
        </w:tc>
        <w:tc>
          <w:tcPr/>
          <w:p>
            <w:pPr>
              <w:pStyle w:val="Compact"/>
            </w:pPr>
            <w:r>
              <w:t xml:space="preserve">Duration and main limitations</w:t>
            </w:r>
          </w:p>
        </w:tc>
        <w:tc>
          <w:tcPr/>
          <w:p>
            <w:pPr>
              <w:pStyle w:val="Compact"/>
            </w:pPr>
            <w:r>
              <w:t xml:space="preserve">Sources</w:t>
            </w:r>
          </w:p>
        </w:tc>
      </w:tr>
      <w:tr>
        <w:tc>
          <w:tcPr/>
          <w:p>
            <w:pPr>
              <w:pStyle w:val="Compact"/>
            </w:pPr>
            <w:r>
              <w:t xml:space="preserve">Study 2, NCT03533114, pivotal phase 3</w:t>
            </w:r>
          </w:p>
        </w:tc>
        <w:tc>
          <w:tcPr/>
          <w:p>
            <w:pPr>
              <w:pStyle w:val="Compact"/>
            </w:pPr>
            <w:r>
              <w:t xml:space="preserve">Multicenter, double-blind, placebo-controlled, randomized withdrawal after open-label titration and stable dose</w:t>
            </w:r>
          </w:p>
        </w:tc>
        <w:tc>
          <w:tcPr/>
          <w:p>
            <w:pPr>
              <w:pStyle w:val="Compact"/>
              <w:jc w:val="right"/>
            </w:pPr>
            <w:r>
              <w:t xml:space="preserve">154 enrolled; 115 randomized/evaluable</w:t>
            </w:r>
          </w:p>
        </w:tc>
        <w:tc>
          <w:tcPr/>
          <w:p>
            <w:pPr>
              <w:pStyle w:val="Compact"/>
            </w:pPr>
            <w:r>
              <w:t xml:space="preserve">Adults 19 to 75 years with IH; the FDA label excerpt does not state the diagnostic rule explicitly in the accessible lines I retrieved</w:t>
            </w:r>
          </w:p>
        </w:tc>
        <w:tc>
          <w:tcPr/>
          <w:p>
            <w:pPr>
              <w:pStyle w:val="Compact"/>
            </w:pPr>
            <w:r>
              <w:t xml:space="preserve">Once- or twice-nightly individualized dosing; open-label titration at least 10 weeks, then 2-week stable-dose, then 2-week withdrawal</w:t>
            </w:r>
          </w:p>
        </w:tc>
        <w:tc>
          <w:tcPr/>
          <w:p>
            <w:pPr>
              <w:pStyle w:val="Compact"/>
            </w:pPr>
            <w:r>
              <w:t xml:space="preserve">Primary: ESS change from end of stable-dose period to end of randomized withdrawal. Key secondary: PGIc and IHSS</w:t>
            </w:r>
          </w:p>
        </w:tc>
        <w:tc>
          <w:tcPr/>
          <w:p>
            <w:pPr>
              <w:pStyle w:val="Compact"/>
            </w:pPr>
            <w:r>
              <w:t xml:space="preserve">Median ESS change from SDP to DB-RWP was</w:t>
            </w:r>
            <w:r>
              <w:t xml:space="preserve"> </w:t>
            </w:r>
            <w:r>
              <w:rPr>
                <w:b/>
                <w:bCs/>
              </w:rPr>
              <w:t xml:space="preserve">+8</w:t>
            </w:r>
            <w:r>
              <w:t xml:space="preserve"> </w:t>
            </w:r>
            <w:r>
              <w:t xml:space="preserve">with placebo vs</w:t>
            </w:r>
            <w:r>
              <w:t xml:space="preserve"> </w:t>
            </w:r>
            <w:r>
              <w:rPr>
                <w:b/>
                <w:bCs/>
              </w:rPr>
              <w:t xml:space="preserve">0</w:t>
            </w:r>
            <w:r>
              <w:t xml:space="preserve"> </w:t>
            </w:r>
            <w:r>
              <w:t xml:space="preserve">with continued Xywav, p&lt;0.0001. PGIc worsening for IH overall was</w:t>
            </w:r>
            <w:r>
              <w:t xml:space="preserve"> </w:t>
            </w:r>
            <w:r>
              <w:rPr>
                <w:b/>
                <w:bCs/>
              </w:rPr>
              <w:t xml:space="preserve">88.1%</w:t>
            </w:r>
            <w:r>
              <w:t xml:space="preserve"> </w:t>
            </w:r>
            <w:r>
              <w:t xml:space="preserve">on placebo vs</w:t>
            </w:r>
            <w:r>
              <w:t xml:space="preserve"> </w:t>
            </w:r>
            <w:r>
              <w:rPr>
                <w:b/>
                <w:bCs/>
              </w:rPr>
              <w:t xml:space="preserve">21.4%</w:t>
            </w:r>
            <w:r>
              <w:t xml:space="preserve"> </w:t>
            </w:r>
            <w:r>
              <w:t xml:space="preserve">on Xywav. Median IHSS change was</w:t>
            </w:r>
            <w:r>
              <w:t xml:space="preserve"> </w:t>
            </w:r>
            <w:r>
              <w:rPr>
                <w:b/>
                <w:bCs/>
              </w:rPr>
              <w:t xml:space="preserve">+14</w:t>
            </w:r>
            <w:r>
              <w:t xml:space="preserve"> </w:t>
            </w:r>
            <w:r>
              <w:t xml:space="preserve">on placebo vs</w:t>
            </w:r>
            <w:r>
              <w:t xml:space="preserve"> </w:t>
            </w:r>
            <w:r>
              <w:rPr>
                <w:b/>
                <w:bCs/>
              </w:rPr>
              <w:t xml:space="preserve">0</w:t>
            </w:r>
            <w:r>
              <w:t xml:space="preserve"> </w:t>
            </w:r>
            <w:r>
              <w:t xml:space="preserve">on Xywav, p&lt;0.0001</w:t>
            </w:r>
          </w:p>
        </w:tc>
        <w:tc>
          <w:tcPr/>
          <w:p>
            <w:pPr>
              <w:pStyle w:val="Compact"/>
            </w:pPr>
            <w:r>
              <w:t xml:space="preserve">Across all study periods up to 42 weeks, 17/154, 11%, discontinued for adverse reactions; mean exposure 204 days. In adult IH, adverse reactions tended to occur early and diminish over time</w:t>
            </w:r>
          </w:p>
        </w:tc>
        <w:tc>
          <w:tcPr/>
          <w:p>
            <w:pPr>
              <w:pStyle w:val="Compact"/>
            </w:pPr>
            <w:r>
              <w:t xml:space="preserve">Major strength: registration-grade evidence and direct IH population. Major limitation: enrichment and withdrawal design, so treatment effect estimates maintenance among responders/tolerators, not first-line average causal effect in all-comers</w:t>
            </w:r>
          </w:p>
        </w:tc>
        <w:tc>
          <w:tcPr/>
          <w:p>
            <w:pPr>
              <w:pStyle w:val="Compact"/>
            </w:pPr>
            <w:hyperlink r:id="rId21">
              <w:r>
                <w:rPr>
                  <w:rStyle w:val="Hyperlink"/>
                </w:rPr>
                <w:t xml:space="preserve">[17]</w:t>
              </w:r>
            </w:hyperlink>
          </w:p>
        </w:tc>
      </w:tr>
      <w:tr>
        <w:tc>
          <w:tcPr/>
          <w:p>
            <w:pPr>
              <w:pStyle w:val="Compact"/>
            </w:pPr>
            <w:r>
              <w:t xml:space="preserve">Thorpy et al., 2022, open-label titration and stable-dose analysis</w:t>
            </w:r>
          </w:p>
        </w:tc>
        <w:tc>
          <w:tcPr/>
          <w:p>
            <w:pPr>
              <w:pStyle w:val="Compact"/>
            </w:pPr>
            <w:r>
              <w:t xml:space="preserve">Open-label analysis from phase 3 program</w:t>
            </w:r>
          </w:p>
        </w:tc>
        <w:tc>
          <w:tcPr/>
          <w:p>
            <w:pPr>
              <w:pStyle w:val="Compact"/>
              <w:jc w:val="right"/>
            </w:pPr>
            <w:r>
              <w:t xml:space="preserve">Safety population 154; modified ITT 115</w:t>
            </w:r>
          </w:p>
        </w:tc>
        <w:tc>
          <w:tcPr/>
          <w:p>
            <w:pPr>
              <w:pStyle w:val="Compact"/>
            </w:pPr>
            <w:r>
              <w:t xml:space="preserve">Adults with IH in the phase 3 program; exact diagnostic rule not visible in accessible abstract snippet</w:t>
            </w:r>
          </w:p>
        </w:tc>
        <w:tc>
          <w:tcPr/>
          <w:p>
            <w:pPr>
              <w:pStyle w:val="Compact"/>
            </w:pPr>
            <w:r>
              <w:t xml:space="preserve">Open-label titration and optimization over 10 to 14 weeks, then 2-week stable-dose; individualized once- or twice-nightly dosing</w:t>
            </w:r>
          </w:p>
        </w:tc>
        <w:tc>
          <w:tcPr/>
          <w:p>
            <w:pPr>
              <w:pStyle w:val="Compact"/>
            </w:pPr>
            <w:r>
              <w:t xml:space="preserve">ESS, IHSS, PGI-C, CGI-C, FOSQ-10, WPAI:SHP</w:t>
            </w:r>
          </w:p>
        </w:tc>
        <w:tc>
          <w:tcPr/>
          <w:p>
            <w:pPr>
              <w:pStyle w:val="Compact"/>
            </w:pPr>
            <w:r>
              <w:t xml:space="preserve">Reported clinically meaningful improvements in IH symptoms and in quality-of-life and work-function measures during open-label treatment; exact effect estimates were not visible in accessible source snippets I retrieved</w:t>
            </w:r>
          </w:p>
        </w:tc>
        <w:tc>
          <w:tcPr/>
          <w:p>
            <w:pPr>
              <w:pStyle w:val="Compact"/>
            </w:pPr>
            <w:r>
              <w:t xml:space="preserve">TEAEs were most frequent in weeks 1 to 4; incidence decreased from</w:t>
            </w:r>
            <w:r>
              <w:t xml:space="preserve"> </w:t>
            </w:r>
            <w:r>
              <w:rPr>
                <w:b/>
                <w:bCs/>
              </w:rPr>
              <w:t xml:space="preserve">56.5%</w:t>
            </w:r>
            <w:r>
              <w:t xml:space="preserve"> </w:t>
            </w:r>
            <w:r>
              <w:t xml:space="preserve">in weeks 1 to 4 to</w:t>
            </w:r>
            <w:r>
              <w:t xml:space="preserve"> </w:t>
            </w:r>
            <w:r>
              <w:rPr>
                <w:b/>
                <w:bCs/>
              </w:rPr>
              <w:t xml:space="preserve">31.7%</w:t>
            </w:r>
            <w:r>
              <w:t xml:space="preserve"> </w:t>
            </w:r>
            <w:r>
              <w:t xml:space="preserve">in weeks 13 to 16. Most frequent early TEAEs were nausea, headache, dizziness, and dry mouth</w:t>
            </w:r>
          </w:p>
        </w:tc>
        <w:tc>
          <w:tcPr/>
          <w:p>
            <w:pPr>
              <w:pStyle w:val="Compact"/>
            </w:pPr>
            <w:r>
              <w:t xml:space="preserve">Useful for dose optimization and tolerability trajectory. Weaknesses are open-label design, no control group, and response-enriched population</w:t>
            </w:r>
          </w:p>
        </w:tc>
        <w:tc>
          <w:tcPr/>
          <w:p>
            <w:pPr>
              <w:pStyle w:val="Compact"/>
            </w:pPr>
            <w:hyperlink r:id="rId32">
              <w:r>
                <w:rPr>
                  <w:rStyle w:val="Hyperlink"/>
                </w:rPr>
                <w:t xml:space="preserve">[18]</w:t>
              </w:r>
            </w:hyperlink>
          </w:p>
        </w:tc>
      </w:tr>
      <w:tr>
        <w:tc>
          <w:tcPr/>
          <w:p>
            <w:pPr>
              <w:pStyle w:val="Compact"/>
            </w:pPr>
            <w:r>
              <w:t xml:space="preserve">Morse et al., 2023, 24-week OLE</w:t>
            </w:r>
          </w:p>
        </w:tc>
        <w:tc>
          <w:tcPr/>
          <w:p>
            <w:pPr>
              <w:pStyle w:val="Compact"/>
            </w:pPr>
            <w:r>
              <w:t xml:space="preserve">Open-label extension after pivotal RCT</w:t>
            </w:r>
          </w:p>
        </w:tc>
        <w:tc>
          <w:tcPr/>
          <w:p>
            <w:pPr>
              <w:pStyle w:val="Compact"/>
              <w:jc w:val="right"/>
            </w:pPr>
            <w:r>
              <w:t xml:space="preserve">106 entered OLE</w:t>
            </w:r>
          </w:p>
        </w:tc>
        <w:tc>
          <w:tcPr/>
          <w:p>
            <w:pPr>
              <w:pStyle w:val="Compact"/>
            </w:pPr>
            <w:r>
              <w:t xml:space="preserve">Adults from the phase 3 IH program</w:t>
            </w:r>
          </w:p>
        </w:tc>
        <w:tc>
          <w:tcPr/>
          <w:p>
            <w:pPr>
              <w:pStyle w:val="Compact"/>
            </w:pPr>
            <w:r>
              <w:t xml:space="preserve">Continued individualized Xywav during 24-week OLE</w:t>
            </w:r>
          </w:p>
        </w:tc>
        <w:tc>
          <w:tcPr/>
          <w:p>
            <w:pPr>
              <w:pStyle w:val="Compact"/>
            </w:pPr>
            <w:r>
              <w:t xml:space="preserve">ESS, IHSS, PGI-C, FOSQ-10, WPAI:SHP</w:t>
            </w:r>
          </w:p>
        </w:tc>
        <w:tc>
          <w:tcPr/>
          <w:p>
            <w:pPr>
              <w:pStyle w:val="Compact"/>
            </w:pPr>
            <w:r>
              <w:t xml:space="preserve">Efficacy was reported as maintained or improved during OLE. The proportion reporting PGI-C as “very much improved” increased from</w:t>
            </w:r>
            <w:r>
              <w:t xml:space="preserve"> </w:t>
            </w:r>
            <w:r>
              <w:rPr>
                <w:b/>
                <w:bCs/>
              </w:rPr>
              <w:t xml:space="preserve">36.7%</w:t>
            </w:r>
            <w:r>
              <w:t xml:space="preserve"> </w:t>
            </w:r>
            <w:r>
              <w:t xml:space="preserve">at OLE week 2 to</w:t>
            </w:r>
            <w:r>
              <w:t xml:space="preserve"> </w:t>
            </w:r>
            <w:r>
              <w:rPr>
                <w:b/>
                <w:bCs/>
              </w:rPr>
              <w:t xml:space="preserve">53.8%</w:t>
            </w:r>
            <w:r>
              <w:t xml:space="preserve"> </w:t>
            </w:r>
            <w:r>
              <w:t xml:space="preserve">at OLE end. FOSQ-10 and WPAI:SHP remained stable</w:t>
            </w:r>
          </w:p>
        </w:tc>
        <w:tc>
          <w:tcPr/>
          <w:p>
            <w:pPr>
              <w:pStyle w:val="Compact"/>
            </w:pPr>
            <w:r>
              <w:t xml:space="preserve">Incidence of newly reported TEAEs decreased over the OLE</w:t>
            </w:r>
          </w:p>
        </w:tc>
        <w:tc>
          <w:tcPr/>
          <w:p>
            <w:pPr>
              <w:pStyle w:val="Compact"/>
            </w:pPr>
            <w:r>
              <w:t xml:space="preserve">Strength: longer follow-up. Weaknesses: uncontrolled extension, survivor bias, and incomplete publicly visible quantitative detail in the accessible snippet</w:t>
            </w:r>
          </w:p>
        </w:tc>
        <w:tc>
          <w:tcPr/>
          <w:p>
            <w:pPr>
              <w:pStyle w:val="Compact"/>
            </w:pPr>
            <w:hyperlink r:id="rId33">
              <w:r>
                <w:rPr>
                  <w:rStyle w:val="Hyperlink"/>
                </w:rPr>
                <w:t xml:space="preserve">[19]</w:t>
              </w:r>
            </w:hyperlink>
          </w:p>
        </w:tc>
      </w:tr>
      <w:tr>
        <w:tc>
          <w:tcPr/>
          <w:p>
            <w:pPr>
              <w:pStyle w:val="Compact"/>
            </w:pPr>
            <w:r>
              <w:t xml:space="preserve">DUET, NCT05875974, Plante et al., 2026</w:t>
            </w:r>
          </w:p>
        </w:tc>
        <w:tc>
          <w:tcPr/>
          <w:p>
            <w:pPr>
              <w:pStyle w:val="Compact"/>
            </w:pPr>
            <w:r>
              <w:t xml:space="preserve">Phase 4, prospective, multicenter, single-arm, open-label, multiple-cohort study</w:t>
            </w:r>
          </w:p>
        </w:tc>
        <w:tc>
          <w:tcPr/>
          <w:p>
            <w:pPr>
              <w:pStyle w:val="Compact"/>
              <w:jc w:val="right"/>
            </w:pPr>
            <w:r>
              <w:t xml:space="preserve">46 enrolled; 40 completed</w:t>
            </w:r>
          </w:p>
        </w:tc>
        <w:tc>
          <w:tcPr/>
          <w:p>
            <w:pPr>
              <w:pStyle w:val="Compact"/>
            </w:pPr>
            <w:r>
              <w:t xml:space="preserve">Ages 18 to 75; primary diagnosis of IH meeting</w:t>
            </w:r>
            <w:r>
              <w:t xml:space="preserve"> </w:t>
            </w:r>
            <w:r>
              <w:rPr>
                <w:b/>
                <w:bCs/>
              </w:rPr>
              <w:t xml:space="preserve">ICSD-3</w:t>
            </w:r>
            <w:r>
              <w:t xml:space="preserve">; ESS &gt;10; both with and without long sleep time were eligible, but subtypes were not analyzed separately; stable alerting agents allowed</w:t>
            </w:r>
          </w:p>
        </w:tc>
        <w:tc>
          <w:tcPr/>
          <w:p>
            <w:pPr>
              <w:pStyle w:val="Compact"/>
            </w:pPr>
            <w:r>
              <w:t xml:space="preserve">Titration 2 to 8 weeks, then 2-week stable-dose and 8-day end-of-treatment assessments; once-nightly max 6 g or twice-nightly max 9 g; at stable dose, 36.6% once-nightly mean 4.8 g, 63.4% twice-nightly mean 7.7 g</w:t>
            </w:r>
          </w:p>
        </w:tc>
        <w:tc>
          <w:tcPr/>
          <w:p>
            <w:pPr>
              <w:pStyle w:val="Compact"/>
            </w:pPr>
            <w:r>
              <w:t xml:space="preserve">Primary: ESS. Key secondary: IHSS, PGI-C/PGI-S for overall IH, sleep inertia, fatigue; diary sleep quality and restedness. Exploratory: actigraphy, FOSQ-10, BC-CCI, WPAI:SHP</w:t>
            </w:r>
          </w:p>
        </w:tc>
        <w:tc>
          <w:tcPr/>
          <w:p>
            <w:pPr>
              <w:pStyle w:val="Compact"/>
            </w:pPr>
            <w:r>
              <w:t xml:space="preserve">ESS LS mean change</w:t>
            </w:r>
            <w:r>
              <w:t xml:space="preserve"> </w:t>
            </w:r>
            <w:r>
              <w:rPr>
                <w:b/>
                <w:bCs/>
              </w:rPr>
              <w:t xml:space="preserve">-8.4</w:t>
            </w:r>
            <w:r>
              <w:t xml:space="preserve"> </w:t>
            </w:r>
            <w:r>
              <w:t xml:space="preserve">(SE 0.7), p&lt;0.0001. IHSS LS mean change</w:t>
            </w:r>
            <w:r>
              <w:t xml:space="preserve"> </w:t>
            </w:r>
            <w:r>
              <w:rPr>
                <w:b/>
                <w:bCs/>
              </w:rPr>
              <w:t xml:space="preserve">-15.5</w:t>
            </w:r>
            <w:r>
              <w:t xml:space="preserve"> </w:t>
            </w:r>
            <w:r>
              <w:t xml:space="preserve">(SE 1.5), p&lt;0.0001. PGI-C overall improvement</w:t>
            </w:r>
            <w:r>
              <w:t xml:space="preserve"> </w:t>
            </w:r>
            <w:r>
              <w:rPr>
                <w:b/>
                <w:bCs/>
              </w:rPr>
              <w:t xml:space="preserve">94.6%</w:t>
            </w:r>
            <w:r>
              <w:t xml:space="preserve"> </w:t>
            </w:r>
            <w:r>
              <w:t xml:space="preserve">(95% CI 81.8 to 99.3). Sleep inertia improvement</w:t>
            </w:r>
            <w:r>
              <w:t xml:space="preserve"> </w:t>
            </w:r>
            <w:r>
              <w:rPr>
                <w:b/>
                <w:bCs/>
              </w:rPr>
              <w:t xml:space="preserve">81.1%</w:t>
            </w:r>
            <w:r>
              <w:t xml:space="preserve"> </w:t>
            </w:r>
            <w:r>
              <w:t xml:space="preserve">(95% CI 64.8 to 92.0). Fatigue improvement</w:t>
            </w:r>
            <w:r>
              <w:t xml:space="preserve"> </w:t>
            </w:r>
            <w:r>
              <w:rPr>
                <w:b/>
                <w:bCs/>
              </w:rPr>
              <w:t xml:space="preserve">91.9%</w:t>
            </w:r>
            <w:r>
              <w:t xml:space="preserve"> </w:t>
            </w:r>
            <w:r>
              <w:t xml:space="preserve">(95% CI 78.1 to 98.3). Actigraphy nocturnal total sleep time</w:t>
            </w:r>
            <w:r>
              <w:t xml:space="preserve"> </w:t>
            </w:r>
            <w:r>
              <w:rPr>
                <w:b/>
                <w:bCs/>
              </w:rPr>
              <w:t xml:space="preserve">-24.6 min</w:t>
            </w:r>
            <w:r>
              <w:t xml:space="preserve">, p=0.0035; awakenings</w:t>
            </w:r>
            <w:r>
              <w:t xml:space="preserve"> </w:t>
            </w:r>
            <w:r>
              <w:rPr>
                <w:b/>
                <w:bCs/>
              </w:rPr>
              <w:t xml:space="preserve">-3.4</w:t>
            </w:r>
            <w:r>
              <w:t xml:space="preserve">, p&lt;0.0001. FOSQ-10</w:t>
            </w:r>
            <w:r>
              <w:t xml:space="preserve"> </w:t>
            </w:r>
            <w:r>
              <w:rPr>
                <w:b/>
                <w:bCs/>
              </w:rPr>
              <w:t xml:space="preserve">+3.3</w:t>
            </w:r>
            <w:r>
              <w:t xml:space="preserve">, p&lt;0.0001. Work/activity impairment improved materially</w:t>
            </w:r>
          </w:p>
        </w:tc>
        <w:tc>
          <w:tcPr/>
          <w:p>
            <w:pPr>
              <w:pStyle w:val="Compact"/>
            </w:pPr>
            <w:r>
              <w:t xml:space="preserve">TEAEs at 10% or more: nausea 19.6%, dizziness 17.4%, headache 17.4%, vomiting 10.9%. One serious unrelated hypoxia event; one discontinuation for depression</w:t>
            </w:r>
          </w:p>
        </w:tc>
        <w:tc>
          <w:tcPr/>
          <w:p>
            <w:pPr>
              <w:pStyle w:val="Compact"/>
            </w:pPr>
            <w:r>
              <w:t xml:space="preserve">Strengths: direct IH cohort, ICSD-3 diagnosis, objective actigraphy and functional outcomes. Weaknesses: single-arm open-label design, small sample, multiplicity limits beyond primary and key secondary endpoints</w:t>
            </w:r>
          </w:p>
        </w:tc>
        <w:tc>
          <w:tcPr/>
          <w:p>
            <w:pPr>
              <w:pStyle w:val="Compact"/>
            </w:pPr>
            <w:hyperlink r:id="rId25">
              <w:r>
                <w:rPr>
                  <w:rStyle w:val="Hyperlink"/>
                </w:rPr>
                <w:t xml:space="preserve">[20]</w:t>
              </w:r>
            </w:hyperlink>
          </w:p>
        </w:tc>
      </w:tr>
    </w:tbl>
    <w:bookmarkEnd w:id="34"/>
    <w:bookmarkStart w:id="36" w:name="xyrem"/>
    <w:p>
      <w:pPr>
        <w:pStyle w:val="Heading3"/>
      </w:pPr>
      <w:r>
        <w:t xml:space="preserve">Xyrem</w:t>
      </w:r>
    </w:p>
    <w:p>
      <w:pPr>
        <w:pStyle w:val="FirstParagraph"/>
      </w:pPr>
      <w:r>
        <w:t xml:space="preserve">Xyrem has a real IH efficacy signal, but it is not wrapped in a sponsor-led regulatory package for IH. The 2025 academic RCT substantially upgrades the off-label evidence story, because it moves beyond retrospective practice experience. Even so, the public record is still comparatively thin, and some granular details, especially exact analyzed sample size and full endpoint table values, were not visible in the accessible snippets I could retrieve.</w:t>
      </w:r>
      <w:r>
        <w:t xml:space="preserve"> </w:t>
      </w:r>
      <w:hyperlink r:id="rId27">
        <w:r>
          <w:rPr>
            <w:rStyle w:val="Hyperlink"/>
          </w:rPr>
          <w:t xml:space="preserve">[21]</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Study</w:t>
            </w:r>
          </w:p>
        </w:tc>
        <w:tc>
          <w:tcPr/>
          <w:p>
            <w:pPr>
              <w:pStyle w:val="Compact"/>
            </w:pPr>
            <w:r>
              <w:t xml:space="preserve">Design</w:t>
            </w:r>
          </w:p>
        </w:tc>
        <w:tc>
          <w:tcPr/>
          <w:p>
            <w:pPr>
              <w:pStyle w:val="Compact"/>
              <w:jc w:val="right"/>
            </w:pPr>
            <w:r>
              <w:t xml:space="preserve">Sample size</w:t>
            </w:r>
          </w:p>
        </w:tc>
        <w:tc>
          <w:tcPr/>
          <w:p>
            <w:pPr>
              <w:pStyle w:val="Compact"/>
            </w:pPr>
            <w:r>
              <w:t xml:space="preserve">Inclusion and IH diagnostic criteria</w:t>
            </w:r>
          </w:p>
        </w:tc>
        <w:tc>
          <w:tcPr/>
          <w:p>
            <w:pPr>
              <w:pStyle w:val="Compact"/>
            </w:pPr>
            <w:r>
              <w:t xml:space="preserve">Dosing regimen</w:t>
            </w:r>
          </w:p>
        </w:tc>
        <w:tc>
          <w:tcPr/>
          <w:p>
            <w:pPr>
              <w:pStyle w:val="Compact"/>
            </w:pPr>
            <w:r>
              <w:t xml:space="preserve">Endpoints</w:t>
            </w:r>
          </w:p>
        </w:tc>
        <w:tc>
          <w:tcPr/>
          <w:p>
            <w:pPr>
              <w:pStyle w:val="Compact"/>
            </w:pPr>
            <w:r>
              <w:t xml:space="preserve">Results</w:t>
            </w:r>
          </w:p>
        </w:tc>
        <w:tc>
          <w:tcPr/>
          <w:p>
            <w:pPr>
              <w:pStyle w:val="Compact"/>
            </w:pPr>
            <w:r>
              <w:t xml:space="preserve">Safety</w:t>
            </w:r>
          </w:p>
        </w:tc>
        <w:tc>
          <w:tcPr/>
          <w:p>
            <w:pPr>
              <w:pStyle w:val="Compact"/>
            </w:pPr>
            <w:r>
              <w:t xml:space="preserve">Duration and main limitations</w:t>
            </w:r>
          </w:p>
        </w:tc>
        <w:tc>
          <w:tcPr/>
          <w:p>
            <w:pPr>
              <w:pStyle w:val="Compact"/>
            </w:pPr>
            <w:r>
              <w:t xml:space="preserve">Sources</w:t>
            </w:r>
          </w:p>
        </w:tc>
      </w:tr>
      <w:tr>
        <w:tc>
          <w:tcPr/>
          <w:p>
            <w:pPr>
              <w:pStyle w:val="Compact"/>
            </w:pPr>
            <w:r>
              <w:t xml:space="preserve">SODHI, NCT03597555 / EudraCT 2017-004122-15, Dauvilliers et al., 2025</w:t>
            </w:r>
          </w:p>
        </w:tc>
        <w:tc>
          <w:tcPr/>
          <w:p>
            <w:pPr>
              <w:pStyle w:val="Compact"/>
            </w:pPr>
            <w:r>
              <w:t xml:space="preserve">Randomized, double-blind, placebo-controlled trial; registry materials indicate crossover elements, but the exact public design details were not fully visible in the snippets I retrieved</w:t>
            </w:r>
          </w:p>
        </w:tc>
        <w:tc>
          <w:tcPr/>
          <w:p>
            <w:pPr>
              <w:pStyle w:val="Compact"/>
              <w:jc w:val="right"/>
            </w:pPr>
            <w:r>
              <w:t xml:space="preserve">Planned registry enrollment was reported in earlier reviews as 48; exact analyzed n was not visible in the accessible snippets I retrieved</w:t>
            </w:r>
          </w:p>
        </w:tc>
        <w:tc>
          <w:tcPr/>
          <w:p>
            <w:pPr>
              <w:pStyle w:val="Compact"/>
            </w:pPr>
            <w:r>
              <w:t xml:space="preserve">Adults with current IH; EU trial registry lists</w:t>
            </w:r>
            <w:r>
              <w:t xml:space="preserve"> </w:t>
            </w:r>
            <w:r>
              <w:rPr>
                <w:b/>
                <w:bCs/>
              </w:rPr>
              <w:t xml:space="preserve">ICSD-3</w:t>
            </w:r>
            <w:r>
              <w:t xml:space="preserve"> </w:t>
            </w:r>
            <w:r>
              <w:t xml:space="preserve">idiopathic hypersomnia</w:t>
            </w:r>
          </w:p>
        </w:tc>
        <w:tc>
          <w:tcPr/>
          <w:p>
            <w:pPr>
              <w:pStyle w:val="Compact"/>
            </w:pPr>
            <w:r>
              <w:t xml:space="preserve">Sodium oxybate</w:t>
            </w:r>
            <w:r>
              <w:t xml:space="preserve"> </w:t>
            </w:r>
            <w:r>
              <w:rPr>
                <w:b/>
                <w:bCs/>
              </w:rPr>
              <w:t xml:space="preserve">4.5 to 9 g/night</w:t>
            </w:r>
            <w:r>
              <w:t xml:space="preserve"> </w:t>
            </w:r>
            <w:r>
              <w:t xml:space="preserve">vs placebo</w:t>
            </w:r>
          </w:p>
        </w:tc>
        <w:tc>
          <w:tcPr/>
          <w:p>
            <w:pPr>
              <w:pStyle w:val="Compact"/>
            </w:pPr>
            <w:r>
              <w:t xml:space="preserve">Excessive sleepiness, wakefulness, IH severity; accessible snippets explicitly mention ESS, MWT, IHSS</w:t>
            </w:r>
          </w:p>
        </w:tc>
        <w:tc>
          <w:tcPr/>
          <w:p>
            <w:pPr>
              <w:pStyle w:val="Compact"/>
            </w:pPr>
            <w:r>
              <w:t xml:space="preserve">Article abstract snippets state Class I evidence that sodium oxybate reduced excessive sleepiness, improved wakefulness, and decreased IH severity after 8 weeks. Exact visible estimates in accessible snippets were IHSS LS mean difference</w:t>
            </w:r>
            <w:r>
              <w:t xml:space="preserve"> </w:t>
            </w:r>
            <w:r>
              <w:rPr>
                <w:b/>
                <w:bCs/>
              </w:rPr>
              <w:t xml:space="preserve">-11.61</w:t>
            </w:r>
            <w:r>
              <w:t xml:space="preserve"> </w:t>
            </w:r>
            <w:r>
              <w:t xml:space="preserve">(95% CI -16.63 to -6.59, p&lt;0.0001) and MWT latency difference</w:t>
            </w:r>
            <w:r>
              <w:t xml:space="preserve"> </w:t>
            </w:r>
            <w:r>
              <w:rPr>
                <w:b/>
                <w:bCs/>
              </w:rPr>
              <w:t xml:space="preserve">+14.75 min</w:t>
            </w:r>
            <w:r>
              <w:t xml:space="preserve"> </w:t>
            </w:r>
            <w:r>
              <w:t xml:space="preserve">(95% CI 9.98 to 19.52, p&lt;0.0001). ESS improved, but the exact between-group estimate was not visible in the accessible snippets I retrieved</w:t>
            </w:r>
          </w:p>
        </w:tc>
        <w:tc>
          <w:tcPr/>
          <w:p>
            <w:pPr>
              <w:pStyle w:val="Compact"/>
            </w:pPr>
            <w:r>
              <w:t xml:space="preserve">TEAEs including nausea, headache, and dizziness were reported in</w:t>
            </w:r>
            <w:r>
              <w:t xml:space="preserve"> </w:t>
            </w:r>
            <w:r>
              <w:rPr>
                <w:b/>
                <w:bCs/>
              </w:rPr>
              <w:t xml:space="preserve">81.8%</w:t>
            </w:r>
            <w:r>
              <w:t xml:space="preserve"> </w:t>
            </w:r>
            <w:r>
              <w:t xml:space="preserve">with sodium oxybate vs</w:t>
            </w:r>
            <w:r>
              <w:t xml:space="preserve"> </w:t>
            </w:r>
            <w:r>
              <w:rPr>
                <w:b/>
                <w:bCs/>
              </w:rPr>
              <w:t xml:space="preserve">26.1%</w:t>
            </w:r>
            <w:r>
              <w:t xml:space="preserve"> </w:t>
            </w:r>
            <w:r>
              <w:t xml:space="preserve">with placebo in accessible snippets</w:t>
            </w:r>
          </w:p>
        </w:tc>
        <w:tc>
          <w:tcPr/>
          <w:p>
            <w:pPr>
              <w:pStyle w:val="Compact"/>
            </w:pPr>
            <w:r>
              <w:t xml:space="preserve">Major strength: randomized placebo-controlled direct IH evidence. Major limitations: no IH regulatory indication, single published RCT, incomplete public granularity in accessible sources, and no broad confirmatory program</w:t>
            </w:r>
          </w:p>
        </w:tc>
        <w:tc>
          <w:tcPr/>
          <w:p>
            <w:pPr>
              <w:pStyle w:val="Compact"/>
            </w:pPr>
            <w:hyperlink r:id="rId27">
              <w:r>
                <w:rPr>
                  <w:rStyle w:val="Hyperlink"/>
                </w:rPr>
                <w:t xml:space="preserve">[22]</w:t>
              </w:r>
            </w:hyperlink>
          </w:p>
        </w:tc>
      </w:tr>
      <w:tr>
        <w:tc>
          <w:tcPr/>
          <w:p>
            <w:pPr>
              <w:pStyle w:val="Compact"/>
            </w:pPr>
            <w:r>
              <w:t xml:space="preserve">Leu-Semenescu et al., 2016</w:t>
            </w:r>
          </w:p>
        </w:tc>
        <w:tc>
          <w:tcPr/>
          <w:p>
            <w:pPr>
              <w:pStyle w:val="Compact"/>
            </w:pPr>
            <w:r>
              <w:t xml:space="preserve">Retrospective chart review, off-label field study, IH versus narcolepsy type 1 comparator</w:t>
            </w:r>
          </w:p>
        </w:tc>
        <w:tc>
          <w:tcPr/>
          <w:p>
            <w:pPr>
              <w:pStyle w:val="Compact"/>
              <w:jc w:val="right"/>
            </w:pPr>
            <w:r>
              <w:t xml:space="preserve">41 people with IH</w:t>
            </w:r>
          </w:p>
        </w:tc>
        <w:tc>
          <w:tcPr/>
          <w:p>
            <w:pPr>
              <w:pStyle w:val="Compact"/>
            </w:pPr>
            <w:r>
              <w:t xml:space="preserve">Specialist-center chart review; older clinical phenotyping included severe morning inertia and prolonged sleep, reflecting pre-approval real-world IH practice</w:t>
            </w:r>
          </w:p>
        </w:tc>
        <w:tc>
          <w:tcPr/>
          <w:p>
            <w:pPr>
              <w:pStyle w:val="Compact"/>
            </w:pPr>
            <w:r>
              <w:t xml:space="preserve">Mean sodium oxybate dose in IH</w:t>
            </w:r>
            <w:r>
              <w:t xml:space="preserve"> </w:t>
            </w:r>
            <w:r>
              <w:rPr>
                <w:b/>
                <w:bCs/>
              </w:rPr>
              <w:t xml:space="preserve">4.3 ± 2.2 g/night</w:t>
            </w:r>
          </w:p>
        </w:tc>
        <w:tc>
          <w:tcPr/>
          <w:p>
            <w:pPr>
              <w:pStyle w:val="Compact"/>
            </w:pPr>
            <w:r>
              <w:t xml:space="preserve">ESS change, severe morning inertia, tolerability, longer-term retention</w:t>
            </w:r>
          </w:p>
        </w:tc>
        <w:tc>
          <w:tcPr/>
          <w:p>
            <w:pPr>
              <w:pStyle w:val="Compact"/>
            </w:pPr>
            <w:r>
              <w:t xml:space="preserve">ESS changed</w:t>
            </w:r>
            <w:r>
              <w:t xml:space="preserve"> </w:t>
            </w:r>
            <w:r>
              <w:rPr>
                <w:b/>
                <w:bCs/>
              </w:rPr>
              <w:t xml:space="preserve">-3.5 ± 4.5</w:t>
            </w:r>
            <w:r>
              <w:t xml:space="preserve"> </w:t>
            </w:r>
            <w:r>
              <w:t xml:space="preserve">points in IH. Severe morning inertia improved in</w:t>
            </w:r>
            <w:r>
              <w:t xml:space="preserve"> </w:t>
            </w:r>
            <w:r>
              <w:rPr>
                <w:b/>
                <w:bCs/>
              </w:rPr>
              <w:t xml:space="preserve">24/34, 71%</w:t>
            </w:r>
            <w:r>
              <w:t xml:space="preserve">. Follow-up averaged</w:t>
            </w:r>
            <w:r>
              <w:t xml:space="preserve"> </w:t>
            </w:r>
            <w:r>
              <w:rPr>
                <w:b/>
                <w:bCs/>
              </w:rPr>
              <w:t xml:space="preserve">15.8 months</w:t>
            </w:r>
            <w:r>
              <w:t xml:space="preserve"> </w:t>
            </w:r>
            <w:r>
              <w:t xml:space="preserve">in IH</w:t>
            </w:r>
          </w:p>
        </w:tc>
        <w:tc>
          <w:tcPr/>
          <w:p>
            <w:pPr>
              <w:pStyle w:val="Compact"/>
            </w:pPr>
            <w:r>
              <w:t xml:space="preserve">Side effects occurred in</w:t>
            </w:r>
            <w:r>
              <w:t xml:space="preserve"> </w:t>
            </w:r>
            <w:r>
              <w:rPr>
                <w:b/>
                <w:bCs/>
              </w:rPr>
              <w:t xml:space="preserve">67%</w:t>
            </w:r>
            <w:r>
              <w:t xml:space="preserve"> </w:t>
            </w:r>
            <w:r>
              <w:t xml:space="preserve">of IH patients; nausea</w:t>
            </w:r>
            <w:r>
              <w:t xml:space="preserve"> </w:t>
            </w:r>
            <w:r>
              <w:rPr>
                <w:b/>
                <w:bCs/>
              </w:rPr>
              <w:t xml:space="preserve">40%</w:t>
            </w:r>
            <w:r>
              <w:t xml:space="preserve"> </w:t>
            </w:r>
            <w:r>
              <w:t xml:space="preserve">and dizziness</w:t>
            </w:r>
            <w:r>
              <w:t xml:space="preserve"> </w:t>
            </w:r>
            <w:r>
              <w:rPr>
                <w:b/>
                <w:bCs/>
              </w:rPr>
              <w:t xml:space="preserve">34.3%</w:t>
            </w:r>
            <w:r>
              <w:t xml:space="preserve"> </w:t>
            </w:r>
            <w:r>
              <w:t xml:space="preserve">were notable in accessible summaries.</w:t>
            </w:r>
            <w:r>
              <w:t xml:space="preserve"> </w:t>
            </w:r>
            <w:r>
              <w:rPr>
                <w:b/>
                <w:bCs/>
              </w:rPr>
              <w:t xml:space="preserve">53%</w:t>
            </w:r>
            <w:r>
              <w:t xml:space="preserve"> </w:t>
            </w:r>
            <w:r>
              <w:t xml:space="preserve">of IH patients dropped out during follow-up</w:t>
            </w:r>
          </w:p>
        </w:tc>
        <w:tc>
          <w:tcPr/>
          <w:p>
            <w:pPr>
              <w:pStyle w:val="Compact"/>
            </w:pPr>
            <w:r>
              <w:t xml:space="preserve">Strength: practice-based longitudinal signal before formal approval era. Weaknesses: retrospective design, no randomization, confounding, older diagnostic era, and substantial discontinuation</w:t>
            </w:r>
          </w:p>
        </w:tc>
        <w:tc>
          <w:tcPr/>
          <w:p>
            <w:pPr>
              <w:pStyle w:val="Compact"/>
            </w:pPr>
            <w:hyperlink r:id="rId31">
              <w:r>
                <w:rPr>
                  <w:rStyle w:val="Hyperlink"/>
                </w:rPr>
                <w:t xml:space="preserve">[23]</w:t>
              </w:r>
            </w:hyperlink>
          </w:p>
        </w:tc>
      </w:tr>
      <w:tr>
        <w:tc>
          <w:tcPr/>
          <w:p>
            <w:pPr>
              <w:pStyle w:val="Compact"/>
            </w:pPr>
            <w:r>
              <w:t xml:space="preserve">Practice-guideline support</w:t>
            </w:r>
          </w:p>
        </w:tc>
        <w:tc>
          <w:tcPr/>
          <w:p>
            <w:pPr>
              <w:pStyle w:val="Compact"/>
            </w:pPr>
            <w:r>
              <w:t xml:space="preserve">Evidence synthesis, not a trial</w:t>
            </w:r>
          </w:p>
        </w:tc>
        <w:tc>
          <w:tcPr/>
          <w:p>
            <w:pPr>
              <w:pStyle w:val="Compact"/>
              <w:jc w:val="right"/>
            </w:pPr>
            <w:r>
              <w:t xml:space="preserve">Not applicable</w:t>
            </w:r>
          </w:p>
        </w:tc>
        <w:tc>
          <w:tcPr/>
          <w:p>
            <w:pPr>
              <w:pStyle w:val="Compact"/>
            </w:pPr>
            <w:r>
              <w:t xml:space="preserve">Adult IH</w:t>
            </w:r>
          </w:p>
        </w:tc>
        <w:tc>
          <w:tcPr/>
          <w:p>
            <w:pPr>
              <w:pStyle w:val="Compact"/>
            </w:pPr>
            <w:r>
              <w:t xml:space="preserve">Not applicable</w:t>
            </w:r>
          </w:p>
        </w:tc>
        <w:tc>
          <w:tcPr/>
          <w:p>
            <w:pPr>
              <w:pStyle w:val="Compact"/>
            </w:pPr>
            <w:r>
              <w:t xml:space="preserve">AASM recommendation</w:t>
            </w:r>
          </w:p>
        </w:tc>
        <w:tc>
          <w:tcPr/>
          <w:p>
            <w:pPr>
              <w:pStyle w:val="Compact"/>
            </w:pPr>
            <w:r>
              <w:t xml:space="preserve">The American Academy of Sleep Medicine</w:t>
            </w:r>
            <w:hyperlink r:id="rId21">
              <w:r>
                <w:rPr>
                  <w:rStyle w:val="Hyperlink"/>
                </w:rPr>
                <w:t xml:space="preserve">[24]</w:t>
              </w:r>
            </w:hyperlink>
            <w:r>
              <w:t xml:space="preserve"> </w:t>
            </w:r>
            <w:r>
              <w:t xml:space="preserve">guideline suggests sodium oxybate for adult IH, which supports real-world off-label use but does not substitute for a branded IH regulatory package</w:t>
            </w:r>
          </w:p>
        </w:tc>
        <w:tc>
          <w:tcPr/>
          <w:p>
            <w:pPr>
              <w:pStyle w:val="Compact"/>
            </w:pPr>
            <w:r>
              <w:t xml:space="preserve">Not applicable</w:t>
            </w:r>
          </w:p>
        </w:tc>
        <w:tc>
          <w:tcPr/>
          <w:p>
            <w:pPr>
              <w:pStyle w:val="Compact"/>
            </w:pPr>
            <w:r>
              <w:t xml:space="preserve">Guideline recommendation is downstream evidence, not primary efficacy evidence</w:t>
            </w:r>
          </w:p>
        </w:tc>
        <w:tc>
          <w:tcPr/>
          <w:p>
            <w:pPr>
              <w:pStyle w:val="Compact"/>
            </w:pPr>
            <w:hyperlink r:id="rId35">
              <w:r>
                <w:rPr>
                  <w:rStyle w:val="Hyperlink"/>
                </w:rPr>
                <w:t xml:space="preserve">[25]</w:t>
              </w:r>
            </w:hyperlink>
          </w:p>
        </w:tc>
      </w:tr>
    </w:tbl>
    <w:bookmarkEnd w:id="36"/>
    <w:bookmarkStart w:id="37" w:name="lumryz"/>
    <w:p>
      <w:pPr>
        <w:pStyle w:val="Heading3"/>
      </w:pPr>
      <w:r>
        <w:t xml:space="preserve">Lumryz</w:t>
      </w:r>
    </w:p>
    <w:p>
      <w:pPr>
        <w:pStyle w:val="FirstParagraph"/>
      </w:pPr>
      <w:r>
        <w:t xml:space="preserve">For IH, Lumryz is a pipeline asset, not yet an evidence-backed treatment. The available public record shows a phase 3 randomized-withdrawal study, REVITALYZ, and corporate statements that enrollment was completed in December 2025 with top-line data expected in Q2 2026. I did</w:t>
      </w:r>
      <w:r>
        <w:t xml:space="preserve"> </w:t>
      </w:r>
      <w:r>
        <w:rPr>
          <w:b/>
          <w:bCs/>
        </w:rPr>
        <w:t xml:space="preserve">not</w:t>
      </w:r>
      <w:r>
        <w:t xml:space="preserve"> </w:t>
      </w:r>
      <w:r>
        <w:t xml:space="preserve">identify public IH efficacy or safety results in the reviewed sources. Because the product is already approved in narcolepsy, there is indirect confidence that once-nightly oxybate is pharmacologically active, but that indirectness is not enough to rank it above products with direct IH datasets.</w:t>
      </w:r>
      <w:r>
        <w:t xml:space="preserve"> </w:t>
      </w:r>
      <w:hyperlink r:id="rId23">
        <w:r>
          <w:rPr>
            <w:rStyle w:val="Hyperlink"/>
          </w:rPr>
          <w:t xml:space="preserve">[13]</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Study</w:t>
            </w:r>
          </w:p>
        </w:tc>
        <w:tc>
          <w:tcPr/>
          <w:p>
            <w:pPr>
              <w:pStyle w:val="Compact"/>
            </w:pPr>
            <w:r>
              <w:t xml:space="preserve">Design</w:t>
            </w:r>
          </w:p>
        </w:tc>
        <w:tc>
          <w:tcPr/>
          <w:p>
            <w:pPr>
              <w:pStyle w:val="Compact"/>
              <w:jc w:val="right"/>
            </w:pPr>
            <w:r>
              <w:t xml:space="preserve">Sample size</w:t>
            </w:r>
          </w:p>
        </w:tc>
        <w:tc>
          <w:tcPr/>
          <w:p>
            <w:pPr>
              <w:pStyle w:val="Compact"/>
            </w:pPr>
            <w:r>
              <w:t xml:space="preserve">Inclusion and IH diagnostic criteria</w:t>
            </w:r>
          </w:p>
        </w:tc>
        <w:tc>
          <w:tcPr/>
          <w:p>
            <w:pPr>
              <w:pStyle w:val="Compact"/>
            </w:pPr>
            <w:r>
              <w:t xml:space="preserve">Dosing regimen</w:t>
            </w:r>
          </w:p>
        </w:tc>
        <w:tc>
          <w:tcPr/>
          <w:p>
            <w:pPr>
              <w:pStyle w:val="Compact"/>
            </w:pPr>
            <w:r>
              <w:t xml:space="preserve">Endpoints</w:t>
            </w:r>
          </w:p>
        </w:tc>
        <w:tc>
          <w:tcPr/>
          <w:p>
            <w:pPr>
              <w:pStyle w:val="Compact"/>
            </w:pPr>
            <w:r>
              <w:t xml:space="preserve">Results</w:t>
            </w:r>
          </w:p>
        </w:tc>
        <w:tc>
          <w:tcPr/>
          <w:p>
            <w:pPr>
              <w:pStyle w:val="Compact"/>
            </w:pPr>
            <w:r>
              <w:t xml:space="preserve">Safety</w:t>
            </w:r>
          </w:p>
        </w:tc>
        <w:tc>
          <w:tcPr/>
          <w:p>
            <w:pPr>
              <w:pStyle w:val="Compact"/>
            </w:pPr>
            <w:r>
              <w:t xml:space="preserve">Duration and main limitations</w:t>
            </w:r>
          </w:p>
        </w:tc>
        <w:tc>
          <w:tcPr/>
          <w:p>
            <w:pPr>
              <w:pStyle w:val="Compact"/>
            </w:pPr>
            <w:r>
              <w:t xml:space="preserve">Sources</w:t>
            </w:r>
          </w:p>
        </w:tc>
      </w:tr>
      <w:tr>
        <w:tc>
          <w:tcPr/>
          <w:p>
            <w:pPr>
              <w:pStyle w:val="Compact"/>
            </w:pPr>
            <w:r>
              <w:t xml:space="preserve">REVITALYZ, NCT06525077</w:t>
            </w:r>
          </w:p>
        </w:tc>
        <w:tc>
          <w:tcPr/>
          <w:p>
            <w:pPr>
              <w:pStyle w:val="Compact"/>
            </w:pPr>
            <w:r>
              <w:t xml:space="preserve">Phase 3, double-blind, placebo-controlled, randomized-withdrawal, multicenter study</w:t>
            </w:r>
          </w:p>
        </w:tc>
        <w:tc>
          <w:tcPr/>
          <w:p>
            <w:pPr>
              <w:pStyle w:val="Compact"/>
              <w:jc w:val="right"/>
            </w:pPr>
            <w:r>
              <w:t xml:space="preserve">Approximately 150 planned</w:t>
            </w:r>
          </w:p>
        </w:tc>
        <w:tc>
          <w:tcPr/>
          <w:p>
            <w:pPr>
              <w:pStyle w:val="Compact"/>
            </w:pPr>
            <w:r>
              <w:t xml:space="preserve">Adults with IH; participants could enter whether or not they were already taking oxybates or stimulants/alerting agents</w:t>
            </w:r>
          </w:p>
        </w:tc>
        <w:tc>
          <w:tcPr/>
          <w:p>
            <w:pPr>
              <w:pStyle w:val="Compact"/>
            </w:pPr>
            <w:r>
              <w:t xml:space="preserve">Once-nightly FT218 / Lumryz formulation, extended-release sodium oxybate</w:t>
            </w:r>
          </w:p>
        </w:tc>
        <w:tc>
          <w:tcPr/>
          <w:p>
            <w:pPr>
              <w:pStyle w:val="Compact"/>
            </w:pPr>
            <w:r>
              <w:t xml:space="preserve">Primary endpoint: change in ESS total score at week 14. Secondary endpoints described in company communications include patient and clinician impression of change, IH severity, and functional outcomes of sleep</w:t>
            </w:r>
          </w:p>
        </w:tc>
        <w:tc>
          <w:tcPr/>
          <w:p>
            <w:pPr>
              <w:pStyle w:val="Compact"/>
            </w:pPr>
            <w:r>
              <w:rPr>
                <w:b/>
                <w:bCs/>
              </w:rPr>
              <w:t xml:space="preserve">No public efficacy results identified in the reviewed sources</w:t>
            </w:r>
          </w:p>
        </w:tc>
        <w:tc>
          <w:tcPr/>
          <w:p>
            <w:pPr>
              <w:pStyle w:val="Compact"/>
            </w:pPr>
            <w:r>
              <w:rPr>
                <w:b/>
                <w:bCs/>
              </w:rPr>
              <w:t xml:space="preserve">No public IH safety results identified in the reviewed sources</w:t>
            </w:r>
          </w:p>
        </w:tc>
        <w:tc>
          <w:tcPr/>
          <w:p>
            <w:pPr>
              <w:pStyle w:val="Compact"/>
            </w:pPr>
            <w:r>
              <w:t xml:space="preserve">Limitation is dispositive: without public outcome data, certainty for IH is currently insufficient</w:t>
            </w:r>
          </w:p>
        </w:tc>
        <w:tc>
          <w:tcPr/>
          <w:p>
            <w:pPr>
              <w:pStyle w:val="Compact"/>
            </w:pPr>
            <w:hyperlink r:id="rId26">
              <w:r>
                <w:rPr>
                  <w:rStyle w:val="Hyperlink"/>
                </w:rPr>
                <w:t xml:space="preserve">[26]</w:t>
              </w:r>
            </w:hyperlink>
          </w:p>
        </w:tc>
      </w:tr>
    </w:tbl>
    <w:bookmarkEnd w:id="37"/>
    <w:bookmarkEnd w:id="38"/>
    <w:bookmarkStart w:id="41" w:name="X2fdf274f4f30e917453776553c234c042205597"/>
    <w:p>
      <w:pPr>
        <w:pStyle w:val="Heading2"/>
      </w:pPr>
      <w:r>
        <w:t xml:space="preserve">Comparative synthesis, GRADE-style assessment, and ranking</w:t>
      </w:r>
    </w:p>
    <w:bookmarkStart w:id="39" w:name="how-i-graded-the-evidence"/>
    <w:p>
      <w:pPr>
        <w:pStyle w:val="Heading3"/>
      </w:pPr>
      <w:r>
        <w:t xml:space="preserve">How I graded the evidence</w:t>
      </w:r>
    </w:p>
    <w:p>
      <w:pPr>
        <w:pStyle w:val="FirstParagraph"/>
      </w:pPr>
      <w:r>
        <w:t xml:space="preserve">I used six explicit criteria across products:</w:t>
      </w:r>
      <w:r>
        <w:t xml:space="preserve"> </w:t>
      </w:r>
      <w:r>
        <w:rPr>
          <w:b/>
          <w:bCs/>
        </w:rPr>
        <w:t xml:space="preserve">risk of bias</w:t>
      </w:r>
      <w:r>
        <w:t xml:space="preserve">,</w:t>
      </w:r>
      <w:r>
        <w:t xml:space="preserve"> </w:t>
      </w:r>
      <w:r>
        <w:rPr>
          <w:b/>
          <w:bCs/>
        </w:rPr>
        <w:t xml:space="preserve">consistency</w:t>
      </w:r>
      <w:r>
        <w:t xml:space="preserve">,</w:t>
      </w:r>
      <w:r>
        <w:t xml:space="preserve"> </w:t>
      </w:r>
      <w:r>
        <w:rPr>
          <w:b/>
          <w:bCs/>
        </w:rPr>
        <w:t xml:space="preserve">directness</w:t>
      </w:r>
      <w:r>
        <w:t xml:space="preserve">,</w:t>
      </w:r>
      <w:r>
        <w:t xml:space="preserve"> </w:t>
      </w:r>
      <w:r>
        <w:rPr>
          <w:b/>
          <w:bCs/>
        </w:rPr>
        <w:t xml:space="preserve">precision</w:t>
      </w:r>
      <w:r>
        <w:t xml:space="preserve">,</w:t>
      </w:r>
      <w:r>
        <w:t xml:space="preserve"> </w:t>
      </w:r>
      <w:r>
        <w:rPr>
          <w:b/>
          <w:bCs/>
        </w:rPr>
        <w:t xml:space="preserve">magnitude</w:t>
      </w:r>
      <w:r>
        <w:t xml:space="preserve">, and</w:t>
      </w:r>
      <w:r>
        <w:t xml:space="preserve"> </w:t>
      </w:r>
      <w:r>
        <w:rPr>
          <w:b/>
          <w:bCs/>
        </w:rPr>
        <w:t xml:space="preserve">applicability</w:t>
      </w:r>
      <w:r>
        <w:t xml:space="preserve">. I treated dedicated adult IH randomized evidence as the anchor, then downgraded for enriched randomized-withdrawal designs, open-label designs, sparse replication, missing precision estimates, and absent regulatory confirmation. I upgraded only when signals were large, consistent across critical outcomes, and supported by longer-term or objective/functional data. This is GRADE-like rather than formal GRADE, because the evidence bodies are small and the datasets are not fully harmonized.</w:t>
      </w:r>
      <w:r>
        <w:t xml:space="preserve"> </w:t>
      </w:r>
      <w:hyperlink r:id="rId21">
        <w:r>
          <w:rPr>
            <w:rStyle w:val="Hyperlink"/>
          </w:rPr>
          <w:t xml:space="preserve">[27]</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Product</w:t>
            </w:r>
          </w:p>
        </w:tc>
        <w:tc>
          <w:tcPr/>
          <w:p>
            <w:pPr>
              <w:pStyle w:val="Compact"/>
            </w:pPr>
            <w:r>
              <w:t xml:space="preserve">Risk of bias</w:t>
            </w:r>
          </w:p>
        </w:tc>
        <w:tc>
          <w:tcPr/>
          <w:p>
            <w:pPr>
              <w:pStyle w:val="Compact"/>
            </w:pPr>
            <w:r>
              <w:t xml:space="preserve">Consistency</w:t>
            </w:r>
          </w:p>
        </w:tc>
        <w:tc>
          <w:tcPr/>
          <w:p>
            <w:pPr>
              <w:pStyle w:val="Compact"/>
            </w:pPr>
            <w:r>
              <w:t xml:space="preserve">Directness</w:t>
            </w:r>
          </w:p>
        </w:tc>
        <w:tc>
          <w:tcPr/>
          <w:p>
            <w:pPr>
              <w:pStyle w:val="Compact"/>
            </w:pPr>
            <w:r>
              <w:t xml:space="preserve">Precision</w:t>
            </w:r>
          </w:p>
        </w:tc>
        <w:tc>
          <w:tcPr/>
          <w:p>
            <w:pPr>
              <w:pStyle w:val="Compact"/>
            </w:pPr>
            <w:r>
              <w:t xml:space="preserve">Magnitude</w:t>
            </w:r>
          </w:p>
        </w:tc>
        <w:tc>
          <w:tcPr/>
          <w:p>
            <w:pPr>
              <w:pStyle w:val="Compact"/>
            </w:pPr>
            <w:r>
              <w:t xml:space="preserve">Applicability</w:t>
            </w:r>
          </w:p>
        </w:tc>
        <w:tc>
          <w:tcPr/>
          <w:p>
            <w:pPr>
              <w:pStyle w:val="Compact"/>
            </w:pPr>
            <w:r>
              <w:t xml:space="preserve">Overall certainty for treating adult IH</w:t>
            </w:r>
          </w:p>
        </w:tc>
      </w:tr>
      <w:tr>
        <w:tc>
          <w:tcPr/>
          <w:p>
            <w:pPr>
              <w:pStyle w:val="Compact"/>
            </w:pPr>
            <w:r>
              <w:t xml:space="preserve">Xywav</w:t>
            </w:r>
          </w:p>
        </w:tc>
        <w:tc>
          <w:tcPr/>
          <w:p>
            <w:pPr>
              <w:pStyle w:val="Compact"/>
            </w:pPr>
            <w:r>
              <w:rPr>
                <w:b/>
                <w:bCs/>
              </w:rPr>
              <w:t xml:space="preserve">Moderate risk</w:t>
            </w:r>
            <w:r>
              <w:t xml:space="preserve">. Key issue is responder-enriched randomized withdrawal in pivotal study; DUET is open-label single-arm</w:t>
            </w:r>
          </w:p>
        </w:tc>
        <w:tc>
          <w:tcPr/>
          <w:p>
            <w:pPr>
              <w:pStyle w:val="Compact"/>
            </w:pPr>
            <w:r>
              <w:rPr>
                <w:b/>
                <w:bCs/>
              </w:rPr>
              <w:t xml:space="preserve">Moderate to high</w:t>
            </w:r>
            <w:r>
              <w:t xml:space="preserve">. Direction of effect is consistent across pivotal trial, OLE, and DUET on ESS and IH burden</w:t>
            </w:r>
          </w:p>
        </w:tc>
        <w:tc>
          <w:tcPr/>
          <w:p>
            <w:pPr>
              <w:pStyle w:val="Compact"/>
            </w:pPr>
            <w:r>
              <w:rPr>
                <w:b/>
                <w:bCs/>
              </w:rPr>
              <w:t xml:space="preserve">High</w:t>
            </w:r>
            <w:r>
              <w:t xml:space="preserve"> </w:t>
            </w:r>
            <w:r>
              <w:t xml:space="preserve">for adult IH because studies are IH-specific and label-aligned</w:t>
            </w:r>
          </w:p>
        </w:tc>
        <w:tc>
          <w:tcPr/>
          <w:p>
            <w:pPr>
              <w:pStyle w:val="Compact"/>
            </w:pPr>
            <w:r>
              <w:rPr>
                <w:b/>
                <w:bCs/>
              </w:rPr>
              <w:t xml:space="preserve">Moderate</w:t>
            </w:r>
            <w:r>
              <w:t xml:space="preserve">. Pivotal randomized n is reasonable for a rare disease, but still not large; rare harms remain imprecise</w:t>
            </w:r>
          </w:p>
        </w:tc>
        <w:tc>
          <w:tcPr/>
          <w:p>
            <w:pPr>
              <w:pStyle w:val="Compact"/>
            </w:pPr>
            <w:r>
              <w:rPr>
                <w:b/>
                <w:bCs/>
              </w:rPr>
              <w:t xml:space="preserve">Large symptomatic signal</w:t>
            </w:r>
            <w:r>
              <w:t xml:space="preserve"> </w:t>
            </w:r>
            <w:r>
              <w:t xml:space="preserve">on ESS and IHSS; meaningful functional gains in DUET</w:t>
            </w:r>
          </w:p>
        </w:tc>
        <w:tc>
          <w:tcPr/>
          <w:p>
            <w:pPr>
              <w:pStyle w:val="Compact"/>
            </w:pPr>
            <w:r>
              <w:rPr>
                <w:b/>
                <w:bCs/>
              </w:rPr>
              <w:t xml:space="preserve">Moderate</w:t>
            </w:r>
            <w:r>
              <w:t xml:space="preserve">. Stable co-medications allowed, once- and twice-nightly regimens studied, but pediatric IH absent and long-sleep-time subtype not separately resolved</w:t>
            </w:r>
          </w:p>
        </w:tc>
        <w:tc>
          <w:tcPr/>
          <w:p>
            <w:pPr>
              <w:pStyle w:val="Compact"/>
            </w:pPr>
            <w:r>
              <w:rPr>
                <w:b/>
                <w:bCs/>
              </w:rPr>
              <w:t xml:space="preserve">Moderate certainty</w:t>
            </w:r>
            <w:r>
              <w:t xml:space="preserve"> </w:t>
            </w:r>
            <w:r>
              <w:t xml:space="preserve">for short-term adult IH symptom benefit;</w:t>
            </w:r>
            <w:r>
              <w:t xml:space="preserve"> </w:t>
            </w:r>
            <w:r>
              <w:rPr>
                <w:b/>
                <w:bCs/>
              </w:rPr>
              <w:t xml:space="preserve">low to moderate</w:t>
            </w:r>
            <w:r>
              <w:t xml:space="preserve"> </w:t>
            </w:r>
            <w:r>
              <w:t xml:space="preserve">for long-term functional and objective outcomes;</w:t>
            </w:r>
            <w:r>
              <w:t xml:space="preserve"> </w:t>
            </w:r>
            <w:r>
              <w:rPr>
                <w:b/>
                <w:bCs/>
              </w:rPr>
              <w:t xml:space="preserve">low</w:t>
            </w:r>
            <w:r>
              <w:t xml:space="preserve"> </w:t>
            </w:r>
            <w:r>
              <w:t xml:space="preserve">for uncommon harms</w:t>
            </w:r>
          </w:p>
        </w:tc>
      </w:tr>
      <w:tr>
        <w:tc>
          <w:tcPr/>
          <w:p>
            <w:pPr>
              <w:pStyle w:val="Compact"/>
            </w:pPr>
            <w:r>
              <w:t xml:space="preserve">Xyrem</w:t>
            </w:r>
          </w:p>
        </w:tc>
        <w:tc>
          <w:tcPr/>
          <w:p>
            <w:pPr>
              <w:pStyle w:val="Compact"/>
            </w:pPr>
            <w:r>
              <w:rPr>
                <w:b/>
                <w:bCs/>
              </w:rPr>
              <w:t xml:space="preserve">Moderate to serious risk</w:t>
            </w:r>
            <w:r>
              <w:t xml:space="preserve"> </w:t>
            </w:r>
            <w:r>
              <w:t xml:space="preserve">overall. One RCT helps, but the body still leans heavily on retrospective data</w:t>
            </w:r>
          </w:p>
        </w:tc>
        <w:tc>
          <w:tcPr/>
          <w:p>
            <w:pPr>
              <w:pStyle w:val="Compact"/>
            </w:pPr>
            <w:r>
              <w:rPr>
                <w:b/>
                <w:bCs/>
              </w:rPr>
              <w:t xml:space="preserve">Low to moderate</w:t>
            </w:r>
            <w:r>
              <w:t xml:space="preserve">. Existing studies point the same way, but there are few of them</w:t>
            </w:r>
          </w:p>
        </w:tc>
        <w:tc>
          <w:tcPr/>
          <w:p>
            <w:pPr>
              <w:pStyle w:val="Compact"/>
            </w:pPr>
            <w:r>
              <w:rPr>
                <w:b/>
                <w:bCs/>
              </w:rPr>
              <w:t xml:space="preserve">Moderate</w:t>
            </w:r>
            <w:r>
              <w:t xml:space="preserve">. Direct adult IH studies exist, but no IH regulatory indication and older diagnostic era affects some observational evidence</w:t>
            </w:r>
          </w:p>
        </w:tc>
        <w:tc>
          <w:tcPr/>
          <w:p>
            <w:pPr>
              <w:pStyle w:val="Compact"/>
            </w:pPr>
            <w:r>
              <w:rPr>
                <w:b/>
                <w:bCs/>
              </w:rPr>
              <w:t xml:space="preserve">Low to moderate</w:t>
            </w:r>
            <w:r>
              <w:t xml:space="preserve">. Exact granular public values are incomplete, and the evidence base is small</w:t>
            </w:r>
          </w:p>
        </w:tc>
        <w:tc>
          <w:tcPr/>
          <w:p>
            <w:pPr>
              <w:pStyle w:val="Compact"/>
            </w:pPr>
            <w:r>
              <w:rPr>
                <w:b/>
                <w:bCs/>
              </w:rPr>
              <w:t xml:space="preserve">Potentially large</w:t>
            </w:r>
            <w:r>
              <w:t xml:space="preserve">, especially in the 2025 RCT on IHSS and MWT</w:t>
            </w:r>
          </w:p>
        </w:tc>
        <w:tc>
          <w:tcPr/>
          <w:p>
            <w:pPr>
              <w:pStyle w:val="Compact"/>
            </w:pPr>
            <w:r>
              <w:rPr>
                <w:b/>
                <w:bCs/>
              </w:rPr>
              <w:t xml:space="preserve">Moderate</w:t>
            </w:r>
            <w:r>
              <w:t xml:space="preserve"> </w:t>
            </w:r>
            <w:r>
              <w:t xml:space="preserve">for refractory adult specialist practice; weaker for broad routine care</w:t>
            </w:r>
          </w:p>
        </w:tc>
        <w:tc>
          <w:tcPr/>
          <w:p>
            <w:pPr>
              <w:pStyle w:val="Compact"/>
            </w:pPr>
            <w:r>
              <w:rPr>
                <w:b/>
                <w:bCs/>
              </w:rPr>
              <w:t xml:space="preserve">Low certainty</w:t>
            </w:r>
            <w:r>
              <w:t xml:space="preserve"> </w:t>
            </w:r>
            <w:r>
              <w:t xml:space="preserve">overall</w:t>
            </w:r>
          </w:p>
        </w:tc>
      </w:tr>
      <w:tr>
        <w:tc>
          <w:tcPr/>
          <w:p>
            <w:pPr>
              <w:pStyle w:val="Compact"/>
            </w:pPr>
            <w:r>
              <w:t xml:space="preserve">Lumryz</w:t>
            </w:r>
          </w:p>
        </w:tc>
        <w:tc>
          <w:tcPr/>
          <w:p>
            <w:pPr>
              <w:pStyle w:val="Compact"/>
            </w:pPr>
            <w:r>
              <w:rPr>
                <w:b/>
                <w:bCs/>
              </w:rPr>
              <w:t xml:space="preserve">Very uncertain</w:t>
            </w:r>
            <w:r>
              <w:t xml:space="preserve"> </w:t>
            </w:r>
            <w:r>
              <w:t xml:space="preserve">for IH because no public results yet</w:t>
            </w:r>
          </w:p>
        </w:tc>
        <w:tc>
          <w:tcPr/>
          <w:p>
            <w:pPr>
              <w:pStyle w:val="Compact"/>
            </w:pPr>
            <w:r>
              <w:rPr>
                <w:b/>
                <w:bCs/>
              </w:rPr>
              <w:t xml:space="preserve">Cannot assess</w:t>
            </w:r>
          </w:p>
        </w:tc>
        <w:tc>
          <w:tcPr/>
          <w:p>
            <w:pPr>
              <w:pStyle w:val="Compact"/>
            </w:pPr>
            <w:r>
              <w:rPr>
                <w:b/>
                <w:bCs/>
              </w:rPr>
              <w:t xml:space="preserve">Low for IH</w:t>
            </w:r>
            <w:r>
              <w:t xml:space="preserve"> </w:t>
            </w:r>
            <w:r>
              <w:t xml:space="preserve">because available evidence is indirect from narcolepsy plus protocol-only IH information</w:t>
            </w:r>
          </w:p>
        </w:tc>
        <w:tc>
          <w:tcPr/>
          <w:p>
            <w:pPr>
              <w:pStyle w:val="Compact"/>
            </w:pPr>
            <w:r>
              <w:rPr>
                <w:b/>
                <w:bCs/>
              </w:rPr>
              <w:t xml:space="preserve">Very low</w:t>
            </w:r>
          </w:p>
        </w:tc>
        <w:tc>
          <w:tcPr/>
          <w:p>
            <w:pPr>
              <w:pStyle w:val="Compact"/>
            </w:pPr>
            <w:r>
              <w:rPr>
                <w:b/>
                <w:bCs/>
              </w:rPr>
              <w:t xml:space="preserve">Cannot assess</w:t>
            </w:r>
          </w:p>
        </w:tc>
        <w:tc>
          <w:tcPr/>
          <w:p>
            <w:pPr>
              <w:pStyle w:val="Compact"/>
            </w:pPr>
            <w:r>
              <w:rPr>
                <w:b/>
                <w:bCs/>
              </w:rPr>
              <w:t xml:space="preserve">Potential future applicability is high</w:t>
            </w:r>
            <w:r>
              <w:t xml:space="preserve"> </w:t>
            </w:r>
            <w:r>
              <w:t xml:space="preserve">because once-nightly dosing may reduce burden, but this is not evidence of IH efficacy</w:t>
            </w:r>
          </w:p>
        </w:tc>
        <w:tc>
          <w:tcPr/>
          <w:p>
            <w:pPr>
              <w:pStyle w:val="Compact"/>
            </w:pPr>
            <w:r>
              <w:rPr>
                <w:b/>
                <w:bCs/>
              </w:rPr>
              <w:t xml:space="preserve">Very low or insufficient certainty</w:t>
            </w:r>
          </w:p>
        </w:tc>
      </w:tr>
    </w:tbl>
    <w:bookmarkEnd w:id="39"/>
    <w:bookmarkStart w:id="40" w:name="ranked-list"/>
    <w:p>
      <w:pPr>
        <w:pStyle w:val="Heading3"/>
      </w:pPr>
      <w:r>
        <w:t xml:space="preserve">Ranked list</w:t>
      </w:r>
    </w:p>
    <w:p>
      <w:pPr>
        <w:pStyle w:val="FirstParagraph"/>
      </w:pPr>
      <w:r>
        <w:rPr>
          <w:b/>
          <w:bCs/>
        </w:rPr>
        <w:t xml:space="preserve">First, Xywav.</w:t>
      </w:r>
      <w:r>
        <w:t xml:space="preserve"> </w:t>
      </w:r>
      <w:r>
        <w:t xml:space="preserve">This is the only product with an adult IH indication from the US regulator, the only product with a full sponsor-led phase 3 registration program in IH, and the only product with a coherent package spanning pivotal efficacy, extension follow-up, and phase 4 prospective confirmation. The main methodological weakness, the enriched withdrawal design, matters, but it does not erase the fact that every other branded oxybate is still shallower on breadth and regulatory maturity.</w:t>
      </w:r>
      <w:r>
        <w:t xml:space="preserve"> </w:t>
      </w:r>
      <w:hyperlink r:id="rId28">
        <w:r>
          <w:rPr>
            <w:rStyle w:val="Hyperlink"/>
          </w:rPr>
          <w:t xml:space="preserve">[28]</w:t>
        </w:r>
      </w:hyperlink>
    </w:p>
    <w:p>
      <w:pPr>
        <w:pStyle w:val="BodyText"/>
      </w:pPr>
      <w:r>
        <w:rPr>
          <w:b/>
          <w:bCs/>
        </w:rPr>
        <w:t xml:space="preserve">Second, Xyrem.</w:t>
      </w:r>
      <w:r>
        <w:t xml:space="preserve"> </w:t>
      </w:r>
      <w:r>
        <w:t xml:space="preserve">If I ranked by strength of the single best academic efficacy signal alone, Xyrem would be more competitive than many clinicians assume, because the 2025 RCT reported substantial benefits on IH severity and MWT latency, and the older chart review found clinically relevant benefit on sleepiness and morning inertia. It still ranks second because the evidence is not yet broad, not replicated across multiple prospective studies, not embedded in an IH-specific regulatory program, and not paired with the richer modern functional dataset that Xywav now has.</w:t>
      </w:r>
      <w:r>
        <w:t xml:space="preserve"> </w:t>
      </w:r>
      <w:hyperlink r:id="rId27">
        <w:r>
          <w:rPr>
            <w:rStyle w:val="Hyperlink"/>
          </w:rPr>
          <w:t xml:space="preserve">[29]</w:t>
        </w:r>
      </w:hyperlink>
    </w:p>
    <w:p>
      <w:pPr>
        <w:pStyle w:val="BodyText"/>
      </w:pPr>
      <w:r>
        <w:rPr>
          <w:b/>
          <w:bCs/>
        </w:rPr>
        <w:t xml:space="preserve">Third, Lumryz.</w:t>
      </w:r>
      <w:r>
        <w:t xml:space="preserve"> </w:t>
      </w:r>
      <w:r>
        <w:t xml:space="preserve">There is no defensible way to rank Lumryz above either Xywav or Xyrem for IH until public REVITALYZ results exist. The formulation rationale is strong and the once-nightly regimen may ultimately matter for adherence and nighttime disruption, but that is a hypothesis for IH until shown in patients with IH.</w:t>
      </w:r>
      <w:r>
        <w:t xml:space="preserve"> </w:t>
      </w:r>
      <w:hyperlink r:id="rId26">
        <w:r>
          <w:rPr>
            <w:rStyle w:val="Hyperlink"/>
          </w:rPr>
          <w:t xml:space="preserve">[30]</w:t>
        </w:r>
      </w:hyperlink>
    </w:p>
    <w:bookmarkEnd w:id="40"/>
    <w:bookmarkEnd w:id="41"/>
    <w:bookmarkStart w:id="45" w:name="X290acf58569ffdd75c6bb22d963fe2aa01183d5"/>
    <w:p>
      <w:pPr>
        <w:pStyle w:val="Heading2"/>
      </w:pPr>
      <w:r>
        <w:t xml:space="preserve">Evidence gaps and concrete study proposals</w:t>
      </w:r>
    </w:p>
    <w:bookmarkStart w:id="42" w:name="cross-cutting-gaps"/>
    <w:p>
      <w:pPr>
        <w:pStyle w:val="Heading3"/>
      </w:pPr>
      <w:r>
        <w:t xml:space="preserve">Cross-cutting gaps</w:t>
      </w:r>
    </w:p>
    <w:p>
      <w:pPr>
        <w:pStyle w:val="FirstParagraph"/>
      </w:pPr>
      <w:r>
        <w:t xml:space="preserve">Across the oxybate class, the main evidence defects in IH are the same: too few</w:t>
      </w:r>
      <w:r>
        <w:t xml:space="preserve"> </w:t>
      </w:r>
      <w:r>
        <w:rPr>
          <w:b/>
          <w:bCs/>
        </w:rPr>
        <w:t xml:space="preserve">head-to-head trials</w:t>
      </w:r>
      <w:r>
        <w:t xml:space="preserve">, too little</w:t>
      </w:r>
      <w:r>
        <w:t xml:space="preserve"> </w:t>
      </w:r>
      <w:r>
        <w:rPr>
          <w:b/>
          <w:bCs/>
        </w:rPr>
        <w:t xml:space="preserve">pediatric IH</w:t>
      </w:r>
      <w:r>
        <w:t xml:space="preserve"> </w:t>
      </w:r>
      <w:r>
        <w:t xml:space="preserve">data, limited</w:t>
      </w:r>
      <w:r>
        <w:t xml:space="preserve"> </w:t>
      </w:r>
      <w:r>
        <w:rPr>
          <w:b/>
          <w:bCs/>
        </w:rPr>
        <w:t xml:space="preserve">objective sleep physiology</w:t>
      </w:r>
      <w:r>
        <w:t xml:space="preserve"> </w:t>
      </w:r>
      <w:r>
        <w:t xml:space="preserve">in registration-grade studies, limited</w:t>
      </w:r>
      <w:r>
        <w:t xml:space="preserve"> </w:t>
      </w:r>
      <w:r>
        <w:rPr>
          <w:b/>
          <w:bCs/>
        </w:rPr>
        <w:t xml:space="preserve">driving/cognitive performance</w:t>
      </w:r>
      <w:r>
        <w:t xml:space="preserve"> </w:t>
      </w:r>
      <w:r>
        <w:t xml:space="preserve">outcomes, sparse</w:t>
      </w:r>
      <w:r>
        <w:t xml:space="preserve"> </w:t>
      </w:r>
      <w:r>
        <w:rPr>
          <w:b/>
          <w:bCs/>
        </w:rPr>
        <w:t xml:space="preserve">rare-event safety</w:t>
      </w:r>
      <w:r>
        <w:t xml:space="preserve"> </w:t>
      </w:r>
      <w:r>
        <w:t xml:space="preserve">capture, and inadequate stratification by</w:t>
      </w:r>
      <w:r>
        <w:t xml:space="preserve"> </w:t>
      </w:r>
      <w:r>
        <w:rPr>
          <w:b/>
          <w:bCs/>
        </w:rPr>
        <w:t xml:space="preserve">long-sleep-time phenotype</w:t>
      </w:r>
      <w:r>
        <w:t xml:space="preserve">, prior oxybate exposure, and cardiometabolic risk. The best current prospective functional and objective data come from Xywav DUET, but even DUET is single-arm and small.</w:t>
      </w:r>
      <w:r>
        <w:t xml:space="preserve"> </w:t>
      </w:r>
      <w:hyperlink r:id="rId25">
        <w:r>
          <w:rPr>
            <w:rStyle w:val="Hyperlink"/>
          </w:rPr>
          <w:t xml:space="preserve">[31]</w:t>
        </w:r>
      </w:hyperlink>
    </w:p>
    <w:bookmarkEnd w:id="42"/>
    <w:bookmarkStart w:id="43" w:name="product-specific-gaps-and-proposed-fixes"/>
    <w:p>
      <w:pPr>
        <w:pStyle w:val="Heading3"/>
      </w:pPr>
      <w:r>
        <w:t xml:space="preserve">Product-specific gaps and proposed fixes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Product</w:t>
            </w:r>
          </w:p>
        </w:tc>
        <w:tc>
          <w:tcPr/>
          <w:p>
            <w:pPr>
              <w:pStyle w:val="Compact"/>
            </w:pPr>
            <w:r>
              <w:t xml:space="preserve">Key evidence gap</w:t>
            </w:r>
          </w:p>
        </w:tc>
        <w:tc>
          <w:tcPr/>
          <w:p>
            <w:pPr>
              <w:pStyle w:val="Compact"/>
            </w:pPr>
            <w:r>
              <w:t xml:space="preserve">Concrete study design</w:t>
            </w:r>
          </w:p>
        </w:tc>
        <w:tc>
          <w:tcPr/>
          <w:p>
            <w:pPr>
              <w:pStyle w:val="Compact"/>
            </w:pPr>
            <w:r>
              <w:t xml:space="preserve">Endpoints</w:t>
            </w:r>
          </w:p>
        </w:tc>
        <w:tc>
          <w:tcPr/>
          <w:p>
            <w:pPr>
              <w:pStyle w:val="Compact"/>
              <w:jc w:val="right"/>
            </w:pPr>
            <w:r>
              <w:t xml:space="preserve">Approximate sample size</w:t>
            </w:r>
          </w:p>
        </w:tc>
        <w:tc>
          <w:tcPr/>
          <w:p>
            <w:pPr>
              <w:pStyle w:val="Compact"/>
            </w:pPr>
            <w:r>
              <w:t xml:space="preserve">Duration</w:t>
            </w:r>
          </w:p>
        </w:tc>
        <w:tc>
          <w:tcPr/>
          <w:p>
            <w:pPr>
              <w:pStyle w:val="Compact"/>
            </w:pPr>
            <w:r>
              <w:t xml:space="preserve">Feasibility</w:t>
            </w:r>
          </w:p>
        </w:tc>
      </w:tr>
      <w:tr>
        <w:tc>
          <w:tcPr/>
          <w:p>
            <w:pPr>
              <w:pStyle w:val="Compact"/>
            </w:pPr>
            <w:r>
              <w:t xml:space="preserve">Xyrem</w:t>
            </w:r>
          </w:p>
        </w:tc>
        <w:tc>
          <w:tcPr/>
          <w:p>
            <w:pPr>
              <w:pStyle w:val="Compact"/>
            </w:pPr>
            <w:r>
              <w:t xml:space="preserve">Needs replication in modern adult IH population with contemporary outcome set</w:t>
            </w:r>
          </w:p>
        </w:tc>
        <w:tc>
          <w:tcPr/>
          <w:p>
            <w:pPr>
              <w:pStyle w:val="Compact"/>
            </w:pPr>
            <w:r>
              <w:t xml:space="preserve">Multinational, double-blind, placebo-controlled adult IH RCT, parallel-group if feasible, otherwise randomized withdrawal with mandated reporting of pre-randomization response distribution</w:t>
            </w:r>
          </w:p>
        </w:tc>
        <w:tc>
          <w:tcPr/>
          <w:p>
            <w:pPr>
              <w:pStyle w:val="Compact"/>
            </w:pPr>
            <w:r>
              <w:t xml:space="preserve">Co-primary ESS and IHSS; key secondaries MWT, PGI-C, FOSQ-10, WPAI, sleep inertia VAS, actigraphy</w:t>
            </w:r>
          </w:p>
        </w:tc>
        <w:tc>
          <w:tcPr/>
          <w:p>
            <w:pPr>
              <w:pStyle w:val="Compact"/>
              <w:jc w:val="right"/>
            </w:pPr>
            <w:r>
              <w:rPr>
                <w:b/>
                <w:bCs/>
              </w:rPr>
              <w:t xml:space="preserve">120 to 140 total</w:t>
            </w:r>
            <w:r>
              <w:t xml:space="preserve"> </w:t>
            </w:r>
            <w:r>
              <w:t xml:space="preserve">for superiority on a 3-point ESS or 6-point IHSS difference with SD around 5 or 10 and 90% power after modest attrition;</w:t>
            </w:r>
            <w:r>
              <w:t xml:space="preserve"> </w:t>
            </w:r>
            <w:r>
              <w:rPr>
                <w:b/>
                <w:bCs/>
              </w:rPr>
              <w:t xml:space="preserve">larger, about 260 to 320 total</w:t>
            </w:r>
            <w:r>
              <w:t xml:space="preserve">, for active-comparator noninferiority designs using a 2-point ESS margin</w:t>
            </w:r>
          </w:p>
        </w:tc>
        <w:tc>
          <w:tcPr/>
          <w:p>
            <w:pPr>
              <w:pStyle w:val="Compact"/>
            </w:pPr>
            <w:r>
              <w:t xml:space="preserve">12-week blinded treatment plus 40-week extension</w:t>
            </w:r>
          </w:p>
        </w:tc>
        <w:tc>
          <w:tcPr/>
          <w:p>
            <w:pPr>
              <w:pStyle w:val="Compact"/>
            </w:pPr>
            <w:r>
              <w:t xml:space="preserve">Scientifically straightforward, commercially harder because the product lacks an obvious IH label pathway sponsor unless academically funded</w:t>
            </w:r>
          </w:p>
        </w:tc>
      </w:tr>
      <w:tr>
        <w:tc>
          <w:tcPr/>
          <w:p>
            <w:pPr>
              <w:pStyle w:val="Compact"/>
            </w:pPr>
            <w:r>
              <w:t xml:space="preserve">Xyrem</w:t>
            </w:r>
          </w:p>
        </w:tc>
        <w:tc>
          <w:tcPr/>
          <w:p>
            <w:pPr>
              <w:pStyle w:val="Compact"/>
            </w:pPr>
            <w:r>
              <w:t xml:space="preserve">Long-term safety, psychiatric effects, discontinuation, sleep-disordered breathing</w:t>
            </w:r>
          </w:p>
        </w:tc>
        <w:tc>
          <w:tcPr/>
          <w:p>
            <w:pPr>
              <w:pStyle w:val="Compact"/>
            </w:pPr>
            <w:r>
              <w:t xml:space="preserve">Prospective registry across expert hypersomnia centers</w:t>
            </w:r>
          </w:p>
        </w:tc>
        <w:tc>
          <w:tcPr/>
          <w:p>
            <w:pPr>
              <w:pStyle w:val="Compact"/>
            </w:pPr>
            <w:r>
              <w:t xml:space="preserve">Discontinuation, falls, depression/suicidality, sleep apnea metrics, ER visits, weight, blood pressure</w:t>
            </w:r>
          </w:p>
        </w:tc>
        <w:tc>
          <w:tcPr/>
          <w:p>
            <w:pPr>
              <w:pStyle w:val="Compact"/>
              <w:jc w:val="right"/>
            </w:pPr>
            <w:r>
              <w:rPr>
                <w:b/>
                <w:bCs/>
              </w:rPr>
              <w:t xml:space="preserve">300 to 500</w:t>
            </w:r>
            <w:r>
              <w:t xml:space="preserve"> </w:t>
            </w:r>
            <w:r>
              <w:t xml:space="preserve">adults</w:t>
            </w:r>
          </w:p>
        </w:tc>
        <w:tc>
          <w:tcPr/>
          <w:p>
            <w:pPr>
              <w:pStyle w:val="Compact"/>
            </w:pPr>
            <w:r>
              <w:t xml:space="preserve">3 to 5 years</w:t>
            </w:r>
          </w:p>
        </w:tc>
        <w:tc>
          <w:tcPr/>
          <w:p>
            <w:pPr>
              <w:pStyle w:val="Compact"/>
            </w:pPr>
            <w:r>
              <w:t xml:space="preserve">High scientific value, moderate operational feasibility through consortium or foundation infrastructure</w:t>
            </w:r>
          </w:p>
        </w:tc>
      </w:tr>
      <w:tr>
        <w:tc>
          <w:tcPr/>
          <w:p>
            <w:pPr>
              <w:pStyle w:val="Compact"/>
            </w:pPr>
            <w:r>
              <w:t xml:space="preserve">Lumryz</w:t>
            </w:r>
          </w:p>
        </w:tc>
        <w:tc>
          <w:tcPr/>
          <w:p>
            <w:pPr>
              <w:pStyle w:val="Compact"/>
            </w:pPr>
            <w:r>
              <w:t xml:space="preserve">No public IH efficacy data yet</w:t>
            </w:r>
          </w:p>
        </w:tc>
        <w:tc>
          <w:tcPr/>
          <w:p>
            <w:pPr>
              <w:pStyle w:val="Compact"/>
            </w:pPr>
            <w:r>
              <w:t xml:space="preserve">Complete REVITALYZ reporting and publish full CONSORT dataset, including subgroup analyses by prior oxybate use and long-sleep-time phenotype</w:t>
            </w:r>
          </w:p>
        </w:tc>
        <w:tc>
          <w:tcPr/>
          <w:p>
            <w:pPr>
              <w:pStyle w:val="Compact"/>
            </w:pPr>
            <w:r>
              <w:t xml:space="preserve">ESS primary; IHSS, PGI-C, CGI-C, FOSQ-10, sleep inertia, safety</w:t>
            </w:r>
          </w:p>
        </w:tc>
        <w:tc>
          <w:tcPr/>
          <w:p>
            <w:pPr>
              <w:pStyle w:val="Compact"/>
              <w:jc w:val="right"/>
            </w:pPr>
            <w:r>
              <w:t xml:space="preserve">Current trial already sized at about</w:t>
            </w:r>
            <w:r>
              <w:t xml:space="preserve"> </w:t>
            </w:r>
            <w:r>
              <w:rPr>
                <w:b/>
                <w:bCs/>
              </w:rPr>
              <w:t xml:space="preserve">150</w:t>
            </w:r>
          </w:p>
        </w:tc>
        <w:tc>
          <w:tcPr/>
          <w:p>
            <w:pPr>
              <w:pStyle w:val="Compact"/>
            </w:pPr>
            <w:r>
              <w:t xml:space="preserve">Ongoing / near readout in reviewed sources</w:t>
            </w:r>
          </w:p>
        </w:tc>
        <w:tc>
          <w:tcPr/>
          <w:p>
            <w:pPr>
              <w:pStyle w:val="Compact"/>
            </w:pPr>
            <w:r>
              <w:t xml:space="preserve">High feasibility because program already underway</w:t>
            </w:r>
          </w:p>
        </w:tc>
      </w:tr>
      <w:tr>
        <w:tc>
          <w:tcPr/>
          <w:p>
            <w:pPr>
              <w:pStyle w:val="Compact"/>
            </w:pPr>
            <w:r>
              <w:t xml:space="preserve">Lumryz</w:t>
            </w:r>
          </w:p>
        </w:tc>
        <w:tc>
          <w:tcPr/>
          <w:p>
            <w:pPr>
              <w:pStyle w:val="Compact"/>
            </w:pPr>
            <w:r>
              <w:t xml:space="preserve">Needs comparative value case versus twice-nightly oxybate</w:t>
            </w:r>
          </w:p>
        </w:tc>
        <w:tc>
          <w:tcPr/>
          <w:p>
            <w:pPr>
              <w:pStyle w:val="Compact"/>
            </w:pPr>
            <w:r>
              <w:t xml:space="preserve">Open-label randomized, rater-blinded comparative-effectiveness trial against Xywav after both have adult IH evidence</w:t>
            </w:r>
          </w:p>
        </w:tc>
        <w:tc>
          <w:tcPr/>
          <w:p>
            <w:pPr>
              <w:pStyle w:val="Compact"/>
            </w:pPr>
            <w:r>
              <w:t xml:space="preserve">ESS and IHSS noninferiority; adherence and persistence superiority; treatment satisfaction; nighttime awakening burden; work productivity</w:t>
            </w:r>
          </w:p>
        </w:tc>
        <w:tc>
          <w:tcPr/>
          <w:p>
            <w:pPr>
              <w:pStyle w:val="Compact"/>
              <w:jc w:val="right"/>
            </w:pPr>
            <w:r>
              <w:rPr>
                <w:b/>
                <w:bCs/>
              </w:rPr>
              <w:t xml:space="preserve">150 to 180</w:t>
            </w:r>
            <w:r>
              <w:t xml:space="preserve"> </w:t>
            </w:r>
            <w:r>
              <w:t xml:space="preserve">total is a realistic target for noninferiority on ESS plus adherence outcomes</w:t>
            </w:r>
          </w:p>
        </w:tc>
        <w:tc>
          <w:tcPr/>
          <w:p>
            <w:pPr>
              <w:pStyle w:val="Compact"/>
            </w:pPr>
            <w:r>
              <w:t xml:space="preserve">24 to 26 weeks</w:t>
            </w:r>
          </w:p>
        </w:tc>
        <w:tc>
          <w:tcPr/>
          <w:p>
            <w:pPr>
              <w:pStyle w:val="Compact"/>
            </w:pPr>
            <w:r>
              <w:t xml:space="preserve">Feasible after public IH results and if payer-facing differentiation is desired</w:t>
            </w:r>
          </w:p>
        </w:tc>
      </w:tr>
      <w:tr>
        <w:tc>
          <w:tcPr/>
          <w:p>
            <w:pPr>
              <w:pStyle w:val="Compact"/>
            </w:pPr>
            <w:r>
              <w:t xml:space="preserve">Xywav</w:t>
            </w:r>
          </w:p>
        </w:tc>
        <w:tc>
          <w:tcPr/>
          <w:p>
            <w:pPr>
              <w:pStyle w:val="Compact"/>
            </w:pPr>
            <w:r>
              <w:t xml:space="preserve">Pediatric IH absent</w:t>
            </w:r>
          </w:p>
        </w:tc>
        <w:tc>
          <w:tcPr/>
          <w:p>
            <w:pPr>
              <w:pStyle w:val="Compact"/>
            </w:pPr>
            <w:r>
              <w:t xml:space="preserve">Bayesian extrapolation plus open-label pediatric IH PK/PD and safety program, adolescents first</w:t>
            </w:r>
          </w:p>
        </w:tc>
        <w:tc>
          <w:tcPr/>
          <w:p>
            <w:pPr>
              <w:pStyle w:val="Compact"/>
            </w:pPr>
            <w:r>
              <w:t xml:space="preserve">Safety, ESS or pediatric sleepiness scale, caregiver-reported morning functioning, PK, PGI-C</w:t>
            </w:r>
          </w:p>
        </w:tc>
        <w:tc>
          <w:tcPr/>
          <w:p>
            <w:pPr>
              <w:pStyle w:val="Compact"/>
              <w:jc w:val="right"/>
            </w:pPr>
            <w:r>
              <w:rPr>
                <w:b/>
                <w:bCs/>
              </w:rPr>
              <w:t xml:space="preserve">40 to 60</w:t>
            </w:r>
            <w:r>
              <w:t xml:space="preserve"> </w:t>
            </w:r>
            <w:r>
              <w:t xml:space="preserve">adolescents, with adult borrowing to reduce required n</w:t>
            </w:r>
          </w:p>
        </w:tc>
        <w:tc>
          <w:tcPr/>
          <w:p>
            <w:pPr>
              <w:pStyle w:val="Compact"/>
            </w:pPr>
            <w:r>
              <w:t xml:space="preserve">26 weeks primary, 52 weeks extension</w:t>
            </w:r>
          </w:p>
        </w:tc>
        <w:tc>
          <w:tcPr/>
          <w:p>
            <w:pPr>
              <w:pStyle w:val="Compact"/>
            </w:pPr>
            <w:r>
              <w:t xml:space="preserve">Moderate to difficult because IH is rare and pediatric phenotype is heterogeneous</w:t>
            </w:r>
          </w:p>
        </w:tc>
      </w:tr>
      <w:tr>
        <w:tc>
          <w:tcPr/>
          <w:p>
            <w:pPr>
              <w:pStyle w:val="Compact"/>
            </w:pPr>
            <w:r>
              <w:t xml:space="preserve">Xywav</w:t>
            </w:r>
          </w:p>
        </w:tc>
        <w:tc>
          <w:tcPr/>
          <w:p>
            <w:pPr>
              <w:pStyle w:val="Compact"/>
            </w:pPr>
            <w:r>
              <w:t xml:space="preserve">Objective performance outcomes still underdeveloped</w:t>
            </w:r>
          </w:p>
        </w:tc>
        <w:tc>
          <w:tcPr/>
          <w:p>
            <w:pPr>
              <w:pStyle w:val="Compact"/>
            </w:pPr>
            <w:r>
              <w:t xml:space="preserve">Mechanistic trial nested in routine treatment initiation</w:t>
            </w:r>
          </w:p>
        </w:tc>
        <w:tc>
          <w:tcPr/>
          <w:p>
            <w:pPr>
              <w:pStyle w:val="Compact"/>
            </w:pPr>
            <w:r>
              <w:t xml:space="preserve">MWT, psychomotor vigilance, driving simulator, 24-hour PSG, actigraphy, digital cognition battery</w:t>
            </w:r>
          </w:p>
        </w:tc>
        <w:tc>
          <w:tcPr/>
          <w:p>
            <w:pPr>
              <w:pStyle w:val="Compact"/>
              <w:jc w:val="right"/>
            </w:pPr>
            <w:r>
              <w:rPr>
                <w:b/>
                <w:bCs/>
              </w:rPr>
              <w:t xml:space="preserve">40 to 60</w:t>
            </w:r>
            <w:r>
              <w:t xml:space="preserve"> </w:t>
            </w:r>
            <w:r>
              <w:t xml:space="preserve">adults</w:t>
            </w:r>
          </w:p>
        </w:tc>
        <w:tc>
          <w:tcPr/>
          <w:p>
            <w:pPr>
              <w:pStyle w:val="Compact"/>
            </w:pPr>
            <w:r>
              <w:t xml:space="preserve">12 to 18 months</w:t>
            </w:r>
          </w:p>
        </w:tc>
        <w:tc>
          <w:tcPr/>
          <w:p>
            <w:pPr>
              <w:pStyle w:val="Compact"/>
            </w:pPr>
            <w:r>
              <w:t xml:space="preserve">Moderately feasible at a few specialist centers</w:t>
            </w:r>
          </w:p>
        </w:tc>
      </w:tr>
    </w:tbl>
    <w:bookmarkEnd w:id="43"/>
    <w:bookmarkStart w:id="44" w:name="why-these-sample-sizes-are-reasonable"/>
    <w:p>
      <w:pPr>
        <w:pStyle w:val="Heading3"/>
      </w:pPr>
      <w:r>
        <w:t xml:space="preserve">Why these sample sizes are reasonable</w:t>
      </w:r>
    </w:p>
    <w:p>
      <w:pPr>
        <w:pStyle w:val="FirstParagraph"/>
      </w:pPr>
      <w:r>
        <w:t xml:space="preserve">For a two-arm superiority trial using a continuous endpoint, a useful back-of-the-envelope calculation is:</w:t>
      </w:r>
    </w:p>
    <w:p>
      <w:pPr>
        <w:pStyle w:val="Compact"/>
        <w:numPr>
          <w:ilvl w:val="0"/>
          <w:numId w:val="1001"/>
        </w:numPr>
      </w:pPr>
      <w:r>
        <w:t xml:space="preserve">ESS difference of</w:t>
      </w:r>
      <w:r>
        <w:t xml:space="preserve"> </w:t>
      </w:r>
      <w:r>
        <w:rPr>
          <w:b/>
          <w:bCs/>
        </w:rPr>
        <w:t xml:space="preserve">3 points</w:t>
      </w:r>
      <w:r>
        <w:t xml:space="preserve">, SD</w:t>
      </w:r>
      <w:r>
        <w:t xml:space="preserve"> </w:t>
      </w:r>
      <w:r>
        <w:rPr>
          <w:b/>
          <w:bCs/>
        </w:rPr>
        <w:t xml:space="preserve">5</w:t>
      </w:r>
      <w:r>
        <w:t xml:space="preserve">, alpha 0.05, 90% power gives roughly</w:t>
      </w:r>
      <w:r>
        <w:t xml:space="preserve"> </w:t>
      </w:r>
      <w:r>
        <w:rPr>
          <w:b/>
          <w:bCs/>
        </w:rPr>
        <w:t xml:space="preserve">59 patients per arm</w:t>
      </w:r>
    </w:p>
    <w:p>
      <w:pPr>
        <w:pStyle w:val="Compact"/>
        <w:numPr>
          <w:ilvl w:val="0"/>
          <w:numId w:val="1001"/>
        </w:numPr>
      </w:pPr>
      <w:r>
        <w:t xml:space="preserve">IHSS difference of</w:t>
      </w:r>
      <w:r>
        <w:t xml:space="preserve"> </w:t>
      </w:r>
      <w:r>
        <w:rPr>
          <w:b/>
          <w:bCs/>
        </w:rPr>
        <w:t xml:space="preserve">6 points</w:t>
      </w:r>
      <w:r>
        <w:t xml:space="preserve">, SD</w:t>
      </w:r>
      <w:r>
        <w:t xml:space="preserve"> </w:t>
      </w:r>
      <w:r>
        <w:rPr>
          <w:b/>
          <w:bCs/>
        </w:rPr>
        <w:t xml:space="preserve">10</w:t>
      </w:r>
      <w:r>
        <w:t xml:space="preserve">, same assumptions gives roughly</w:t>
      </w:r>
      <w:r>
        <w:t xml:space="preserve"> </w:t>
      </w:r>
      <w:r>
        <w:rPr>
          <w:b/>
          <w:bCs/>
        </w:rPr>
        <w:t xml:space="preserve">59 patients per arm</w:t>
      </w:r>
    </w:p>
    <w:p>
      <w:pPr>
        <w:pStyle w:val="Compact"/>
        <w:numPr>
          <w:ilvl w:val="0"/>
          <w:numId w:val="1001"/>
        </w:numPr>
      </w:pPr>
      <w:r>
        <w:t xml:space="preserve">MWT difference of</w:t>
      </w:r>
      <w:r>
        <w:t xml:space="preserve"> </w:t>
      </w:r>
      <w:r>
        <w:rPr>
          <w:b/>
          <w:bCs/>
        </w:rPr>
        <w:t xml:space="preserve">8 minutes</w:t>
      </w:r>
      <w:r>
        <w:t xml:space="preserve">, SD</w:t>
      </w:r>
      <w:r>
        <w:t xml:space="preserve"> </w:t>
      </w:r>
      <w:r>
        <w:rPr>
          <w:b/>
          <w:bCs/>
        </w:rPr>
        <w:t xml:space="preserve">12</w:t>
      </w:r>
      <w:r>
        <w:t xml:space="preserve">, same assumptions gives roughly</w:t>
      </w:r>
      <w:r>
        <w:t xml:space="preserve"> </w:t>
      </w:r>
      <w:r>
        <w:rPr>
          <w:b/>
          <w:bCs/>
        </w:rPr>
        <w:t xml:space="preserve">47 patients per arm</w:t>
      </w:r>
    </w:p>
    <w:p>
      <w:pPr>
        <w:pStyle w:val="FirstParagraph"/>
      </w:pPr>
      <w:r>
        <w:t xml:space="preserve">That is why a</w:t>
      </w:r>
      <w:r>
        <w:t xml:space="preserve"> </w:t>
      </w:r>
      <w:r>
        <w:rPr>
          <w:b/>
          <w:bCs/>
        </w:rPr>
        <w:t xml:space="preserve">120 to 140 patient adult IH RCT</w:t>
      </w:r>
      <w:r>
        <w:t xml:space="preserve"> </w:t>
      </w:r>
      <w:r>
        <w:t xml:space="preserve">is not excessive for superiority on conventional symptom endpoints after allowing for dropout, and why</w:t>
      </w:r>
      <w:r>
        <w:t xml:space="preserve"> </w:t>
      </w:r>
      <w:r>
        <w:rPr>
          <w:b/>
          <w:bCs/>
        </w:rPr>
        <w:t xml:space="preserve">150 to 180 total</w:t>
      </w:r>
      <w:r>
        <w:t xml:space="preserve"> </w:t>
      </w:r>
      <w:r>
        <w:t xml:space="preserve">is a reasonable pragmatic range for comparative or adherence-focused studies in a rare disease. These are planning estimates, not protocol-ready power calculations. They should be refined using variance from the full original datasets.</w:t>
      </w:r>
      <w:r>
        <w:t xml:space="preserve"> </w:t>
      </w:r>
      <w:hyperlink r:id="rId21">
        <w:r>
          <w:rPr>
            <w:rStyle w:val="Hyperlink"/>
          </w:rPr>
          <w:t xml:space="preserve">[32]</w:t>
        </w:r>
      </w:hyperlink>
    </w:p>
    <w:bookmarkEnd w:id="44"/>
    <w:bookmarkEnd w:id="45"/>
    <w:bookmarkStart w:id="47" w:name="timelines-and-feasibility"/>
    <w:p>
      <w:pPr>
        <w:pStyle w:val="Heading2"/>
      </w:pPr>
      <w:r>
        <w:t xml:space="preserve">Timelines and feasibility</w:t>
      </w:r>
    </w:p>
    <w:p>
      <w:pPr>
        <w:pStyle w:val="FirstParagraph"/>
      </w:pPr>
      <w:r>
        <w:t xml:space="preserve">The fastest high-value work is not a new trial. It is a</w:t>
      </w:r>
      <w:r>
        <w:t xml:space="preserve"> </w:t>
      </w:r>
      <w:r>
        <w:rPr>
          <w:b/>
          <w:bCs/>
        </w:rPr>
        <w:t xml:space="preserve">patient-level pooled reanalysis</w:t>
      </w:r>
      <w:r>
        <w:t xml:space="preserve"> </w:t>
      </w:r>
      <w:r>
        <w:t xml:space="preserve">of the existing Xywav adult IH data, separating initiation-phase improvement, withdrawal-phase relapse, once-nightly versus twice-nightly response, concomitant stimulant use, and long-sleep-time phenotype. That can be done in roughly</w:t>
      </w:r>
      <w:r>
        <w:t xml:space="preserve"> </w:t>
      </w:r>
      <w:r>
        <w:rPr>
          <w:b/>
          <w:bCs/>
        </w:rPr>
        <w:t xml:space="preserve">6 to 9 months</w:t>
      </w:r>
      <w:r>
        <w:t xml:space="preserve"> </w:t>
      </w:r>
      <w:r>
        <w:t xml:space="preserve">if data access exists. It is technically easy and would immediately improve the interpretability of the current evidence base.</w:t>
      </w:r>
      <w:r>
        <w:t xml:space="preserve"> </w:t>
      </w:r>
      <w:hyperlink r:id="rId21">
        <w:r>
          <w:rPr>
            <w:rStyle w:val="Hyperlink"/>
          </w:rPr>
          <w:t xml:space="preserve">[33]</w:t>
        </w:r>
      </w:hyperlink>
    </w:p>
    <w:p>
      <w:pPr>
        <w:pStyle w:val="BodyText"/>
      </w:pPr>
      <w:r>
        <w:t xml:space="preserve">A new adult confirmatory</w:t>
      </w:r>
      <w:r>
        <w:t xml:space="preserve"> </w:t>
      </w:r>
      <w:r>
        <w:rPr>
          <w:b/>
          <w:bCs/>
        </w:rPr>
        <w:t xml:space="preserve">Xyrem</w:t>
      </w:r>
      <w:r>
        <w:t xml:space="preserve"> </w:t>
      </w:r>
      <w:r>
        <w:t xml:space="preserve">trial is realistic on a</w:t>
      </w:r>
      <w:r>
        <w:t xml:space="preserve"> </w:t>
      </w:r>
      <w:r>
        <w:rPr>
          <w:b/>
          <w:bCs/>
        </w:rPr>
        <w:t xml:space="preserve">3.5 to 4 year</w:t>
      </w:r>
      <w:r>
        <w:t xml:space="preserve"> </w:t>
      </w:r>
      <w:r>
        <w:t xml:space="preserve">clock: about 9 to 12 months for protocol, sites, and approvals; 18 to 24 months for enrollment in a rare-disease network; 3 months for primary follow-up if using a short blinded phase, plus an extension; then 6 months for cleaning and reporting. The limiting factor is less scientific than economic. Off-label immediate-release sodium oxybate does not have the same sponsor incentive structure as Xywav did.</w:t>
      </w:r>
      <w:r>
        <w:t xml:space="preserve"> </w:t>
      </w:r>
      <w:hyperlink r:id="rId27">
        <w:r>
          <w:rPr>
            <w:rStyle w:val="Hyperlink"/>
          </w:rPr>
          <w:t xml:space="preserve">[34]</w:t>
        </w:r>
      </w:hyperlink>
    </w:p>
    <w:p>
      <w:pPr>
        <w:pStyle w:val="BodyText"/>
      </w:pPr>
      <w:r>
        <w:t xml:space="preserve">For</w:t>
      </w:r>
      <w:r>
        <w:t xml:space="preserve"> </w:t>
      </w:r>
      <w:r>
        <w:rPr>
          <w:b/>
          <w:bCs/>
        </w:rPr>
        <w:t xml:space="preserve">Lumryz</w:t>
      </w:r>
      <w:r>
        <w:t xml:space="preserve">, the near-term feasibility question is different. The critical step is simply publication of REVITALYZ outcomes. If those data are positive, a head-to-head burden-and-adherence study against twice-nightly oxybate is feasible on a roughly</w:t>
      </w:r>
      <w:r>
        <w:t xml:space="preserve"> </w:t>
      </w:r>
      <w:r>
        <w:rPr>
          <w:b/>
          <w:bCs/>
        </w:rPr>
        <w:t xml:space="preserve">2.5 to 3 year</w:t>
      </w:r>
      <w:r>
        <w:t xml:space="preserve"> </w:t>
      </w:r>
      <w:r>
        <w:t xml:space="preserve">timeline. If the data are negative or equivocal, the product drops out of the IH race regardless of its narcolepsy positioning.</w:t>
      </w:r>
      <w:r>
        <w:t xml:space="preserve"> </w:t>
      </w:r>
      <w:hyperlink r:id="rId46">
        <w:r>
          <w:rPr>
            <w:rStyle w:val="Hyperlink"/>
          </w:rPr>
          <w:t xml:space="preserve">[35]</w:t>
        </w:r>
      </w:hyperlink>
    </w:p>
    <w:p>
      <w:pPr>
        <w:pStyle w:val="BodyText"/>
      </w:pPr>
      <w:r>
        <w:t xml:space="preserve">A pediatric IH program for any oxybate is slower. Expect roughly</w:t>
      </w:r>
      <w:r>
        <w:t xml:space="preserve"> </w:t>
      </w:r>
      <w:r>
        <w:rPr>
          <w:b/>
          <w:bCs/>
        </w:rPr>
        <w:t xml:space="preserve">3 to 4.5 years</w:t>
      </w:r>
      <w:r>
        <w:t xml:space="preserve">, because site identification, diagnostic adjudication, and enrollment will all be difficult. The most realistic route is staged: adolescent PK/safety first, then broader pediatric expansion only if signal and tolerability are acceptable.</w:t>
      </w:r>
      <w:r>
        <w:t xml:space="preserve"> </w:t>
      </w:r>
      <w:hyperlink r:id="rId21">
        <w:r>
          <w:rPr>
            <w:rStyle w:val="Hyperlink"/>
          </w:rPr>
          <w:t xml:space="preserve">[36]</w:t>
        </w:r>
      </w:hyperlink>
    </w:p>
    <w:bookmarkEnd w:id="47"/>
    <w:bookmarkStart w:id="48" w:name="open-questions-and-limitations"/>
    <w:p>
      <w:pPr>
        <w:pStyle w:val="Heading2"/>
      </w:pPr>
      <w:r>
        <w:t xml:space="preserve">Open questions and limitations</w:t>
      </w:r>
    </w:p>
    <w:p>
      <w:pPr>
        <w:pStyle w:val="FirstParagraph"/>
      </w:pPr>
      <w:r>
        <w:t xml:space="preserve">Some gaps in this report reflect limits of the publicly retrievable sources, not lack of interest. I did</w:t>
      </w:r>
      <w:r>
        <w:t xml:space="preserve"> </w:t>
      </w:r>
      <w:r>
        <w:rPr>
          <w:b/>
          <w:bCs/>
        </w:rPr>
        <w:t xml:space="preserve">not</w:t>
      </w:r>
      <w:r>
        <w:t xml:space="preserve"> </w:t>
      </w:r>
      <w:r>
        <w:t xml:space="preserve">reliably retrieve a full public FDA clinical review for the Xywav IH supplement, so the Xywav regulatory discussion leans on label-level and approval-level FDA materials. I also could not retrieve all granular numeric details for the 2025 Xyrem IH RCT from accessible public pages, especially the analyzed sample size and the full ESS effect table, so I marked those as incomplete rather than guessing. For Lumryz, I found protocol and company status materials, but no public IH efficacy results in the reviewed sources. Finally, I did not identify public EMA records for Xywav or Lumryz in IH in the official materials reviewed, so those entries are conservatively labeled as not identified rather than definitively “not authorized.”</w:t>
      </w:r>
      <w:r>
        <w:t xml:space="preserve"> </w:t>
      </w:r>
      <w:hyperlink r:id="rId21">
        <w:r>
          <w:rPr>
            <w:rStyle w:val="Hyperlink"/>
          </w:rPr>
          <w:t xml:space="preserve">[37]</w:t>
        </w:r>
      </w:hyperlink>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[10]</w:t>
        </w:r>
      </w:hyperlink>
      <w:r>
        <w:t xml:space="preserve"> </w:t>
      </w:r>
      <w:hyperlink r:id="rId21">
        <w:r>
          <w:rPr>
            <w:rStyle w:val="Hyperlink"/>
          </w:rPr>
          <w:t xml:space="preserve">[14]</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[24]</w:t>
        </w:r>
      </w:hyperlink>
      <w:r>
        <w:t xml:space="preserve"> </w:t>
      </w:r>
      <w:hyperlink r:id="rId21">
        <w:r>
          <w:rPr>
            <w:rStyle w:val="Hyperlink"/>
          </w:rPr>
          <w:t xml:space="preserve">[27]</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[36]</w:t>
        </w:r>
      </w:hyperlink>
      <w:r>
        <w:t xml:space="preserve"> </w:t>
      </w:r>
      <w:hyperlink r:id="rId21">
        <w:r>
          <w:rPr>
            <w:rStyle w:val="Hyperlink"/>
          </w:rPr>
          <w:t xml:space="preserve">[37]</w:t>
        </w:r>
      </w:hyperlink>
      <w:r>
        <w:t xml:space="preserve"> </w:t>
      </w:r>
      <w:r>
        <w:t xml:space="preserve">https://www.accessdata.fda.gov/drugsatfda_docs/label/2023/212690s011lbl.pdf</w:t>
      </w:r>
    </w:p>
    <w:p>
      <w:pPr>
        <w:pStyle w:val="BodyText"/>
      </w:pPr>
      <w:hyperlink r:id="rId21">
        <w:r>
          <w:rPr>
            <w:rStyle w:val="Hyperlink"/>
          </w:rPr>
          <w:t xml:space="preserve">https://www.accessdata.fda.gov/drugsatfda_docs/label/2023/212690s011lbl.pdf</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r>
        <w:t xml:space="preserve">https://www.accessdata.fda.gov/drugsatfda_docs/label/2023/021196s042lbl.pdf</w:t>
      </w:r>
    </w:p>
    <w:p>
      <w:pPr>
        <w:pStyle w:val="BodyText"/>
      </w:pPr>
      <w:hyperlink r:id="rId22">
        <w:r>
          <w:rPr>
            <w:rStyle w:val="Hyperlink"/>
          </w:rPr>
          <w:t xml:space="preserve">https://www.accessdata.fda.gov/drugsatfda_docs/label/2023/021196s042lbl.pdf</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r>
        <w:t xml:space="preserve">https://www.accessdata.fda.gov/drugsatfda_docs/label/2024/214755s006lbl.pdf</w:t>
      </w:r>
    </w:p>
    <w:p>
      <w:pPr>
        <w:pStyle w:val="BodyText"/>
      </w:pPr>
      <w:hyperlink r:id="rId23">
        <w:r>
          <w:rPr>
            <w:rStyle w:val="Hyperlink"/>
          </w:rPr>
          <w:t xml:space="preserve">https://www.accessdata.fda.gov/drugsatfda_docs/label/2024/214755s006lbl.pdf</w:t>
        </w:r>
      </w:hyperlink>
    </w:p>
    <w:p>
      <w:pPr>
        <w:pStyle w:val="BodyText"/>
      </w:pPr>
      <w:hyperlink r:id="rId25">
        <w:r>
          <w:rPr>
            <w:rStyle w:val="Hyperlink"/>
          </w:rPr>
          <w:t xml:space="preserve">[7]</w:t>
        </w:r>
      </w:hyperlink>
      <w:r>
        <w:t xml:space="preserve"> </w:t>
      </w:r>
      <w:hyperlink r:id="rId25">
        <w:r>
          <w:rPr>
            <w:rStyle w:val="Hyperlink"/>
          </w:rPr>
          <w:t xml:space="preserve">[20]</w:t>
        </w:r>
      </w:hyperlink>
      <w:r>
        <w:t xml:space="preserve"> </w:t>
      </w:r>
      <w:hyperlink r:id="rId25">
        <w:r>
          <w:rPr>
            <w:rStyle w:val="Hyperlink"/>
          </w:rPr>
          <w:t xml:space="preserve">[31]</w:t>
        </w:r>
      </w:hyperlink>
      <w:r>
        <w:t xml:space="preserve"> </w:t>
      </w:r>
      <w:r>
        <w:t xml:space="preserve">https://link.springer.com/10.1007/s40263-025-01262-9</w:t>
      </w:r>
    </w:p>
    <w:p>
      <w:pPr>
        <w:pStyle w:val="BodyText"/>
      </w:pPr>
      <w:hyperlink r:id="rId25">
        <w:r>
          <w:rPr>
            <w:rStyle w:val="Hyperlink"/>
          </w:rPr>
          <w:t xml:space="preserve">https://link.springer.com/10.1007/s40263-025-01262-9</w:t>
        </w:r>
      </w:hyperlink>
    </w:p>
    <w:p>
      <w:pPr>
        <w:pStyle w:val="BodyText"/>
      </w:pPr>
      <w:hyperlink r:id="rId26">
        <w:r>
          <w:rPr>
            <w:rStyle w:val="Hyperlink"/>
          </w:rPr>
          <w:t xml:space="preserve">[8]</w:t>
        </w:r>
      </w:hyperlink>
      <w:r>
        <w:t xml:space="preserve"> </w:t>
      </w:r>
      <w:hyperlink r:id="rId26">
        <w:r>
          <w:rPr>
            <w:rStyle w:val="Hyperlink"/>
          </w:rPr>
          <w:t xml:space="preserve">[26]</w:t>
        </w:r>
      </w:hyperlink>
      <w:r>
        <w:t xml:space="preserve"> </w:t>
      </w:r>
      <w:hyperlink r:id="rId26">
        <w:r>
          <w:rPr>
            <w:rStyle w:val="Hyperlink"/>
          </w:rPr>
          <w:t xml:space="preserve">[30]</w:t>
        </w:r>
      </w:hyperlink>
      <w:r>
        <w:t xml:space="preserve"> </w:t>
      </w:r>
      <w:r>
        <w:t xml:space="preserve">https://clinicaltrials.gov/study/NCT06525077</w:t>
      </w:r>
    </w:p>
    <w:p>
      <w:pPr>
        <w:pStyle w:val="BodyText"/>
      </w:pPr>
      <w:hyperlink r:id="rId26">
        <w:r>
          <w:rPr>
            <w:rStyle w:val="Hyperlink"/>
          </w:rPr>
          <w:t xml:space="preserve">https://clinicaltrials.gov/study/NCT06525077</w:t>
        </w:r>
      </w:hyperlink>
    </w:p>
    <w:p>
      <w:pPr>
        <w:pStyle w:val="BodyText"/>
      </w:pPr>
      <w:hyperlink r:id="rId27">
        <w:r>
          <w:rPr>
            <w:rStyle w:val="Hyperlink"/>
          </w:rPr>
          <w:t xml:space="preserve">[9]</w:t>
        </w:r>
      </w:hyperlink>
      <w:r>
        <w:t xml:space="preserve"> </w:t>
      </w:r>
      <w:hyperlink r:id="rId27">
        <w:r>
          <w:rPr>
            <w:rStyle w:val="Hyperlink"/>
          </w:rPr>
          <w:t xml:space="preserve">[21]</w:t>
        </w:r>
      </w:hyperlink>
      <w:r>
        <w:t xml:space="preserve"> </w:t>
      </w:r>
      <w:hyperlink r:id="rId27">
        <w:r>
          <w:rPr>
            <w:rStyle w:val="Hyperlink"/>
          </w:rPr>
          <w:t xml:space="preserve">[22]</w:t>
        </w:r>
      </w:hyperlink>
      <w:r>
        <w:t xml:space="preserve"> </w:t>
      </w:r>
      <w:hyperlink r:id="rId27">
        <w:r>
          <w:rPr>
            <w:rStyle w:val="Hyperlink"/>
          </w:rPr>
          <w:t xml:space="preserve">[29]</w:t>
        </w:r>
      </w:hyperlink>
      <w:r>
        <w:t xml:space="preserve"> </w:t>
      </w:r>
      <w:hyperlink r:id="rId27">
        <w:r>
          <w:rPr>
            <w:rStyle w:val="Hyperlink"/>
          </w:rPr>
          <w:t xml:space="preserve">[34]</w:t>
        </w:r>
      </w:hyperlink>
      <w:r>
        <w:t xml:space="preserve"> </w:t>
      </w:r>
      <w:r>
        <w:t xml:space="preserve">https://pubmed.ncbi.nlm.nih.gov/40359459/</w:t>
      </w:r>
    </w:p>
    <w:p>
      <w:pPr>
        <w:pStyle w:val="BodyText"/>
      </w:pPr>
      <w:hyperlink r:id="rId27">
        <w:r>
          <w:rPr>
            <w:rStyle w:val="Hyperlink"/>
          </w:rPr>
          <w:t xml:space="preserve">https://pubmed.ncbi.nlm.nih.gov/40359459/</w:t>
        </w:r>
      </w:hyperlink>
    </w:p>
    <w:p>
      <w:pPr>
        <w:pStyle w:val="BodyText"/>
      </w:pPr>
      <w:hyperlink r:id="rId28">
        <w:r>
          <w:rPr>
            <w:rStyle w:val="Hyperlink"/>
          </w:rPr>
          <w:t xml:space="preserve">[11]</w:t>
        </w:r>
      </w:hyperlink>
      <w:r>
        <w:t xml:space="preserve"> </w:t>
      </w:r>
      <w:hyperlink r:id="rId28">
        <w:r>
          <w:rPr>
            <w:rStyle w:val="Hyperlink"/>
          </w:rPr>
          <w:t xml:space="preserve">[28]</w:t>
        </w:r>
      </w:hyperlink>
      <w:r>
        <w:t xml:space="preserve"> </w:t>
      </w:r>
      <w:r>
        <w:t xml:space="preserve">https://www.xywavhcp.com/pdf/XYWAV-nagivating-ih-symptoms.pdf</w:t>
      </w:r>
    </w:p>
    <w:p>
      <w:pPr>
        <w:pStyle w:val="BodyText"/>
      </w:pPr>
      <w:hyperlink r:id="rId28">
        <w:r>
          <w:rPr>
            <w:rStyle w:val="Hyperlink"/>
          </w:rPr>
          <w:t xml:space="preserve">https://www.xywavhcp.com/pdf/XYWAV-nagivating-ih-symptoms.pdf</w:t>
        </w:r>
      </w:hyperlink>
    </w:p>
    <w:p>
      <w:pPr>
        <w:pStyle w:val="BodyText"/>
      </w:pPr>
      <w:hyperlink r:id="rId31">
        <w:r>
          <w:rPr>
            <w:rStyle w:val="Hyperlink"/>
          </w:rPr>
          <w:t xml:space="preserve">[15]</w:t>
        </w:r>
      </w:hyperlink>
      <w:r>
        <w:t xml:space="preserve"> </w:t>
      </w:r>
      <w:hyperlink r:id="rId31">
        <w:r>
          <w:rPr>
            <w:rStyle w:val="Hyperlink"/>
          </w:rPr>
          <w:t xml:space="preserve">[23]</w:t>
        </w:r>
      </w:hyperlink>
      <w:r>
        <w:t xml:space="preserve"> </w:t>
      </w:r>
      <w:r>
        <w:t xml:space="preserve">https://pubmed.ncbi.nlm.nih.gov/26847972/</w:t>
      </w:r>
    </w:p>
    <w:p>
      <w:pPr>
        <w:pStyle w:val="BodyText"/>
      </w:pPr>
      <w:hyperlink r:id="rId31">
        <w:r>
          <w:rPr>
            <w:rStyle w:val="Hyperlink"/>
          </w:rPr>
          <w:t xml:space="preserve">https://pubmed.ncbi.nlm.nih.gov/26847972/</w:t>
        </w:r>
      </w:hyperlink>
    </w:p>
    <w:p>
      <w:pPr>
        <w:pStyle w:val="BodyText"/>
      </w:pPr>
      <w:hyperlink r:id="rId32">
        <w:r>
          <w:rPr>
            <w:rStyle w:val="Hyperlink"/>
          </w:rPr>
          <w:t xml:space="preserve">[18]</w:t>
        </w:r>
      </w:hyperlink>
      <w:r>
        <w:t xml:space="preserve"> </w:t>
      </w:r>
      <w:r>
        <w:t xml:space="preserve">https://www.researchgate.net/publication/364742997_Efficacy_and_Safety_of_Lower-Sodium_Oxybate_in_an_Open-Label_Titration_Period_of_a_Phase_3_Clinical_Study_in_Adults_with_Idiopathic_Hypersomnia</w:t>
      </w:r>
    </w:p>
    <w:p>
      <w:pPr>
        <w:pStyle w:val="BodyText"/>
      </w:pPr>
      <w:hyperlink r:id="rId32">
        <w:r>
          <w:rPr>
            <w:rStyle w:val="Hyperlink"/>
          </w:rPr>
          <w:t xml:space="preserve">https://www.researchgate.net/publication/364742997_Efficacy_and_Safety_of_Lower-Sodium_Oxybate_in_an_Open-Label_Titration_Period_of_a_Phase_3_Clinical_Study_in_Adults_with_Idiopathic_Hypersomnia</w:t>
        </w:r>
      </w:hyperlink>
    </w:p>
    <w:p>
      <w:pPr>
        <w:pStyle w:val="BodyText"/>
      </w:pPr>
      <w:hyperlink r:id="rId33">
        <w:r>
          <w:rPr>
            <w:rStyle w:val="Hyperlink"/>
          </w:rPr>
          <w:t xml:space="preserve">[19]</w:t>
        </w:r>
      </w:hyperlink>
      <w:r>
        <w:t xml:space="preserve"> </w:t>
      </w:r>
      <w:r>
        <w:t xml:space="preserve">https://www.researchgate.net/publication/372158815_Long-term_efficacy_and_safety_of_low-sodium_oxybate_in_an_open-label_extension_period_of_a_placebo-controlled_double-blind_randomized_withdrawal_study_in_adults_with_idiopathic_hypersomnia</w:t>
      </w:r>
    </w:p>
    <w:p>
      <w:pPr>
        <w:pStyle w:val="BodyText"/>
      </w:pPr>
      <w:hyperlink r:id="rId33">
        <w:r>
          <w:rPr>
            <w:rStyle w:val="Hyperlink"/>
          </w:rPr>
          <w:t xml:space="preserve">https://www.researchgate.net/publication/372158815_Long-term_efficacy_and_safety_of_low-sodium_oxybate_in_an_open-label_extension_period_of_a_placebo-controlled_double-blind_randomized_withdrawal_study_in_adults_with_idiopathic_hypersomnia</w:t>
        </w:r>
      </w:hyperlink>
    </w:p>
    <w:p>
      <w:pPr>
        <w:pStyle w:val="BodyText"/>
      </w:pPr>
      <w:hyperlink r:id="rId35">
        <w:r>
          <w:rPr>
            <w:rStyle w:val="Hyperlink"/>
          </w:rPr>
          <w:t xml:space="preserve">[25]</w:t>
        </w:r>
      </w:hyperlink>
      <w:r>
        <w:t xml:space="preserve"> </w:t>
      </w:r>
      <w:r>
        <w:t xml:space="preserve">https://pubmed.ncbi.nlm.nih.gov/34743789/</w:t>
      </w:r>
    </w:p>
    <w:p>
      <w:pPr>
        <w:pStyle w:val="BodyText"/>
      </w:pPr>
      <w:hyperlink r:id="rId35">
        <w:r>
          <w:rPr>
            <w:rStyle w:val="Hyperlink"/>
          </w:rPr>
          <w:t xml:space="preserve">https://pubmed.ncbi.nlm.nih.gov/34743789/</w:t>
        </w:r>
      </w:hyperlink>
    </w:p>
    <w:p>
      <w:pPr>
        <w:pStyle w:val="BodyText"/>
      </w:pPr>
      <w:hyperlink r:id="rId46">
        <w:r>
          <w:rPr>
            <w:rStyle w:val="Hyperlink"/>
          </w:rPr>
          <w:t xml:space="preserve">[35]</w:t>
        </w:r>
      </w:hyperlink>
      <w:r>
        <w:t xml:space="preserve"> </w:t>
      </w:r>
      <w:r>
        <w:t xml:space="preserve">https://www.sec.gov/Archives/edgar/data/1012477/000110465925122274/tm2533819d1_ex99-1.htm</w:t>
      </w:r>
    </w:p>
    <w:p>
      <w:pPr>
        <w:pStyle w:val="BodyText"/>
      </w:pPr>
      <w:hyperlink r:id="rId46">
        <w:r>
          <w:rPr>
            <w:rStyle w:val="Hyperlink"/>
          </w:rPr>
          <w:t xml:space="preserve">https://www.sec.gov/Archives/edgar/data/1012477/000110465925122274/tm2533819d1_ex99-1.htm</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linicaltrials.gov/study/NCT06525077" TargetMode="External" /><Relationship Type="http://schemas.openxmlformats.org/officeDocument/2006/relationships/hyperlink" Id="rId25" Target="https://link.springer.com/10.1007/s40263-025-01262-9" TargetMode="External" /><Relationship Type="http://schemas.openxmlformats.org/officeDocument/2006/relationships/hyperlink" Id="rId31" Target="https://pubmed.ncbi.nlm.nih.gov/26847972/" TargetMode="External" /><Relationship Type="http://schemas.openxmlformats.org/officeDocument/2006/relationships/hyperlink" Id="rId35" Target="https://pubmed.ncbi.nlm.nih.gov/34743789/" TargetMode="External" /><Relationship Type="http://schemas.openxmlformats.org/officeDocument/2006/relationships/hyperlink" Id="rId27" Target="https://pubmed.ncbi.nlm.nih.gov/40359459/" TargetMode="External" /><Relationship Type="http://schemas.openxmlformats.org/officeDocument/2006/relationships/hyperlink" Id="rId22" Target="https://www.accessdata.fda.gov/drugsatfda_docs/label/2023/021196s042lbl.pdf" TargetMode="External" /><Relationship Type="http://schemas.openxmlformats.org/officeDocument/2006/relationships/hyperlink" Id="rId21" Target="https://www.accessdata.fda.gov/drugsatfda_docs/label/2023/212690s011lbl.pdf" TargetMode="External" /><Relationship Type="http://schemas.openxmlformats.org/officeDocument/2006/relationships/hyperlink" Id="rId23" Target="https://www.accessdata.fda.gov/drugsatfda_docs/label/2024/214755s006lbl.pdf" TargetMode="External" /><Relationship Type="http://schemas.openxmlformats.org/officeDocument/2006/relationships/hyperlink" Id="rId32" Target="https://www.researchgate.net/publication/364742997_Efficacy_and_Safety_of_Lower-Sodium_Oxybate_in_an_Open-Label_Titration_Period_of_a_Phase_3_Clinical_Study_in_Adults_with_Idiopathic_Hypersomnia" TargetMode="External" /><Relationship Type="http://schemas.openxmlformats.org/officeDocument/2006/relationships/hyperlink" Id="rId33" Target="https://www.researchgate.net/publication/372158815_Long-term_efficacy_and_safety_of_low-sodium_oxybate_in_an_open-label_extension_period_of_a_placebo-controlled_double-blind_randomized_withdrawal_study_in_adults_with_idiopathic_hypersomnia" TargetMode="External" /><Relationship Type="http://schemas.openxmlformats.org/officeDocument/2006/relationships/hyperlink" Id="rId46" Target="https://www.sec.gov/Archives/edgar/data/1012477/000110465925122274/tm2533819d1_ex99-1.htm" TargetMode="External" /><Relationship Type="http://schemas.openxmlformats.org/officeDocument/2006/relationships/hyperlink" Id="rId28" Target="https://www.xywavhcp.com/pdf/XYWAV-nagivating-ih-symptoms.pdf" TargetMode="External" /></Relationships>
</file>

<file path=word/_rels/footnotes.xml.rels><?xml version="1.0" encoding="UTF-8"?><Relationships xmlns="http://schemas.openxmlformats.org/package/2006/relationships"><Relationship Type="http://schemas.openxmlformats.org/officeDocument/2006/relationships/hyperlink" Id="rId26" Target="https://clinicaltrials.gov/study/NCT06525077" TargetMode="External" /><Relationship Type="http://schemas.openxmlformats.org/officeDocument/2006/relationships/hyperlink" Id="rId25" Target="https://link.springer.com/10.1007/s40263-025-01262-9" TargetMode="External" /><Relationship Type="http://schemas.openxmlformats.org/officeDocument/2006/relationships/hyperlink" Id="rId31" Target="https://pubmed.ncbi.nlm.nih.gov/26847972/" TargetMode="External" /><Relationship Type="http://schemas.openxmlformats.org/officeDocument/2006/relationships/hyperlink" Id="rId35" Target="https://pubmed.ncbi.nlm.nih.gov/34743789/" TargetMode="External" /><Relationship Type="http://schemas.openxmlformats.org/officeDocument/2006/relationships/hyperlink" Id="rId27" Target="https://pubmed.ncbi.nlm.nih.gov/40359459/" TargetMode="External" /><Relationship Type="http://schemas.openxmlformats.org/officeDocument/2006/relationships/hyperlink" Id="rId22" Target="https://www.accessdata.fda.gov/drugsatfda_docs/label/2023/021196s042lbl.pdf" TargetMode="External" /><Relationship Type="http://schemas.openxmlformats.org/officeDocument/2006/relationships/hyperlink" Id="rId21" Target="https://www.accessdata.fda.gov/drugsatfda_docs/label/2023/212690s011lbl.pdf" TargetMode="External" /><Relationship Type="http://schemas.openxmlformats.org/officeDocument/2006/relationships/hyperlink" Id="rId23" Target="https://www.accessdata.fda.gov/drugsatfda_docs/label/2024/214755s006lbl.pdf" TargetMode="External" /><Relationship Type="http://schemas.openxmlformats.org/officeDocument/2006/relationships/hyperlink" Id="rId32" Target="https://www.researchgate.net/publication/364742997_Efficacy_and_Safety_of_Lower-Sodium_Oxybate_in_an_Open-Label_Titration_Period_of_a_Phase_3_Clinical_Study_in_Adults_with_Idiopathic_Hypersomnia" TargetMode="External" /><Relationship Type="http://schemas.openxmlformats.org/officeDocument/2006/relationships/hyperlink" Id="rId33" Target="https://www.researchgate.net/publication/372158815_Long-term_efficacy_and_safety_of_low-sodium_oxybate_in_an_open-label_extension_period_of_a_placebo-controlled_double-blind_randomized_withdrawal_study_in_adults_with_idiopathic_hypersomnia" TargetMode="External" /><Relationship Type="http://schemas.openxmlformats.org/officeDocument/2006/relationships/hyperlink" Id="rId46" Target="https://www.sec.gov/Archives/edgar/data/1012477/000110465925122274/tm2533819d1_ex99-1.htm" TargetMode="External" /><Relationship Type="http://schemas.openxmlformats.org/officeDocument/2006/relationships/hyperlink" Id="rId28" Target="https://www.xywavhcp.com/pdf/XYWAV-nagivating-ih-symptom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2026-05-05T18:29:35Z</dcterms:created>
  <dcterms:modified xsi:type="dcterms:W3CDTF">2026-05-05T18:29:35Z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