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55DD" w14:textId="77777777" w:rsidR="00D80A0F" w:rsidRDefault="00000000">
      <w:pPr>
        <w:spacing w:after="40"/>
        <w:jc w:val="center"/>
      </w:pPr>
      <w:r>
        <w:rPr>
          <w:b/>
          <w:color w:val="1F4E79"/>
          <w:sz w:val="44"/>
        </w:rPr>
        <w:t>CLS-AX HEOR Evidence-Generation Roadmap</w:t>
      </w:r>
    </w:p>
    <w:p w14:paraId="14FCEABC" w14:textId="38B262A2" w:rsidR="00D80A0F" w:rsidRDefault="00000000">
      <w:pPr>
        <w:spacing w:after="280"/>
        <w:jc w:val="center"/>
      </w:pPr>
      <w:r>
        <w:rPr>
          <w:color w:val="404040"/>
          <w:sz w:val="26"/>
        </w:rPr>
        <w:t xml:space="preserve">Competitor-adjusted </w:t>
      </w:r>
      <w:r w:rsidR="007D215C" w:rsidRPr="007D215C">
        <w:rPr>
          <w:color w:val="404040"/>
          <w:sz w:val="26"/>
        </w:rPr>
        <w:t>strategy</w:t>
      </w:r>
      <w:r>
        <w:rPr>
          <w:color w:val="404040"/>
          <w:sz w:val="26"/>
        </w:rPr>
        <w:t>: what evidence is worth generating now</w:t>
      </w:r>
    </w:p>
    <w:p w14:paraId="45C5F3E8" w14:textId="77777777" w:rsidR="00D80A0F" w:rsidRDefault="00000000">
      <w:pPr>
        <w:spacing w:after="320"/>
        <w:jc w:val="center"/>
      </w:pPr>
      <w:r>
        <w:rPr>
          <w:i/>
          <w:color w:val="5A5A5A"/>
          <w:sz w:val="20"/>
        </w:rPr>
        <w:t>Prepared April 29, 2026</w:t>
      </w:r>
    </w:p>
    <w:tbl>
      <w:tblPr>
        <w:tblW w:w="0" w:type="auto"/>
        <w:jc w:val="center"/>
        <w:tblLook w:val="04A0" w:firstRow="1" w:lastRow="0" w:firstColumn="1" w:lastColumn="0" w:noHBand="0" w:noVBand="1"/>
      </w:tblPr>
      <w:tblGrid>
        <w:gridCol w:w="10454"/>
      </w:tblGrid>
      <w:tr w:rsidR="00D80A0F" w14:paraId="47C32589" w14:textId="77777777">
        <w:trPr>
          <w:jc w:val="center"/>
        </w:trPr>
        <w:tc>
          <w:tcPr>
            <w:tcW w:w="10454" w:type="dxa"/>
            <w:tcBorders>
              <w:top w:val="single" w:sz="8" w:space="0" w:color="9CC2E5"/>
              <w:left w:val="single" w:sz="8" w:space="0" w:color="9CC2E5"/>
              <w:bottom w:val="single" w:sz="8" w:space="0" w:color="9CC2E5"/>
              <w:right w:val="single" w:sz="8" w:space="0" w:color="9CC2E5"/>
            </w:tcBorders>
            <w:shd w:val="clear" w:color="auto" w:fill="EAF2F8"/>
          </w:tcPr>
          <w:p w14:paraId="562ADB4E" w14:textId="72ADA51F" w:rsidR="00D80A0F" w:rsidRDefault="00000000">
            <w:pPr>
              <w:spacing w:after="80"/>
            </w:pPr>
            <w:r>
              <w:rPr>
                <w:b/>
                <w:color w:val="1F4E79"/>
                <w:sz w:val="20"/>
              </w:rPr>
              <w:t xml:space="preserve">Strategic </w:t>
            </w:r>
            <w:r w:rsidR="007D215C">
              <w:rPr>
                <w:b/>
                <w:color w:val="1F4E79"/>
                <w:sz w:val="20"/>
              </w:rPr>
              <w:t>overview</w:t>
            </w:r>
          </w:p>
          <w:p w14:paraId="452C18E0" w14:textId="77777777" w:rsidR="00D80A0F" w:rsidRDefault="00000000">
            <w:pPr>
              <w:spacing w:after="0" w:line="252" w:lineRule="auto"/>
            </w:pPr>
            <w:r>
              <w:t xml:space="preserve">The highest-value HEOR work is no longer a broad catalogue of generic burden studies. Approved and near-term competitors already have or will soon have strong durability, interval-extension, and real-world evidence. CLS-AX should concentrate on evidence that competitors cannot easily claim: suprachoroidal, repeatable, non-surgical, compartmentalized TKI delivery; safe re-dosing; meaningful reduction in total visits and care-partner burden; and clear patient-selection logic for high-burden, undertreated, or suboptimal-response patients. </w:t>
            </w:r>
            <w:hyperlink r:id="rId8">
              <w:r>
                <w:rPr>
                  <w:color w:val="0563C1"/>
                  <w:u w:val="single"/>
                </w:rPr>
                <w:t>[1]</w:t>
              </w:r>
            </w:hyperlink>
            <w:r>
              <w:t xml:space="preserve"> </w:t>
            </w:r>
            <w:hyperlink r:id="rId9">
              <w:r>
                <w:rPr>
                  <w:color w:val="0563C1"/>
                  <w:u w:val="single"/>
                </w:rPr>
                <w:t>[2]</w:t>
              </w:r>
            </w:hyperlink>
            <w:r>
              <w:t xml:space="preserve"> </w:t>
            </w:r>
            <w:hyperlink r:id="rId10">
              <w:r>
                <w:rPr>
                  <w:color w:val="0563C1"/>
                  <w:u w:val="single"/>
                </w:rPr>
                <w:t>[3]</w:t>
              </w:r>
            </w:hyperlink>
          </w:p>
        </w:tc>
      </w:tr>
    </w:tbl>
    <w:p w14:paraId="2483E2A5" w14:textId="77777777" w:rsidR="00D80A0F" w:rsidRDefault="00D80A0F">
      <w:pPr>
        <w:spacing w:after="40"/>
      </w:pPr>
    </w:p>
    <w:p w14:paraId="729AA0AA" w14:textId="0D13FF3E" w:rsidR="00D80A0F" w:rsidRDefault="00000000">
      <w:pPr>
        <w:spacing w:after="80"/>
      </w:pPr>
      <w:r>
        <w:rPr>
          <w:b/>
        </w:rPr>
        <w:t xml:space="preserve">Important context. </w:t>
      </w:r>
      <w:r>
        <w:t xml:space="preserve">This </w:t>
      </w:r>
      <w:r w:rsidR="007D215C" w:rsidRPr="007D215C">
        <w:t>roadmap</w:t>
      </w:r>
      <w:r>
        <w:t xml:space="preserve"> treats CLS-AX as a Phase 3-ready asset with FDA-aligned pivotal design elements and acknowledges Clearside's public strategic-sale/Chapter 11 process, which increases the value of a compact, diligence-ready, competitor-aware evidence plan. </w:t>
      </w:r>
      <w:hyperlink r:id="rId11">
        <w:r>
          <w:rPr>
            <w:color w:val="0563C1"/>
            <w:u w:val="single"/>
          </w:rPr>
          <w:t>[3]</w:t>
        </w:r>
      </w:hyperlink>
      <w:r>
        <w:t xml:space="preserve"> </w:t>
      </w:r>
      <w:hyperlink r:id="rId12">
        <w:r>
          <w:rPr>
            <w:color w:val="0563C1"/>
            <w:u w:val="single"/>
          </w:rPr>
          <w:t>[4]</w:t>
        </w:r>
      </w:hyperlink>
    </w:p>
    <w:p w14:paraId="311299F6" w14:textId="77777777" w:rsidR="00D80A0F" w:rsidRDefault="00000000">
      <w:pPr>
        <w:pStyle w:val="Heading1"/>
        <w:spacing w:before="240" w:after="100"/>
      </w:pPr>
      <w:r>
        <w:t>Table of contents</w:t>
      </w:r>
    </w:p>
    <w:p w14:paraId="31A9441D" w14:textId="53116146" w:rsidR="00D80A0F" w:rsidRDefault="00000000">
      <w:pPr>
        <w:spacing w:after="20"/>
        <w:ind w:left="216"/>
      </w:pPr>
      <w:r>
        <w:t xml:space="preserve">1. Executive </w:t>
      </w:r>
      <w:r w:rsidR="007D215C" w:rsidRPr="007D215C">
        <w:t>summary and strategic priorities</w:t>
      </w:r>
    </w:p>
    <w:p w14:paraId="45A6ECE5" w14:textId="77777777" w:rsidR="00D80A0F" w:rsidRDefault="00000000">
      <w:pPr>
        <w:spacing w:after="20"/>
        <w:ind w:left="216"/>
      </w:pPr>
      <w:r>
        <w:t>2. Competitive evidence landscape: what already exists and what may soon exist</w:t>
      </w:r>
    </w:p>
    <w:p w14:paraId="2FDAD74C" w14:textId="77777777" w:rsidR="00D80A0F" w:rsidRDefault="00000000">
      <w:pPr>
        <w:spacing w:after="20"/>
        <w:ind w:left="216"/>
      </w:pPr>
      <w:r>
        <w:t>3. Revised opportunity screen: where HEOR can still create differentiated value</w:t>
      </w:r>
    </w:p>
    <w:p w14:paraId="79824ABC" w14:textId="77777777" w:rsidR="00D80A0F" w:rsidRDefault="00000000">
      <w:pPr>
        <w:spacing w:after="20"/>
        <w:ind w:left="216"/>
      </w:pPr>
      <w:r>
        <w:t>4. Highest-value evidence-generation projects</w:t>
      </w:r>
    </w:p>
    <w:p w14:paraId="1679FD1E" w14:textId="77777777" w:rsidR="00D80A0F" w:rsidRDefault="00000000">
      <w:pPr>
        <w:spacing w:after="20"/>
        <w:ind w:left="216"/>
      </w:pPr>
      <w:r>
        <w:t>5. Projects to deprioritize or redesign</w:t>
      </w:r>
    </w:p>
    <w:p w14:paraId="60F03440" w14:textId="77777777" w:rsidR="00D80A0F" w:rsidRDefault="00000000">
      <w:pPr>
        <w:spacing w:after="20"/>
        <w:ind w:left="216"/>
      </w:pPr>
      <w:r>
        <w:t>6. Near-term implementation plan</w:t>
      </w:r>
    </w:p>
    <w:p w14:paraId="7A11589C" w14:textId="77777777" w:rsidR="00D80A0F" w:rsidRDefault="00000000">
      <w:pPr>
        <w:spacing w:after="20"/>
        <w:ind w:left="216"/>
      </w:pPr>
      <w:r>
        <w:t>7. Source appendix</w:t>
      </w:r>
    </w:p>
    <w:p w14:paraId="06813EF4" w14:textId="77777777" w:rsidR="00D80A0F" w:rsidRDefault="00000000">
      <w:r>
        <w:br w:type="page"/>
      </w:r>
    </w:p>
    <w:p w14:paraId="67EDE125" w14:textId="77777777" w:rsidR="007D215C" w:rsidRDefault="007D215C">
      <w:pPr>
        <w:rPr>
          <w:rFonts w:asciiTheme="majorHAnsi" w:eastAsiaTheme="majorEastAsia" w:hAnsiTheme="majorHAnsi" w:cstheme="majorBidi"/>
          <w:b/>
          <w:bCs/>
          <w:color w:val="1F4E79"/>
          <w:sz w:val="30"/>
          <w:szCs w:val="28"/>
        </w:rPr>
      </w:pPr>
      <w:r>
        <w:rPr>
          <w:rFonts w:asciiTheme="majorHAnsi" w:eastAsiaTheme="majorEastAsia" w:hAnsiTheme="majorHAnsi" w:cstheme="majorBidi"/>
          <w:b/>
          <w:bCs/>
          <w:color w:val="1F4E79"/>
          <w:sz w:val="30"/>
          <w:szCs w:val="28"/>
        </w:rPr>
        <w:lastRenderedPageBreak/>
        <w:t>1. Executive summary and strategic priorities</w:t>
      </w:r>
    </w:p>
    <w:p w14:paraId="13F87674" w14:textId="478F48D3" w:rsidR="00D80A0F" w:rsidRPr="007D215C" w:rsidRDefault="007D215C" w:rsidP="007D215C">
      <w:pPr>
        <w:pStyle w:val="NoSpacing"/>
        <w:rPr>
          <w:rFonts w:ascii="Aptos" w:hAnsi="Aptos"/>
          <w:sz w:val="19"/>
          <w:szCs w:val="19"/>
        </w:rPr>
      </w:pPr>
      <w:r w:rsidRPr="007D215C">
        <w:rPr>
          <w:rFonts w:ascii="Aptos" w:hAnsi="Aptos"/>
          <w:sz w:val="19"/>
          <w:szCs w:val="19"/>
        </w:rPr>
        <w:t>The competitive bar in long-acting retinal therapy has moved, and the strategy applies a stricter filter: Do not fund evidence generation unless it will either change a payer/practice decision, create a credible contrast versus current and near-term competitors, or preserve optionality before Phase 3 protocol lock.</w:t>
      </w:r>
    </w:p>
    <w:p w14:paraId="3DE4FBB6" w14:textId="4F9A79EC" w:rsidR="00D80A0F" w:rsidRDefault="00000000">
      <w:pPr>
        <w:spacing w:before="80" w:after="60"/>
      </w:pPr>
      <w:r>
        <w:rPr>
          <w:b/>
          <w:color w:val="1F4E79"/>
        </w:rPr>
        <w:t xml:space="preserve">Table 1. </w:t>
      </w:r>
      <w:r w:rsidR="007D215C" w:rsidRPr="007D215C">
        <w:rPr>
          <w:b/>
          <w:color w:val="1F4E79"/>
        </w:rPr>
        <w:t>C</w:t>
      </w:r>
      <w:r>
        <w:rPr>
          <w:b/>
          <w:color w:val="1F4E79"/>
        </w:rPr>
        <w:t xml:space="preserve">ompetitor-adjusted </w:t>
      </w:r>
      <w:r w:rsidR="007D215C" w:rsidRPr="007D215C">
        <w:rPr>
          <w:b/>
          <w:color w:val="1F4E79"/>
        </w:rPr>
        <w:t>strategic priorities</w:t>
      </w:r>
    </w:p>
    <w:tbl>
      <w:tblPr>
        <w:tblStyle w:val="TableGrid"/>
        <w:tblW w:w="0" w:type="auto"/>
        <w:jc w:val="center"/>
        <w:tblLayout w:type="fixed"/>
        <w:tblLook w:val="04A0" w:firstRow="1" w:lastRow="0" w:firstColumn="1" w:lastColumn="0" w:noHBand="0" w:noVBand="1"/>
      </w:tblPr>
      <w:tblGrid>
        <w:gridCol w:w="2304"/>
        <w:gridCol w:w="4320"/>
        <w:gridCol w:w="3168"/>
      </w:tblGrid>
      <w:tr w:rsidR="00D80A0F" w14:paraId="24DEA08B" w14:textId="77777777">
        <w:trPr>
          <w:cantSplit/>
          <w:tblHeader/>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499381B" w14:textId="77777777" w:rsidR="00D80A0F" w:rsidRDefault="00000000">
            <w:pPr>
              <w:spacing w:after="0"/>
            </w:pPr>
            <w:r>
              <w:rPr>
                <w:b/>
                <w:color w:val="FFFFFF"/>
                <w:sz w:val="17"/>
              </w:rPr>
              <w:t>What changed</w:t>
            </w:r>
          </w:p>
        </w:tc>
        <w:tc>
          <w:tcPr>
            <w:tcW w:w="432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50A261F" w14:textId="77777777" w:rsidR="00D80A0F" w:rsidRDefault="00000000">
            <w:pPr>
              <w:spacing w:after="0"/>
            </w:pPr>
            <w:r>
              <w:rPr>
                <w:b/>
                <w:color w:val="FFFFFF"/>
                <w:sz w:val="17"/>
              </w:rPr>
              <w:t>Evidence status</w:t>
            </w:r>
          </w:p>
        </w:tc>
        <w:tc>
          <w:tcPr>
            <w:tcW w:w="316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1654397" w14:textId="77777777" w:rsidR="00D80A0F" w:rsidRDefault="00000000">
            <w:pPr>
              <w:spacing w:after="0"/>
            </w:pPr>
            <w:r>
              <w:rPr>
                <w:b/>
                <w:color w:val="FFFFFF"/>
                <w:sz w:val="17"/>
              </w:rPr>
              <w:t>Roadmap consequence</w:t>
            </w:r>
          </w:p>
        </w:tc>
      </w:tr>
      <w:tr w:rsidR="00D80A0F" w14:paraId="42ECBB2D"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Pr>
          <w:p w14:paraId="0BC1C02E" w14:textId="77777777" w:rsidR="00D80A0F" w:rsidRDefault="00000000">
            <w:pPr>
              <w:spacing w:after="0" w:line="240" w:lineRule="auto"/>
            </w:pPr>
            <w:r>
              <w:rPr>
                <w:sz w:val="16"/>
              </w:rPr>
              <w:t>Durability is not white space.</w:t>
            </w:r>
          </w:p>
        </w:tc>
        <w:tc>
          <w:tcPr>
            <w:tcW w:w="4320" w:type="dxa"/>
            <w:tcBorders>
              <w:top w:val="single" w:sz="4" w:space="0" w:color="BFBFBF"/>
              <w:left w:val="single" w:sz="4" w:space="0" w:color="BFBFBF"/>
              <w:bottom w:val="single" w:sz="4" w:space="0" w:color="BFBFBF"/>
              <w:right w:val="single" w:sz="4" w:space="0" w:color="BFBFBF"/>
            </w:tcBorders>
          </w:tcPr>
          <w:p w14:paraId="22F64EDC" w14:textId="77777777" w:rsidR="00D80A0F" w:rsidRDefault="00000000">
            <w:pPr>
              <w:spacing w:after="0" w:line="240" w:lineRule="auto"/>
            </w:pPr>
            <w:r>
              <w:rPr>
                <w:sz w:val="16"/>
              </w:rPr>
              <w:t>Vabysmo and EYLEA HD have established long-interval narratives; faricimab also has a growing real-world evidence base.</w:t>
            </w:r>
            <w:r>
              <w:t xml:space="preserve"> </w:t>
            </w:r>
            <w:hyperlink r:id="rId13">
              <w:r>
                <w:rPr>
                  <w:color w:val="0563C1"/>
                  <w:u w:val="single"/>
                </w:rPr>
                <w:t>[5]</w:t>
              </w:r>
            </w:hyperlink>
            <w:r>
              <w:t xml:space="preserve"> </w:t>
            </w:r>
            <w:hyperlink r:id="rId14">
              <w:r>
                <w:rPr>
                  <w:color w:val="0563C1"/>
                  <w:u w:val="single"/>
                </w:rPr>
                <w:t>[6]</w:t>
              </w:r>
            </w:hyperlink>
            <w:r>
              <w:t xml:space="preserve"> </w:t>
            </w:r>
            <w:hyperlink r:id="rId15">
              <w:r>
                <w:rPr>
                  <w:color w:val="0563C1"/>
                  <w:u w:val="single"/>
                </w:rPr>
                <w:t>[7]</w:t>
              </w:r>
            </w:hyperlink>
            <w:r>
              <w:t xml:space="preserve"> </w:t>
            </w:r>
            <w:hyperlink r:id="rId16">
              <w:r>
                <w:rPr>
                  <w:color w:val="0563C1"/>
                  <w:u w:val="single"/>
                </w:rPr>
                <w:t>[8]</w:t>
              </w:r>
            </w:hyperlink>
            <w:r>
              <w:t xml:space="preserve"> </w:t>
            </w:r>
            <w:hyperlink r:id="rId17">
              <w:r>
                <w:rPr>
                  <w:color w:val="0563C1"/>
                  <w:u w:val="single"/>
                </w:rPr>
                <w:t>[9]</w:t>
              </w:r>
            </w:hyperlink>
          </w:p>
        </w:tc>
        <w:tc>
          <w:tcPr>
            <w:tcW w:w="3168" w:type="dxa"/>
            <w:tcBorders>
              <w:top w:val="single" w:sz="4" w:space="0" w:color="BFBFBF"/>
              <w:left w:val="single" w:sz="4" w:space="0" w:color="BFBFBF"/>
              <w:bottom w:val="single" w:sz="4" w:space="0" w:color="BFBFBF"/>
              <w:right w:val="single" w:sz="4" w:space="0" w:color="BFBFBF"/>
            </w:tcBorders>
          </w:tcPr>
          <w:p w14:paraId="5E3C1B35" w14:textId="77777777" w:rsidR="00D80A0F" w:rsidRDefault="00000000">
            <w:pPr>
              <w:spacing w:after="0" w:line="240" w:lineRule="auto"/>
            </w:pPr>
            <w:r>
              <w:rPr>
                <w:sz w:val="16"/>
              </w:rPr>
              <w:t>CLS-AX must quantify total treatment burden reduction and clinically credible rescue-free durability, not simply fewer injections.</w:t>
            </w:r>
          </w:p>
        </w:tc>
      </w:tr>
      <w:tr w:rsidR="00D80A0F" w14:paraId="348759CE"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Pr>
          <w:p w14:paraId="0ED57356" w14:textId="77777777" w:rsidR="00D80A0F" w:rsidRDefault="00000000">
            <w:pPr>
              <w:spacing w:after="0" w:line="240" w:lineRule="auto"/>
            </w:pPr>
            <w:r>
              <w:rPr>
                <w:sz w:val="16"/>
              </w:rPr>
              <w:t>Six-month TKI/sustained-delivery claims may become crowded.</w:t>
            </w:r>
          </w:p>
        </w:tc>
        <w:tc>
          <w:tcPr>
            <w:tcW w:w="4320" w:type="dxa"/>
            <w:tcBorders>
              <w:top w:val="single" w:sz="4" w:space="0" w:color="BFBFBF"/>
              <w:left w:val="single" w:sz="4" w:space="0" w:color="BFBFBF"/>
              <w:bottom w:val="single" w:sz="4" w:space="0" w:color="BFBFBF"/>
              <w:right w:val="single" w:sz="4" w:space="0" w:color="BFBFBF"/>
            </w:tcBorders>
          </w:tcPr>
          <w:p w14:paraId="2DB65062" w14:textId="77777777" w:rsidR="00D80A0F" w:rsidRDefault="00000000">
            <w:pPr>
              <w:spacing w:after="0" w:line="240" w:lineRule="auto"/>
            </w:pPr>
            <w:r>
              <w:rPr>
                <w:sz w:val="16"/>
              </w:rPr>
              <w:t>AXPAXLI has positive SOL-1 Phase 3 data and an NDA-oriented path; DURAVYU Phase 3 wet AMD data are expected beginning mid-2026.</w:t>
            </w:r>
            <w:r>
              <w:t xml:space="preserve"> </w:t>
            </w:r>
            <w:hyperlink r:id="rId18">
              <w:r>
                <w:rPr>
                  <w:color w:val="0563C1"/>
                  <w:u w:val="single"/>
                </w:rPr>
                <w:t>[11]</w:t>
              </w:r>
            </w:hyperlink>
            <w:r>
              <w:t xml:space="preserve"> </w:t>
            </w:r>
            <w:hyperlink r:id="rId19">
              <w:r>
                <w:rPr>
                  <w:color w:val="0563C1"/>
                  <w:u w:val="single"/>
                </w:rPr>
                <w:t>[12]</w:t>
              </w:r>
            </w:hyperlink>
            <w:r>
              <w:t xml:space="preserve"> </w:t>
            </w:r>
            <w:hyperlink r:id="rId20">
              <w:r>
                <w:rPr>
                  <w:color w:val="0563C1"/>
                  <w:u w:val="single"/>
                </w:rPr>
                <w:t>[14]</w:t>
              </w:r>
            </w:hyperlink>
            <w:r>
              <w:t xml:space="preserve"> </w:t>
            </w:r>
            <w:hyperlink r:id="rId21">
              <w:r>
                <w:rPr>
                  <w:color w:val="0563C1"/>
                  <w:u w:val="single"/>
                </w:rPr>
                <w:t>[15]</w:t>
              </w:r>
            </w:hyperlink>
          </w:p>
        </w:tc>
        <w:tc>
          <w:tcPr>
            <w:tcW w:w="3168" w:type="dxa"/>
            <w:tcBorders>
              <w:top w:val="single" w:sz="4" w:space="0" w:color="BFBFBF"/>
              <w:left w:val="single" w:sz="4" w:space="0" w:color="BFBFBF"/>
              <w:bottom w:val="single" w:sz="4" w:space="0" w:color="BFBFBF"/>
              <w:right w:val="single" w:sz="4" w:space="0" w:color="BFBFBF"/>
            </w:tcBorders>
          </w:tcPr>
          <w:p w14:paraId="46368489" w14:textId="77777777" w:rsidR="00D80A0F" w:rsidRDefault="00000000">
            <w:pPr>
              <w:spacing w:after="0" w:line="240" w:lineRule="auto"/>
            </w:pPr>
            <w:r>
              <w:rPr>
                <w:sz w:val="16"/>
              </w:rPr>
              <w:t>CLS-AX should differentiate by delivery route, compartmentalization, repeatability, redosing flexibility, and patient/practice experience.</w:t>
            </w:r>
          </w:p>
        </w:tc>
      </w:tr>
      <w:tr w:rsidR="00D80A0F" w14:paraId="0AF213B9"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Pr>
          <w:p w14:paraId="478D0C1A" w14:textId="77777777" w:rsidR="00D80A0F" w:rsidRDefault="00000000">
            <w:pPr>
              <w:spacing w:after="0" w:line="240" w:lineRule="auto"/>
            </w:pPr>
            <w:r>
              <w:rPr>
                <w:sz w:val="16"/>
              </w:rPr>
              <w:t>One-time gene therapy will pressure the 'durability' story from above.</w:t>
            </w:r>
          </w:p>
        </w:tc>
        <w:tc>
          <w:tcPr>
            <w:tcW w:w="4320" w:type="dxa"/>
            <w:tcBorders>
              <w:top w:val="single" w:sz="4" w:space="0" w:color="BFBFBF"/>
              <w:left w:val="single" w:sz="4" w:space="0" w:color="BFBFBF"/>
              <w:bottom w:val="single" w:sz="4" w:space="0" w:color="BFBFBF"/>
              <w:right w:val="single" w:sz="4" w:space="0" w:color="BFBFBF"/>
            </w:tcBorders>
          </w:tcPr>
          <w:p w14:paraId="09161A3D" w14:textId="77777777" w:rsidR="00D80A0F" w:rsidRDefault="00000000">
            <w:pPr>
              <w:spacing w:after="0" w:line="240" w:lineRule="auto"/>
            </w:pPr>
            <w:r>
              <w:rPr>
                <w:sz w:val="16"/>
              </w:rPr>
              <w:t>4D-150, subretinal sura-vec/ABBV-RGX-314, and ixo-vec have pivotal or late-stage programs with expected readouts in the 2026-2027 window.</w:t>
            </w:r>
            <w:r>
              <w:t xml:space="preserve"> </w:t>
            </w:r>
            <w:hyperlink r:id="rId22">
              <w:r>
                <w:rPr>
                  <w:color w:val="0563C1"/>
                  <w:u w:val="single"/>
                </w:rPr>
                <w:t>[16]</w:t>
              </w:r>
            </w:hyperlink>
            <w:r>
              <w:t xml:space="preserve"> </w:t>
            </w:r>
            <w:hyperlink r:id="rId23">
              <w:r>
                <w:rPr>
                  <w:color w:val="0563C1"/>
                  <w:u w:val="single"/>
                </w:rPr>
                <w:t>[17]</w:t>
              </w:r>
            </w:hyperlink>
            <w:r>
              <w:t xml:space="preserve"> </w:t>
            </w:r>
            <w:hyperlink r:id="rId24">
              <w:r>
                <w:rPr>
                  <w:color w:val="0563C1"/>
                  <w:u w:val="single"/>
                </w:rPr>
                <w:t>[18]</w:t>
              </w:r>
            </w:hyperlink>
            <w:r>
              <w:t xml:space="preserve"> </w:t>
            </w:r>
            <w:hyperlink r:id="rId25">
              <w:r>
                <w:rPr>
                  <w:color w:val="0563C1"/>
                  <w:u w:val="single"/>
                </w:rPr>
                <w:t>[19]</w:t>
              </w:r>
            </w:hyperlink>
          </w:p>
        </w:tc>
        <w:tc>
          <w:tcPr>
            <w:tcW w:w="3168" w:type="dxa"/>
            <w:tcBorders>
              <w:top w:val="single" w:sz="4" w:space="0" w:color="BFBFBF"/>
              <w:left w:val="single" w:sz="4" w:space="0" w:color="BFBFBF"/>
              <w:bottom w:val="single" w:sz="4" w:space="0" w:color="BFBFBF"/>
              <w:right w:val="single" w:sz="4" w:space="0" w:color="BFBFBF"/>
            </w:tcBorders>
          </w:tcPr>
          <w:p w14:paraId="2FF95301" w14:textId="77777777" w:rsidR="00D80A0F" w:rsidRDefault="00000000">
            <w:pPr>
              <w:spacing w:after="0" w:line="240" w:lineRule="auto"/>
            </w:pPr>
            <w:r>
              <w:rPr>
                <w:sz w:val="16"/>
              </w:rPr>
              <w:t>CLS-AX should position evidence around reversibility/titration, non-surgical office use, rescue compatibility, and lower commitment for uncertain disease trajectories.</w:t>
            </w:r>
          </w:p>
        </w:tc>
      </w:tr>
      <w:tr w:rsidR="00D80A0F" w14:paraId="22F18037"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Pr>
          <w:p w14:paraId="03EB6931" w14:textId="77777777" w:rsidR="00D80A0F" w:rsidRDefault="00000000">
            <w:pPr>
              <w:spacing w:after="0" w:line="240" w:lineRule="auto"/>
            </w:pPr>
            <w:r>
              <w:rPr>
                <w:sz w:val="16"/>
              </w:rPr>
              <w:t>Generic burden data already exist.</w:t>
            </w:r>
          </w:p>
        </w:tc>
        <w:tc>
          <w:tcPr>
            <w:tcW w:w="4320" w:type="dxa"/>
            <w:tcBorders>
              <w:top w:val="single" w:sz="4" w:space="0" w:color="BFBFBF"/>
              <w:left w:val="single" w:sz="4" w:space="0" w:color="BFBFBF"/>
              <w:bottom w:val="single" w:sz="4" w:space="0" w:color="BFBFBF"/>
              <w:right w:val="single" w:sz="4" w:space="0" w:color="BFBFBF"/>
            </w:tcBorders>
          </w:tcPr>
          <w:p w14:paraId="792F2D20" w14:textId="77777777" w:rsidR="00D80A0F" w:rsidRDefault="00000000">
            <w:pPr>
              <w:spacing w:after="0" w:line="240" w:lineRule="auto"/>
            </w:pPr>
            <w:r>
              <w:rPr>
                <w:sz w:val="16"/>
              </w:rPr>
              <w:t>Patient and care-partner burden from anti-VEGF visit frequency has been measured in published studies.</w:t>
            </w:r>
            <w:r>
              <w:t xml:space="preserve"> </w:t>
            </w:r>
            <w:hyperlink r:id="rId26">
              <w:r>
                <w:rPr>
                  <w:color w:val="0563C1"/>
                  <w:u w:val="single"/>
                </w:rPr>
                <w:t>[24]</w:t>
              </w:r>
            </w:hyperlink>
            <w:r>
              <w:t xml:space="preserve"> </w:t>
            </w:r>
            <w:hyperlink r:id="rId27">
              <w:r>
                <w:rPr>
                  <w:color w:val="0563C1"/>
                  <w:u w:val="single"/>
                </w:rPr>
                <w:t>[25]</w:t>
              </w:r>
            </w:hyperlink>
          </w:p>
        </w:tc>
        <w:tc>
          <w:tcPr>
            <w:tcW w:w="3168" w:type="dxa"/>
            <w:tcBorders>
              <w:top w:val="single" w:sz="4" w:space="0" w:color="BFBFBF"/>
              <w:left w:val="single" w:sz="4" w:space="0" w:color="BFBFBF"/>
              <w:bottom w:val="single" w:sz="4" w:space="0" w:color="BFBFBF"/>
              <w:right w:val="single" w:sz="4" w:space="0" w:color="BFBFBF"/>
            </w:tcBorders>
          </w:tcPr>
          <w:p w14:paraId="21E32AE6" w14:textId="77777777" w:rsidR="00D80A0F" w:rsidRDefault="00000000">
            <w:pPr>
              <w:spacing w:after="0" w:line="240" w:lineRule="auto"/>
            </w:pPr>
            <w:r>
              <w:rPr>
                <w:sz w:val="16"/>
              </w:rPr>
              <w:t>A standalone survey has low incremental value unless prospectively linked to CLS-AX dosing, OCT activity, rescue use, site workflow, and comparator-relevant scenarios.</w:t>
            </w:r>
          </w:p>
        </w:tc>
      </w:tr>
      <w:tr w:rsidR="00D80A0F" w14:paraId="5023E8B1"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Pr>
          <w:p w14:paraId="25D07C79" w14:textId="77777777" w:rsidR="00D80A0F" w:rsidRDefault="00000000">
            <w:pPr>
              <w:spacing w:after="0" w:line="240" w:lineRule="auto"/>
            </w:pPr>
            <w:r>
              <w:rPr>
                <w:sz w:val="16"/>
              </w:rPr>
              <w:t>HEOR must be embedded, not appended.</w:t>
            </w:r>
          </w:p>
        </w:tc>
        <w:tc>
          <w:tcPr>
            <w:tcW w:w="4320" w:type="dxa"/>
            <w:tcBorders>
              <w:top w:val="single" w:sz="4" w:space="0" w:color="BFBFBF"/>
              <w:left w:val="single" w:sz="4" w:space="0" w:color="BFBFBF"/>
              <w:bottom w:val="single" w:sz="4" w:space="0" w:color="BFBFBF"/>
              <w:right w:val="single" w:sz="4" w:space="0" w:color="BFBFBF"/>
            </w:tcBorders>
          </w:tcPr>
          <w:p w14:paraId="4A43F42A" w14:textId="77777777" w:rsidR="00D80A0F" w:rsidRDefault="00000000">
            <w:pPr>
              <w:spacing w:after="0" w:line="240" w:lineRule="auto"/>
            </w:pPr>
            <w:r>
              <w:rPr>
                <w:sz w:val="16"/>
              </w:rPr>
              <w:t>FDA and AMCP frameworks support use of RWD/RWE and formulary dossiers, but decision-makers will value product-specific, trial-linked data more than broad claims-only analyses.</w:t>
            </w:r>
            <w:r>
              <w:t xml:space="preserve"> </w:t>
            </w:r>
            <w:hyperlink r:id="rId28">
              <w:r>
                <w:rPr>
                  <w:color w:val="0563C1"/>
                  <w:u w:val="single"/>
                </w:rPr>
                <w:t>[21]</w:t>
              </w:r>
            </w:hyperlink>
            <w:r>
              <w:t xml:space="preserve"> </w:t>
            </w:r>
            <w:hyperlink r:id="rId29">
              <w:r>
                <w:rPr>
                  <w:color w:val="0563C1"/>
                  <w:u w:val="single"/>
                </w:rPr>
                <w:t>[22]</w:t>
              </w:r>
            </w:hyperlink>
            <w:r>
              <w:t xml:space="preserve"> </w:t>
            </w:r>
            <w:hyperlink r:id="rId30">
              <w:r>
                <w:rPr>
                  <w:color w:val="0563C1"/>
                  <w:u w:val="single"/>
                </w:rPr>
                <w:t>[23]</w:t>
              </w:r>
            </w:hyperlink>
          </w:p>
        </w:tc>
        <w:tc>
          <w:tcPr>
            <w:tcW w:w="3168" w:type="dxa"/>
            <w:tcBorders>
              <w:top w:val="single" w:sz="4" w:space="0" w:color="BFBFBF"/>
              <w:left w:val="single" w:sz="4" w:space="0" w:color="BFBFBF"/>
              <w:bottom w:val="single" w:sz="4" w:space="0" w:color="BFBFBF"/>
              <w:right w:val="single" w:sz="4" w:space="0" w:color="BFBFBF"/>
            </w:tcBorders>
          </w:tcPr>
          <w:p w14:paraId="2BFAD0AB" w14:textId="77777777" w:rsidR="00D80A0F" w:rsidRDefault="00000000">
            <w:pPr>
              <w:spacing w:after="0" w:line="240" w:lineRule="auto"/>
            </w:pPr>
            <w:r>
              <w:rPr>
                <w:sz w:val="16"/>
              </w:rPr>
              <w:t>Collect non-backfillable endpoints in Phase 3 now: total visits, rescue events, patient/caregiver time, procedure acceptability, and clinic workflow.</w:t>
            </w:r>
          </w:p>
        </w:tc>
      </w:tr>
    </w:tbl>
    <w:p w14:paraId="526C029A" w14:textId="77777777" w:rsidR="00C0283A" w:rsidRPr="00C0283A" w:rsidRDefault="00C0283A" w:rsidP="00C0283A">
      <w:pPr>
        <w:rPr>
          <w:sz w:val="24"/>
        </w:rPr>
      </w:pPr>
    </w:p>
    <w:tbl>
      <w:tblPr>
        <w:tblW w:w="0" w:type="auto"/>
        <w:jc w:val="center"/>
        <w:tblLook w:val="04A0" w:firstRow="1" w:lastRow="0" w:firstColumn="1" w:lastColumn="0" w:noHBand="0" w:noVBand="1"/>
      </w:tblPr>
      <w:tblGrid>
        <w:gridCol w:w="10454"/>
      </w:tblGrid>
      <w:tr w:rsidR="00D80A0F" w14:paraId="14108361" w14:textId="77777777">
        <w:trPr>
          <w:jc w:val="center"/>
        </w:trPr>
        <w:tc>
          <w:tcPr>
            <w:tcW w:w="10454" w:type="dxa"/>
            <w:tcBorders>
              <w:top w:val="single" w:sz="8" w:space="0" w:color="BFBFBF"/>
              <w:left w:val="single" w:sz="8" w:space="0" w:color="BFBFBF"/>
              <w:bottom w:val="single" w:sz="8" w:space="0" w:color="BFBFBF"/>
              <w:right w:val="single" w:sz="8" w:space="0" w:color="BFBFBF"/>
            </w:tcBorders>
            <w:shd w:val="clear" w:color="auto" w:fill="F2F2F2"/>
          </w:tcPr>
          <w:p w14:paraId="0CA2AD77" w14:textId="77777777" w:rsidR="00D80A0F" w:rsidRDefault="00000000">
            <w:pPr>
              <w:spacing w:after="80"/>
            </w:pPr>
            <w:r>
              <w:rPr>
                <w:b/>
                <w:color w:val="1F4E79"/>
                <w:sz w:val="20"/>
              </w:rPr>
              <w:t>Updated priority tiers</w:t>
            </w:r>
          </w:p>
          <w:p w14:paraId="57E55591" w14:textId="77777777" w:rsidR="00D80A0F" w:rsidRDefault="00000000">
            <w:pPr>
              <w:spacing w:after="0" w:line="252" w:lineRule="auto"/>
            </w:pPr>
            <w:r>
              <w:rPr>
                <w:b/>
              </w:rPr>
              <w:t xml:space="preserve">Tier 1 - must do before or during Phase 3: </w:t>
            </w:r>
            <w:r>
              <w:t xml:space="preserve">endpoint/SAP addendum; treatment-burden and practice-capacity substudy; harmonized durability/rescue definitions; procedure safety and acceptability module. </w:t>
            </w:r>
            <w:r>
              <w:rPr>
                <w:b/>
              </w:rPr>
              <w:t xml:space="preserve">Tier 2 - high value if operationally feasible: </w:t>
            </w:r>
            <w:r>
              <w:t xml:space="preserve">OCT-enabled registry architecture, responder/patient-selection analytics, payer threshold research and AMCP-ready model shell. </w:t>
            </w:r>
            <w:r>
              <w:rPr>
                <w:b/>
              </w:rPr>
              <w:t xml:space="preserve">Tier 3 - monitor or redesign: </w:t>
            </w:r>
            <w:r>
              <w:t>generic burden surveys, standalone cost-effectiveness modeling, claims-only burden studies, and broad unanchored indirect comparisons.</w:t>
            </w:r>
          </w:p>
        </w:tc>
      </w:tr>
    </w:tbl>
    <w:p w14:paraId="588CE2B3" w14:textId="77777777" w:rsidR="00D80A0F" w:rsidRDefault="00D80A0F">
      <w:pPr>
        <w:spacing w:after="40"/>
      </w:pPr>
    </w:p>
    <w:p w14:paraId="2FE1CB4A" w14:textId="77777777" w:rsidR="00D80A0F" w:rsidRDefault="00000000">
      <w:pPr>
        <w:pStyle w:val="Heading1"/>
        <w:spacing w:before="240" w:after="100"/>
      </w:pPr>
      <w:r>
        <w:t>2. Competitive evidence landscape: what already exists and what may soon exist</w:t>
      </w:r>
    </w:p>
    <w:p w14:paraId="04409CB2" w14:textId="77777777" w:rsidR="00D80A0F" w:rsidRDefault="00000000">
      <w:r>
        <w:t>The table below is the core change to the file: each potential HEOR project is now interpreted against the evidence competitors already have or are likely to generate before CLS-AX reaches key market-access and adoption decisions.</w:t>
      </w:r>
    </w:p>
    <w:p w14:paraId="3DC7FEBA" w14:textId="77777777" w:rsidR="00D80A0F" w:rsidRDefault="00000000">
      <w:pPr>
        <w:spacing w:before="80" w:after="60"/>
      </w:pPr>
      <w:r>
        <w:rPr>
          <w:b/>
          <w:color w:val="1F4E79"/>
        </w:rPr>
        <w:t>Table 2. Competitive evidence radar</w:t>
      </w:r>
    </w:p>
    <w:tbl>
      <w:tblPr>
        <w:tblStyle w:val="TableGrid"/>
        <w:tblW w:w="0" w:type="auto"/>
        <w:jc w:val="center"/>
        <w:tblLayout w:type="fixed"/>
        <w:tblLook w:val="04A0" w:firstRow="1" w:lastRow="0" w:firstColumn="1" w:lastColumn="0" w:noHBand="0" w:noVBand="1"/>
      </w:tblPr>
      <w:tblGrid>
        <w:gridCol w:w="2088"/>
        <w:gridCol w:w="3240"/>
        <w:gridCol w:w="2304"/>
        <w:gridCol w:w="2880"/>
      </w:tblGrid>
      <w:tr w:rsidR="00D80A0F" w14:paraId="3D70DA15" w14:textId="77777777">
        <w:trPr>
          <w:cantSplit/>
          <w:tblHeade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C8409E6" w14:textId="77777777" w:rsidR="00D80A0F" w:rsidRDefault="00000000">
            <w:pPr>
              <w:spacing w:after="0"/>
            </w:pPr>
            <w:r>
              <w:rPr>
                <w:b/>
                <w:color w:val="FFFFFF"/>
                <w:sz w:val="17"/>
              </w:rPr>
              <w:t>Competitor / status</w:t>
            </w:r>
          </w:p>
        </w:tc>
        <w:tc>
          <w:tcPr>
            <w:tcW w:w="32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07C9EB6" w14:textId="77777777" w:rsidR="00D80A0F" w:rsidRDefault="00000000">
            <w:pPr>
              <w:spacing w:after="0"/>
            </w:pPr>
            <w:r>
              <w:rPr>
                <w:b/>
                <w:color w:val="FFFFFF"/>
                <w:sz w:val="17"/>
              </w:rPr>
              <w:t>What exists or may soon exist</w:t>
            </w:r>
          </w:p>
        </w:tc>
        <w:tc>
          <w:tcPr>
            <w:tcW w:w="230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7E18402" w14:textId="77777777" w:rsidR="00D80A0F" w:rsidRDefault="00000000">
            <w:pPr>
              <w:spacing w:after="0"/>
            </w:pPr>
            <w:r>
              <w:rPr>
                <w:b/>
                <w:color w:val="FFFFFF"/>
                <w:sz w:val="17"/>
              </w:rPr>
              <w:t>Why it changes CLS-AX HEOR</w:t>
            </w:r>
          </w:p>
        </w:tc>
        <w:tc>
          <w:tcPr>
            <w:tcW w:w="288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1921D09" w14:textId="77777777" w:rsidR="00D80A0F" w:rsidRDefault="00000000">
            <w:pPr>
              <w:spacing w:after="0"/>
            </w:pPr>
            <w:r>
              <w:rPr>
                <w:b/>
                <w:color w:val="FFFFFF"/>
                <w:sz w:val="17"/>
              </w:rPr>
              <w:t>Recommended CLS-AX response</w:t>
            </w:r>
          </w:p>
        </w:tc>
      </w:tr>
      <w:tr w:rsidR="00D80A0F" w14:paraId="1FAF4102"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Pr>
          <w:p w14:paraId="2D6B1C1D" w14:textId="77777777" w:rsidR="00D80A0F" w:rsidRDefault="00000000">
            <w:pPr>
              <w:spacing w:after="0" w:line="240" w:lineRule="auto"/>
            </w:pPr>
            <w:r>
              <w:rPr>
                <w:sz w:val="16"/>
              </w:rPr>
              <w:t>EYLEA HD (aflibercept 8 mg)</w:t>
            </w:r>
            <w:r>
              <w:rPr>
                <w:sz w:val="16"/>
              </w:rPr>
              <w:br/>
              <w:t>Status: approved competitor; evidence exists</w:t>
            </w:r>
          </w:p>
        </w:tc>
        <w:tc>
          <w:tcPr>
            <w:tcW w:w="3240" w:type="dxa"/>
            <w:tcBorders>
              <w:top w:val="single" w:sz="4" w:space="0" w:color="BFBFBF"/>
              <w:left w:val="single" w:sz="4" w:space="0" w:color="BFBFBF"/>
              <w:bottom w:val="single" w:sz="4" w:space="0" w:color="BFBFBF"/>
              <w:right w:val="single" w:sz="4" w:space="0" w:color="BFBFBF"/>
            </w:tcBorders>
          </w:tcPr>
          <w:p w14:paraId="01225F21" w14:textId="77777777" w:rsidR="00D80A0F" w:rsidRDefault="00000000">
            <w:pPr>
              <w:spacing w:after="0" w:line="240" w:lineRule="auto"/>
            </w:pPr>
            <w:r>
              <w:rPr>
                <w:sz w:val="16"/>
              </w:rPr>
              <w:t>FDA-approved extended dosing intervals up to every 20 weeks after one year of successful response; 96-week PULSAR data reported that 47% of wAMD completers achieved an assigned interval of at least 20 weeks.</w:t>
            </w:r>
            <w:r>
              <w:t xml:space="preserve"> </w:t>
            </w:r>
            <w:hyperlink r:id="rId31">
              <w:r>
                <w:rPr>
                  <w:color w:val="0563C1"/>
                  <w:u w:val="single"/>
                </w:rPr>
                <w:t>[5]</w:t>
              </w:r>
            </w:hyperlink>
          </w:p>
        </w:tc>
        <w:tc>
          <w:tcPr>
            <w:tcW w:w="2304" w:type="dxa"/>
            <w:tcBorders>
              <w:top w:val="single" w:sz="4" w:space="0" w:color="BFBFBF"/>
              <w:left w:val="single" w:sz="4" w:space="0" w:color="BFBFBF"/>
              <w:bottom w:val="single" w:sz="4" w:space="0" w:color="BFBFBF"/>
              <w:right w:val="single" w:sz="4" w:space="0" w:color="BFBFBF"/>
            </w:tcBorders>
          </w:tcPr>
          <w:p w14:paraId="1EA81942" w14:textId="77777777" w:rsidR="00D80A0F" w:rsidRDefault="00000000">
            <w:pPr>
              <w:spacing w:after="0" w:line="240" w:lineRule="auto"/>
            </w:pPr>
            <w:r>
              <w:rPr>
                <w:sz w:val="16"/>
              </w:rPr>
              <w:t>Raises the evidentiary bar for long-interval claims. A 'fewer injections' claim alone is insufficient.</w:t>
            </w:r>
          </w:p>
        </w:tc>
        <w:tc>
          <w:tcPr>
            <w:tcW w:w="2880" w:type="dxa"/>
            <w:tcBorders>
              <w:top w:val="single" w:sz="4" w:space="0" w:color="BFBFBF"/>
              <w:left w:val="single" w:sz="4" w:space="0" w:color="BFBFBF"/>
              <w:bottom w:val="single" w:sz="4" w:space="0" w:color="BFBFBF"/>
              <w:right w:val="single" w:sz="4" w:space="0" w:color="BFBFBF"/>
            </w:tcBorders>
          </w:tcPr>
          <w:p w14:paraId="31DDA928" w14:textId="77777777" w:rsidR="00D80A0F" w:rsidRDefault="00000000">
            <w:pPr>
              <w:spacing w:after="0" w:line="240" w:lineRule="auto"/>
            </w:pPr>
            <w:r>
              <w:rPr>
                <w:sz w:val="16"/>
              </w:rPr>
              <w:t>Measure q12/q16/q20/q24 success, rescue-free days, and total retina visits; show where CLS-AX changes burden beyond anti-VEGF interval extension.</w:t>
            </w:r>
          </w:p>
        </w:tc>
      </w:tr>
      <w:tr w:rsidR="00D80A0F" w14:paraId="709B36F3"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Pr>
          <w:p w14:paraId="215DA0EA" w14:textId="77777777" w:rsidR="00D80A0F" w:rsidRDefault="00000000">
            <w:pPr>
              <w:spacing w:after="0" w:line="240" w:lineRule="auto"/>
            </w:pPr>
            <w:r>
              <w:rPr>
                <w:sz w:val="16"/>
              </w:rPr>
              <w:t>Vabysmo (faricimab)</w:t>
            </w:r>
            <w:r>
              <w:rPr>
                <w:sz w:val="16"/>
              </w:rPr>
              <w:br/>
              <w:t>Status: approved competitor; evidence exists and RWE is expanding</w:t>
            </w:r>
          </w:p>
        </w:tc>
        <w:tc>
          <w:tcPr>
            <w:tcW w:w="3240" w:type="dxa"/>
            <w:tcBorders>
              <w:top w:val="single" w:sz="4" w:space="0" w:color="BFBFBF"/>
              <w:left w:val="single" w:sz="4" w:space="0" w:color="BFBFBF"/>
              <w:bottom w:val="single" w:sz="4" w:space="0" w:color="BFBFBF"/>
              <w:right w:val="single" w:sz="4" w:space="0" w:color="BFBFBF"/>
            </w:tcBorders>
          </w:tcPr>
          <w:p w14:paraId="1FF2EF2A" w14:textId="77777777" w:rsidR="00D80A0F" w:rsidRDefault="00000000">
            <w:pPr>
              <w:spacing w:after="0" w:line="240" w:lineRule="auto"/>
            </w:pPr>
            <w:r>
              <w:rPr>
                <w:sz w:val="16"/>
              </w:rPr>
              <w:t>Label/HCP materials emphasize flexible 1- to 4-month dosing after loading; two-year TENAYA/LUCERNE and real-world faricimab studies support durable intervals and real-world experience.</w:t>
            </w:r>
            <w:r>
              <w:t xml:space="preserve"> </w:t>
            </w:r>
            <w:hyperlink r:id="rId32">
              <w:r>
                <w:rPr>
                  <w:color w:val="0563C1"/>
                  <w:u w:val="single"/>
                </w:rPr>
                <w:t>[6]</w:t>
              </w:r>
            </w:hyperlink>
            <w:r>
              <w:t xml:space="preserve"> </w:t>
            </w:r>
            <w:hyperlink r:id="rId33">
              <w:r>
                <w:rPr>
                  <w:color w:val="0563C1"/>
                  <w:u w:val="single"/>
                </w:rPr>
                <w:t>[7]</w:t>
              </w:r>
            </w:hyperlink>
            <w:r>
              <w:t xml:space="preserve"> </w:t>
            </w:r>
            <w:hyperlink r:id="rId34">
              <w:r>
                <w:rPr>
                  <w:color w:val="0563C1"/>
                  <w:u w:val="single"/>
                </w:rPr>
                <w:t>[8]</w:t>
              </w:r>
            </w:hyperlink>
            <w:r>
              <w:t xml:space="preserve"> </w:t>
            </w:r>
            <w:hyperlink r:id="rId35">
              <w:r>
                <w:rPr>
                  <w:color w:val="0563C1"/>
                  <w:u w:val="single"/>
                </w:rPr>
                <w:t>[9]</w:t>
              </w:r>
            </w:hyperlink>
          </w:p>
        </w:tc>
        <w:tc>
          <w:tcPr>
            <w:tcW w:w="2304" w:type="dxa"/>
            <w:tcBorders>
              <w:top w:val="single" w:sz="4" w:space="0" w:color="BFBFBF"/>
              <w:left w:val="single" w:sz="4" w:space="0" w:color="BFBFBF"/>
              <w:bottom w:val="single" w:sz="4" w:space="0" w:color="BFBFBF"/>
              <w:right w:val="single" w:sz="4" w:space="0" w:color="BFBFBF"/>
            </w:tcBorders>
          </w:tcPr>
          <w:p w14:paraId="45CDD84A" w14:textId="77777777" w:rsidR="00D80A0F" w:rsidRDefault="00000000">
            <w:pPr>
              <w:spacing w:after="0" w:line="240" w:lineRule="auto"/>
            </w:pPr>
            <w:r>
              <w:rPr>
                <w:sz w:val="16"/>
              </w:rPr>
              <w:t>Generic RWE and interval-extension evidence are already mature.</w:t>
            </w:r>
          </w:p>
        </w:tc>
        <w:tc>
          <w:tcPr>
            <w:tcW w:w="2880" w:type="dxa"/>
            <w:tcBorders>
              <w:top w:val="single" w:sz="4" w:space="0" w:color="BFBFBF"/>
              <w:left w:val="single" w:sz="4" w:space="0" w:color="BFBFBF"/>
              <w:bottom w:val="single" w:sz="4" w:space="0" w:color="BFBFBF"/>
              <w:right w:val="single" w:sz="4" w:space="0" w:color="BFBFBF"/>
            </w:tcBorders>
          </w:tcPr>
          <w:p w14:paraId="04EF6FA8" w14:textId="77777777" w:rsidR="00D80A0F" w:rsidRDefault="00000000">
            <w:pPr>
              <w:spacing w:after="0" w:line="240" w:lineRule="auto"/>
            </w:pPr>
            <w:r>
              <w:rPr>
                <w:sz w:val="16"/>
              </w:rPr>
              <w:t>Avoid undifferentiated 'real-world durability' claims. Generate product-specific burden, workflow, and treatment-experienced data.</w:t>
            </w:r>
          </w:p>
        </w:tc>
      </w:tr>
      <w:tr w:rsidR="00D80A0F" w14:paraId="1D9A2221"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Pr>
          <w:p w14:paraId="0D980DF4" w14:textId="77777777" w:rsidR="00D80A0F" w:rsidRDefault="00000000">
            <w:pPr>
              <w:spacing w:after="0" w:line="240" w:lineRule="auto"/>
            </w:pPr>
            <w:r>
              <w:rPr>
                <w:sz w:val="16"/>
              </w:rPr>
              <w:t>Susvimo (ranibizumab PDS)</w:t>
            </w:r>
            <w:r>
              <w:rPr>
                <w:sz w:val="16"/>
              </w:rPr>
              <w:br/>
              <w:t>Status: approved sustained-delivery comparator</w:t>
            </w:r>
          </w:p>
        </w:tc>
        <w:tc>
          <w:tcPr>
            <w:tcW w:w="3240" w:type="dxa"/>
            <w:tcBorders>
              <w:top w:val="single" w:sz="4" w:space="0" w:color="BFBFBF"/>
              <w:left w:val="single" w:sz="4" w:space="0" w:color="BFBFBF"/>
              <w:bottom w:val="single" w:sz="4" w:space="0" w:color="BFBFBF"/>
              <w:right w:val="single" w:sz="4" w:space="0" w:color="BFBFBF"/>
            </w:tcBorders>
          </w:tcPr>
          <w:p w14:paraId="1D5BFEEB" w14:textId="77777777" w:rsidR="00D80A0F" w:rsidRDefault="00000000">
            <w:pPr>
              <w:spacing w:after="0" w:line="240" w:lineRule="auto"/>
            </w:pPr>
            <w:r>
              <w:rPr>
                <w:sz w:val="16"/>
              </w:rPr>
              <w:t>Provides a six-month refill concept but carries procedure/implant risks, including endophthalmitis warnings in HCP safety information.</w:t>
            </w:r>
            <w:r>
              <w:t xml:space="preserve"> </w:t>
            </w:r>
            <w:hyperlink r:id="rId36">
              <w:r>
                <w:rPr>
                  <w:color w:val="0563C1"/>
                  <w:u w:val="single"/>
                </w:rPr>
                <w:t>[10]</w:t>
              </w:r>
            </w:hyperlink>
          </w:p>
        </w:tc>
        <w:tc>
          <w:tcPr>
            <w:tcW w:w="2304" w:type="dxa"/>
            <w:tcBorders>
              <w:top w:val="single" w:sz="4" w:space="0" w:color="BFBFBF"/>
              <w:left w:val="single" w:sz="4" w:space="0" w:color="BFBFBF"/>
              <w:bottom w:val="single" w:sz="4" w:space="0" w:color="BFBFBF"/>
              <w:right w:val="single" w:sz="4" w:space="0" w:color="BFBFBF"/>
            </w:tcBorders>
          </w:tcPr>
          <w:p w14:paraId="6D4F3677" w14:textId="77777777" w:rsidR="00D80A0F" w:rsidRDefault="00000000">
            <w:pPr>
              <w:spacing w:after="0" w:line="240" w:lineRule="auto"/>
            </w:pPr>
            <w:r>
              <w:rPr>
                <w:sz w:val="16"/>
              </w:rPr>
              <w:t>Creates room for a non-surgical, office-based alternative narrative if supported by evidence.</w:t>
            </w:r>
          </w:p>
        </w:tc>
        <w:tc>
          <w:tcPr>
            <w:tcW w:w="2880" w:type="dxa"/>
            <w:tcBorders>
              <w:top w:val="single" w:sz="4" w:space="0" w:color="BFBFBF"/>
              <w:left w:val="single" w:sz="4" w:space="0" w:color="BFBFBF"/>
              <w:bottom w:val="single" w:sz="4" w:space="0" w:color="BFBFBF"/>
              <w:right w:val="single" w:sz="4" w:space="0" w:color="BFBFBF"/>
            </w:tcBorders>
          </w:tcPr>
          <w:p w14:paraId="12E95CCF" w14:textId="77777777" w:rsidR="00D80A0F" w:rsidRDefault="00000000">
            <w:pPr>
              <w:spacing w:after="0" w:line="240" w:lineRule="auto"/>
            </w:pPr>
            <w:r>
              <w:rPr>
                <w:sz w:val="16"/>
              </w:rPr>
              <w:t>Collect procedure acceptability, pain/anxiety, serious ocular AE, repeat-dose safety, and physician workflow data specific to suprachoroidal delivery.</w:t>
            </w:r>
          </w:p>
        </w:tc>
      </w:tr>
      <w:tr w:rsidR="00D80A0F" w14:paraId="35001259"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Pr>
          <w:p w14:paraId="3D1C16EB" w14:textId="77777777" w:rsidR="00D80A0F" w:rsidRDefault="00000000">
            <w:pPr>
              <w:spacing w:after="0" w:line="240" w:lineRule="auto"/>
            </w:pPr>
            <w:r>
              <w:rPr>
                <w:sz w:val="16"/>
              </w:rPr>
              <w:lastRenderedPageBreak/>
              <w:t>AXPAXLI / OTX-TKI (intravitreal axitinib implant)</w:t>
            </w:r>
            <w:r>
              <w:rPr>
                <w:sz w:val="16"/>
              </w:rPr>
              <w:br/>
              <w:t>Status: near-term direct TKI threat; Phase 3 data already positive</w:t>
            </w:r>
          </w:p>
        </w:tc>
        <w:tc>
          <w:tcPr>
            <w:tcW w:w="3240" w:type="dxa"/>
            <w:tcBorders>
              <w:top w:val="single" w:sz="4" w:space="0" w:color="BFBFBF"/>
              <w:left w:val="single" w:sz="4" w:space="0" w:color="BFBFBF"/>
              <w:bottom w:val="single" w:sz="4" w:space="0" w:color="BFBFBF"/>
              <w:right w:val="single" w:sz="4" w:space="0" w:color="BFBFBF"/>
            </w:tcBorders>
          </w:tcPr>
          <w:p w14:paraId="79A8016C" w14:textId="77777777" w:rsidR="00D80A0F" w:rsidRDefault="00000000">
            <w:pPr>
              <w:spacing w:after="0" w:line="240" w:lineRule="auto"/>
            </w:pPr>
            <w:r>
              <w:rPr>
                <w:sz w:val="16"/>
              </w:rPr>
              <w:t>SOL-1 Phase 3 results support an NDA-oriented path; public analyses suggest many patients could remain rescue-free through a six-month re-dosing window. AXPAXLI uses axitinib in an intravitreal hydrogel implant.</w:t>
            </w:r>
            <w:r>
              <w:t xml:space="preserve"> </w:t>
            </w:r>
            <w:hyperlink r:id="rId37">
              <w:r>
                <w:rPr>
                  <w:color w:val="0563C1"/>
                  <w:u w:val="single"/>
                </w:rPr>
                <w:t>[11]</w:t>
              </w:r>
            </w:hyperlink>
            <w:r>
              <w:t xml:space="preserve"> </w:t>
            </w:r>
            <w:hyperlink r:id="rId38">
              <w:r>
                <w:rPr>
                  <w:color w:val="0563C1"/>
                  <w:u w:val="single"/>
                </w:rPr>
                <w:t>[12]</w:t>
              </w:r>
            </w:hyperlink>
            <w:r>
              <w:t xml:space="preserve"> </w:t>
            </w:r>
            <w:hyperlink r:id="rId39">
              <w:r>
                <w:rPr>
                  <w:color w:val="0563C1"/>
                  <w:u w:val="single"/>
                </w:rPr>
                <w:t>[13]</w:t>
              </w:r>
            </w:hyperlink>
          </w:p>
        </w:tc>
        <w:tc>
          <w:tcPr>
            <w:tcW w:w="2304" w:type="dxa"/>
            <w:tcBorders>
              <w:top w:val="single" w:sz="4" w:space="0" w:color="BFBFBF"/>
              <w:left w:val="single" w:sz="4" w:space="0" w:color="BFBFBF"/>
              <w:bottom w:val="single" w:sz="4" w:space="0" w:color="BFBFBF"/>
              <w:right w:val="single" w:sz="4" w:space="0" w:color="BFBFBF"/>
            </w:tcBorders>
          </w:tcPr>
          <w:p w14:paraId="3D4B7416" w14:textId="77777777" w:rsidR="00D80A0F" w:rsidRDefault="00000000">
            <w:pPr>
              <w:spacing w:after="0" w:line="240" w:lineRule="auto"/>
            </w:pPr>
            <w:r>
              <w:rPr>
                <w:sz w:val="16"/>
              </w:rPr>
              <w:t>Most direct threat to CLS-AX's TKI durability narrative, especially because it uses the same active molecule class and same active drug.</w:t>
            </w:r>
          </w:p>
        </w:tc>
        <w:tc>
          <w:tcPr>
            <w:tcW w:w="2880" w:type="dxa"/>
            <w:tcBorders>
              <w:top w:val="single" w:sz="4" w:space="0" w:color="BFBFBF"/>
              <w:left w:val="single" w:sz="4" w:space="0" w:color="BFBFBF"/>
              <w:bottom w:val="single" w:sz="4" w:space="0" w:color="BFBFBF"/>
              <w:right w:val="single" w:sz="4" w:space="0" w:color="BFBFBF"/>
            </w:tcBorders>
          </w:tcPr>
          <w:p w14:paraId="12B14065" w14:textId="77777777" w:rsidR="00D80A0F" w:rsidRDefault="00000000">
            <w:pPr>
              <w:spacing w:after="0" w:line="240" w:lineRule="auto"/>
            </w:pPr>
            <w:r>
              <w:rPr>
                <w:sz w:val="16"/>
              </w:rPr>
              <w:t>Differentiate route and experience: suprachoroidal compartmentalization, less visual-axis exposure, flexible redosing, no visible intravitreal depot, rescue compatibility, and office workflow.</w:t>
            </w:r>
          </w:p>
        </w:tc>
      </w:tr>
      <w:tr w:rsidR="00D80A0F" w14:paraId="0E959A75"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Pr>
          <w:p w14:paraId="5ECCA7E3" w14:textId="77777777" w:rsidR="00D80A0F" w:rsidRDefault="00000000">
            <w:pPr>
              <w:spacing w:after="0" w:line="240" w:lineRule="auto"/>
            </w:pPr>
            <w:r>
              <w:rPr>
                <w:sz w:val="16"/>
              </w:rPr>
              <w:t>DURAVYU / EYP-1901 (vorolanib insert)</w:t>
            </w:r>
            <w:r>
              <w:rPr>
                <w:sz w:val="16"/>
              </w:rPr>
              <w:br/>
              <w:t>Status: near-term sustained-release TKI threat</w:t>
            </w:r>
          </w:p>
        </w:tc>
        <w:tc>
          <w:tcPr>
            <w:tcW w:w="3240" w:type="dxa"/>
            <w:tcBorders>
              <w:top w:val="single" w:sz="4" w:space="0" w:color="BFBFBF"/>
              <w:left w:val="single" w:sz="4" w:space="0" w:color="BFBFBF"/>
              <w:bottom w:val="single" w:sz="4" w:space="0" w:color="BFBFBF"/>
              <w:right w:val="single" w:sz="4" w:space="0" w:color="BFBFBF"/>
            </w:tcBorders>
          </w:tcPr>
          <w:p w14:paraId="6C519B36" w14:textId="77777777" w:rsidR="00D80A0F" w:rsidRDefault="00000000">
            <w:pPr>
              <w:spacing w:after="0" w:line="240" w:lineRule="auto"/>
            </w:pPr>
            <w:r>
              <w:rPr>
                <w:sz w:val="16"/>
              </w:rPr>
              <w:t>LUGANO/LUCIA Phase 3 wet AMD data are expected beginning mid-2026; Phase 2 DAVIO 2 reported large treatment-burden reductions with many patients supplement-free or needing one supplemental injection.</w:t>
            </w:r>
            <w:r>
              <w:t xml:space="preserve"> </w:t>
            </w:r>
            <w:hyperlink r:id="rId40">
              <w:r>
                <w:rPr>
                  <w:color w:val="0563C1"/>
                  <w:u w:val="single"/>
                </w:rPr>
                <w:t>[14]</w:t>
              </w:r>
            </w:hyperlink>
            <w:r>
              <w:t xml:space="preserve"> </w:t>
            </w:r>
            <w:hyperlink r:id="rId41">
              <w:r>
                <w:rPr>
                  <w:color w:val="0563C1"/>
                  <w:u w:val="single"/>
                </w:rPr>
                <w:t>[15]</w:t>
              </w:r>
            </w:hyperlink>
          </w:p>
        </w:tc>
        <w:tc>
          <w:tcPr>
            <w:tcW w:w="2304" w:type="dxa"/>
            <w:tcBorders>
              <w:top w:val="single" w:sz="4" w:space="0" w:color="BFBFBF"/>
              <w:left w:val="single" w:sz="4" w:space="0" w:color="BFBFBF"/>
              <w:bottom w:val="single" w:sz="4" w:space="0" w:color="BFBFBF"/>
              <w:right w:val="single" w:sz="4" w:space="0" w:color="BFBFBF"/>
            </w:tcBorders>
          </w:tcPr>
          <w:p w14:paraId="11BC481A" w14:textId="77777777" w:rsidR="00D80A0F" w:rsidRDefault="00000000">
            <w:pPr>
              <w:spacing w:after="0" w:line="240" w:lineRule="auto"/>
            </w:pPr>
            <w:r>
              <w:rPr>
                <w:sz w:val="16"/>
              </w:rPr>
              <w:t>Could own the 'six-month sustained TKI' narrative before CLS-AX pivotal readout.</w:t>
            </w:r>
          </w:p>
        </w:tc>
        <w:tc>
          <w:tcPr>
            <w:tcW w:w="2880" w:type="dxa"/>
            <w:tcBorders>
              <w:top w:val="single" w:sz="4" w:space="0" w:color="BFBFBF"/>
              <w:left w:val="single" w:sz="4" w:space="0" w:color="BFBFBF"/>
              <w:bottom w:val="single" w:sz="4" w:space="0" w:color="BFBFBF"/>
              <w:right w:val="single" w:sz="4" w:space="0" w:color="BFBFBF"/>
            </w:tcBorders>
          </w:tcPr>
          <w:p w14:paraId="7F26CD0E" w14:textId="77777777" w:rsidR="00D80A0F" w:rsidRDefault="00000000">
            <w:pPr>
              <w:spacing w:after="0" w:line="240" w:lineRule="auto"/>
            </w:pPr>
            <w:r>
              <w:rPr>
                <w:sz w:val="16"/>
              </w:rPr>
              <w:t>Pre-specify burden endpoints that compare total visits, supplemental injections, and confidence in disease control; prepare scenario analyses for DURAVYU readout outcomes.</w:t>
            </w:r>
          </w:p>
        </w:tc>
      </w:tr>
      <w:tr w:rsidR="00D80A0F" w14:paraId="41193851"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Pr>
          <w:p w14:paraId="1C534476" w14:textId="77777777" w:rsidR="00D80A0F" w:rsidRDefault="00000000">
            <w:pPr>
              <w:spacing w:after="0" w:line="240" w:lineRule="auto"/>
            </w:pPr>
            <w:r>
              <w:rPr>
                <w:sz w:val="16"/>
              </w:rPr>
              <w:t>4D-150 (intravitreal gene therapy)</w:t>
            </w:r>
            <w:r>
              <w:rPr>
                <w:sz w:val="16"/>
              </w:rPr>
              <w:br/>
              <w:t>Status: pivotal; data likely before or around CLS-AX market-development window</w:t>
            </w:r>
          </w:p>
        </w:tc>
        <w:tc>
          <w:tcPr>
            <w:tcW w:w="3240" w:type="dxa"/>
            <w:tcBorders>
              <w:top w:val="single" w:sz="4" w:space="0" w:color="BFBFBF"/>
              <w:left w:val="single" w:sz="4" w:space="0" w:color="BFBFBF"/>
              <w:bottom w:val="single" w:sz="4" w:space="0" w:color="BFBFBF"/>
              <w:right w:val="single" w:sz="4" w:space="0" w:color="BFBFBF"/>
            </w:tcBorders>
          </w:tcPr>
          <w:p w14:paraId="4176210F" w14:textId="77777777" w:rsidR="00D80A0F" w:rsidRDefault="00000000">
            <w:pPr>
              <w:spacing w:after="0" w:line="240" w:lineRule="auto"/>
            </w:pPr>
            <w:r>
              <w:rPr>
                <w:sz w:val="16"/>
              </w:rPr>
              <w:t>4FRONT-1 Phase 3 enrollment is complete; topline data are expected in H1 2027; 4D-150 is designed for multi-year anti-VEGF biologic expression after one intravitreal injection.</w:t>
            </w:r>
            <w:r>
              <w:t xml:space="preserve"> </w:t>
            </w:r>
            <w:hyperlink r:id="rId42">
              <w:r>
                <w:rPr>
                  <w:color w:val="0563C1"/>
                  <w:u w:val="single"/>
                </w:rPr>
                <w:t>[16]</w:t>
              </w:r>
            </w:hyperlink>
            <w:r>
              <w:t xml:space="preserve"> </w:t>
            </w:r>
            <w:hyperlink r:id="rId43">
              <w:r>
                <w:rPr>
                  <w:color w:val="0563C1"/>
                  <w:u w:val="single"/>
                </w:rPr>
                <w:t>[17]</w:t>
              </w:r>
            </w:hyperlink>
          </w:p>
        </w:tc>
        <w:tc>
          <w:tcPr>
            <w:tcW w:w="2304" w:type="dxa"/>
            <w:tcBorders>
              <w:top w:val="single" w:sz="4" w:space="0" w:color="BFBFBF"/>
              <w:left w:val="single" w:sz="4" w:space="0" w:color="BFBFBF"/>
              <w:bottom w:val="single" w:sz="4" w:space="0" w:color="BFBFBF"/>
              <w:right w:val="single" w:sz="4" w:space="0" w:color="BFBFBF"/>
            </w:tcBorders>
          </w:tcPr>
          <w:p w14:paraId="6BDF0D25" w14:textId="77777777" w:rsidR="00D80A0F" w:rsidRDefault="00000000">
            <w:pPr>
              <w:spacing w:after="0" w:line="240" w:lineRule="auto"/>
            </w:pPr>
            <w:r>
              <w:rPr>
                <w:sz w:val="16"/>
              </w:rPr>
              <w:t>May compress the value of repeated durable injections for patients who value maximal injection freedom.</w:t>
            </w:r>
          </w:p>
        </w:tc>
        <w:tc>
          <w:tcPr>
            <w:tcW w:w="2880" w:type="dxa"/>
            <w:tcBorders>
              <w:top w:val="single" w:sz="4" w:space="0" w:color="BFBFBF"/>
              <w:left w:val="single" w:sz="4" w:space="0" w:color="BFBFBF"/>
              <w:bottom w:val="single" w:sz="4" w:space="0" w:color="BFBFBF"/>
              <w:right w:val="single" w:sz="4" w:space="0" w:color="BFBFBF"/>
            </w:tcBorders>
          </w:tcPr>
          <w:p w14:paraId="67083655" w14:textId="77777777" w:rsidR="00D80A0F" w:rsidRDefault="00000000">
            <w:pPr>
              <w:spacing w:after="0" w:line="240" w:lineRule="auto"/>
            </w:pPr>
            <w:r>
              <w:rPr>
                <w:sz w:val="16"/>
              </w:rPr>
              <w:t>Build evidence for patients not ready for gene therapy: reversibility/titration, non-permanent exposure, simpler rescue logic, and payer-friendly staged treatment.</w:t>
            </w:r>
          </w:p>
        </w:tc>
      </w:tr>
      <w:tr w:rsidR="00D80A0F" w14:paraId="32EBD8C0"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Pr>
          <w:p w14:paraId="7F92424E" w14:textId="77777777" w:rsidR="00D80A0F" w:rsidRDefault="00000000">
            <w:pPr>
              <w:spacing w:after="0" w:line="240" w:lineRule="auto"/>
            </w:pPr>
            <w:r>
              <w:rPr>
                <w:sz w:val="16"/>
              </w:rPr>
              <w:t>Sura-vec / ABBV-RGX-314 and ixo-vec</w:t>
            </w:r>
            <w:r>
              <w:rPr>
                <w:sz w:val="16"/>
              </w:rPr>
              <w:br/>
              <w:t>Status: pivotal/late-stage gene therapy</w:t>
            </w:r>
          </w:p>
        </w:tc>
        <w:tc>
          <w:tcPr>
            <w:tcW w:w="3240" w:type="dxa"/>
            <w:tcBorders>
              <w:top w:val="single" w:sz="4" w:space="0" w:color="BFBFBF"/>
              <w:left w:val="single" w:sz="4" w:space="0" w:color="BFBFBF"/>
              <w:bottom w:val="single" w:sz="4" w:space="0" w:color="BFBFBF"/>
              <w:right w:val="single" w:sz="4" w:space="0" w:color="BFBFBF"/>
            </w:tcBorders>
          </w:tcPr>
          <w:p w14:paraId="2906A419" w14:textId="77777777" w:rsidR="00D80A0F" w:rsidRDefault="00000000">
            <w:pPr>
              <w:spacing w:after="0" w:line="240" w:lineRule="auto"/>
            </w:pPr>
            <w:r>
              <w:rPr>
                <w:sz w:val="16"/>
              </w:rPr>
              <w:t>REGENXBIO reported over 1,200 participants enrolled in subretinal pivotal wet AMD trials with Q4 2026 topline data expected; Adverum's ARTEMIS readout is expected in Q1 2027.</w:t>
            </w:r>
            <w:r>
              <w:t xml:space="preserve"> </w:t>
            </w:r>
            <w:hyperlink r:id="rId44">
              <w:r>
                <w:rPr>
                  <w:color w:val="0563C1"/>
                  <w:u w:val="single"/>
                </w:rPr>
                <w:t>[18]</w:t>
              </w:r>
            </w:hyperlink>
            <w:r>
              <w:t xml:space="preserve"> </w:t>
            </w:r>
            <w:hyperlink r:id="rId45">
              <w:r>
                <w:rPr>
                  <w:color w:val="0563C1"/>
                  <w:u w:val="single"/>
                </w:rPr>
                <w:t>[19]</w:t>
              </w:r>
            </w:hyperlink>
            <w:r>
              <w:t xml:space="preserve"> </w:t>
            </w:r>
            <w:hyperlink r:id="rId46">
              <w:r>
                <w:rPr>
                  <w:color w:val="0563C1"/>
                  <w:u w:val="single"/>
                </w:rPr>
                <w:t>[20]</w:t>
              </w:r>
            </w:hyperlink>
          </w:p>
        </w:tc>
        <w:tc>
          <w:tcPr>
            <w:tcW w:w="2304" w:type="dxa"/>
            <w:tcBorders>
              <w:top w:val="single" w:sz="4" w:space="0" w:color="BFBFBF"/>
              <w:left w:val="single" w:sz="4" w:space="0" w:color="BFBFBF"/>
              <w:bottom w:val="single" w:sz="4" w:space="0" w:color="BFBFBF"/>
              <w:right w:val="single" w:sz="4" w:space="0" w:color="BFBFBF"/>
            </w:tcBorders>
          </w:tcPr>
          <w:p w14:paraId="7ED20D00" w14:textId="77777777" w:rsidR="00D80A0F" w:rsidRDefault="00000000">
            <w:pPr>
              <w:spacing w:after="0" w:line="240" w:lineRule="auto"/>
            </w:pPr>
            <w:r>
              <w:rPr>
                <w:sz w:val="16"/>
              </w:rPr>
              <w:t>One-time treatment narratives will shape patient, physician, and payer perception even before approval.</w:t>
            </w:r>
          </w:p>
        </w:tc>
        <w:tc>
          <w:tcPr>
            <w:tcW w:w="2880" w:type="dxa"/>
            <w:tcBorders>
              <w:top w:val="single" w:sz="4" w:space="0" w:color="BFBFBF"/>
              <w:left w:val="single" w:sz="4" w:space="0" w:color="BFBFBF"/>
              <w:bottom w:val="single" w:sz="4" w:space="0" w:color="BFBFBF"/>
              <w:right w:val="single" w:sz="4" w:space="0" w:color="BFBFBF"/>
            </w:tcBorders>
          </w:tcPr>
          <w:p w14:paraId="5B49A27F" w14:textId="77777777" w:rsidR="00D80A0F" w:rsidRDefault="00000000">
            <w:pPr>
              <w:spacing w:after="0" w:line="240" w:lineRule="auto"/>
            </w:pPr>
            <w:r>
              <w:rPr>
                <w:sz w:val="16"/>
              </w:rPr>
              <w:t>Use preference and payer threshold research to identify where a repeatable, non-surgical TKI is favored over one-time gene therapy.</w:t>
            </w:r>
          </w:p>
        </w:tc>
      </w:tr>
      <w:tr w:rsidR="00D80A0F" w14:paraId="76F4EF85"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Pr>
          <w:p w14:paraId="1CE705D5" w14:textId="77777777" w:rsidR="00D80A0F" w:rsidRDefault="00000000">
            <w:pPr>
              <w:spacing w:after="0" w:line="240" w:lineRule="auto"/>
            </w:pPr>
            <w:r>
              <w:rPr>
                <w:sz w:val="16"/>
              </w:rPr>
              <w:t>CLS-AX itself</w:t>
            </w:r>
            <w:r>
              <w:rPr>
                <w:sz w:val="16"/>
              </w:rPr>
              <w:br/>
              <w:t>Status: Phase 3-ready; evidence gap remains</w:t>
            </w:r>
          </w:p>
        </w:tc>
        <w:tc>
          <w:tcPr>
            <w:tcW w:w="3240" w:type="dxa"/>
            <w:tcBorders>
              <w:top w:val="single" w:sz="4" w:space="0" w:color="BFBFBF"/>
              <w:left w:val="single" w:sz="4" w:space="0" w:color="BFBFBF"/>
              <w:bottom w:val="single" w:sz="4" w:space="0" w:color="BFBFBF"/>
              <w:right w:val="single" w:sz="4" w:space="0" w:color="BFBFBF"/>
            </w:tcBorders>
          </w:tcPr>
          <w:p w14:paraId="65D78C2D" w14:textId="77777777" w:rsidR="00D80A0F" w:rsidRDefault="00000000">
            <w:pPr>
              <w:spacing w:after="0" w:line="240" w:lineRule="auto"/>
            </w:pPr>
            <w:r>
              <w:rPr>
                <w:sz w:val="16"/>
              </w:rPr>
              <w:t>ODYSSEY showed stable BCVA to Week 36, nearly 84% injection-frequency reduction, no ocular or treatment-related serious AEs, and repeat TKI dosing data; FDA-aligned Phase 3 plans compare CLS-AX with aflibercept using Week 52 BCVA.</w:t>
            </w:r>
            <w:r>
              <w:t xml:space="preserve"> </w:t>
            </w:r>
            <w:hyperlink r:id="rId47">
              <w:r>
                <w:rPr>
                  <w:color w:val="0563C1"/>
                  <w:u w:val="single"/>
                </w:rPr>
                <w:t>[1]</w:t>
              </w:r>
            </w:hyperlink>
            <w:r>
              <w:t xml:space="preserve"> </w:t>
            </w:r>
            <w:hyperlink r:id="rId48">
              <w:r>
                <w:rPr>
                  <w:color w:val="0563C1"/>
                  <w:u w:val="single"/>
                </w:rPr>
                <w:t>[2]</w:t>
              </w:r>
            </w:hyperlink>
            <w:r>
              <w:t xml:space="preserve"> </w:t>
            </w:r>
            <w:hyperlink r:id="rId49">
              <w:r>
                <w:rPr>
                  <w:color w:val="0563C1"/>
                  <w:u w:val="single"/>
                </w:rPr>
                <w:t>[3]</w:t>
              </w:r>
            </w:hyperlink>
          </w:p>
        </w:tc>
        <w:tc>
          <w:tcPr>
            <w:tcW w:w="2304" w:type="dxa"/>
            <w:tcBorders>
              <w:top w:val="single" w:sz="4" w:space="0" w:color="BFBFBF"/>
              <w:left w:val="single" w:sz="4" w:space="0" w:color="BFBFBF"/>
              <w:bottom w:val="single" w:sz="4" w:space="0" w:color="BFBFBF"/>
              <w:right w:val="single" w:sz="4" w:space="0" w:color="BFBFBF"/>
            </w:tcBorders>
          </w:tcPr>
          <w:p w14:paraId="19298559" w14:textId="77777777" w:rsidR="00D80A0F" w:rsidRDefault="00000000">
            <w:pPr>
              <w:spacing w:after="0" w:line="240" w:lineRule="auto"/>
            </w:pPr>
            <w:r>
              <w:rPr>
                <w:sz w:val="16"/>
              </w:rPr>
              <w:t>Clinical durability signal is promising, but the commercial question is whether CLS-AX's type of durability is more usable than competitors' durability.</w:t>
            </w:r>
          </w:p>
        </w:tc>
        <w:tc>
          <w:tcPr>
            <w:tcW w:w="2880" w:type="dxa"/>
            <w:tcBorders>
              <w:top w:val="single" w:sz="4" w:space="0" w:color="BFBFBF"/>
              <w:left w:val="single" w:sz="4" w:space="0" w:color="BFBFBF"/>
              <w:bottom w:val="single" w:sz="4" w:space="0" w:color="BFBFBF"/>
              <w:right w:val="single" w:sz="4" w:space="0" w:color="BFBFBF"/>
            </w:tcBorders>
          </w:tcPr>
          <w:p w14:paraId="68ED697E" w14:textId="77777777" w:rsidR="00D80A0F" w:rsidRDefault="00000000">
            <w:pPr>
              <w:spacing w:after="0" w:line="240" w:lineRule="auto"/>
            </w:pPr>
            <w:r>
              <w:rPr>
                <w:sz w:val="16"/>
              </w:rPr>
              <w:t>Convert Phase 3 into a commercial evidence engine, not just a noninferiority trial.</w:t>
            </w:r>
          </w:p>
        </w:tc>
      </w:tr>
    </w:tbl>
    <w:p w14:paraId="2D95BEF9" w14:textId="77777777" w:rsidR="00D80A0F" w:rsidRDefault="00000000">
      <w:pPr>
        <w:pStyle w:val="Heading1"/>
        <w:spacing w:before="240" w:after="100"/>
      </w:pPr>
      <w:r>
        <w:t>3. Revised opportunity screen: where HEOR can still create differentiated value</w:t>
      </w:r>
    </w:p>
    <w:p w14:paraId="64CC2175" w14:textId="5CD98B47" w:rsidR="00D80A0F" w:rsidRDefault="00000000">
      <w:r>
        <w:t xml:space="preserve">A project should </w:t>
      </w:r>
      <w:r w:rsidR="007D215C" w:rsidRPr="007D215C">
        <w:t>be funded only if it passes at least one of the following tests. The screen is deliberately strict</w:t>
      </w:r>
      <w:r>
        <w:t xml:space="preserve"> because competitor evidence has reduced the value of generic durability and burden claims.</w:t>
      </w:r>
    </w:p>
    <w:p w14:paraId="062C7EE4" w14:textId="77777777" w:rsidR="00D80A0F" w:rsidRDefault="00000000">
      <w:pPr>
        <w:spacing w:before="80" w:after="60"/>
      </w:pPr>
      <w:r>
        <w:rPr>
          <w:b/>
          <w:color w:val="1F4E79"/>
        </w:rPr>
        <w:t>Table 3. Evidence-generation filter</w:t>
      </w:r>
    </w:p>
    <w:tbl>
      <w:tblPr>
        <w:tblStyle w:val="TableGrid"/>
        <w:tblW w:w="0" w:type="auto"/>
        <w:jc w:val="center"/>
        <w:tblLayout w:type="fixed"/>
        <w:tblLook w:val="04A0" w:firstRow="1" w:lastRow="0" w:firstColumn="1" w:lastColumn="0" w:noHBand="0" w:noVBand="1"/>
      </w:tblPr>
      <w:tblGrid>
        <w:gridCol w:w="2088"/>
        <w:gridCol w:w="3744"/>
        <w:gridCol w:w="4320"/>
      </w:tblGrid>
      <w:tr w:rsidR="00D80A0F" w14:paraId="426CBBE4" w14:textId="77777777">
        <w:trPr>
          <w:cantSplit/>
          <w:tblHeade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40CAE31" w14:textId="77777777" w:rsidR="00D80A0F" w:rsidRDefault="00000000">
            <w:pPr>
              <w:spacing w:after="0"/>
            </w:pPr>
            <w:r>
              <w:rPr>
                <w:b/>
                <w:color w:val="FFFFFF"/>
                <w:sz w:val="17"/>
              </w:rPr>
              <w:t>Screen</w:t>
            </w:r>
          </w:p>
        </w:tc>
        <w:tc>
          <w:tcPr>
            <w:tcW w:w="374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58384F0" w14:textId="77777777" w:rsidR="00D80A0F" w:rsidRDefault="00000000">
            <w:pPr>
              <w:spacing w:after="0"/>
            </w:pPr>
            <w:r>
              <w:rPr>
                <w:b/>
                <w:color w:val="FFFFFF"/>
                <w:sz w:val="17"/>
              </w:rPr>
              <w:t>Keep only if...</w:t>
            </w:r>
          </w:p>
        </w:tc>
        <w:tc>
          <w:tcPr>
            <w:tcW w:w="432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18FBDAF" w14:textId="77777777" w:rsidR="00D80A0F" w:rsidRDefault="00000000">
            <w:pPr>
              <w:spacing w:after="0"/>
            </w:pPr>
            <w:r>
              <w:rPr>
                <w:b/>
                <w:color w:val="FFFFFF"/>
                <w:sz w:val="17"/>
              </w:rPr>
              <w:t>Examples for CLS-AX</w:t>
            </w:r>
          </w:p>
        </w:tc>
      </w:tr>
      <w:tr w:rsidR="00D80A0F" w14:paraId="1EC2E3A8"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Pr>
          <w:p w14:paraId="6070E115" w14:textId="77777777" w:rsidR="00D80A0F" w:rsidRDefault="00000000">
            <w:pPr>
              <w:spacing w:after="0" w:line="240" w:lineRule="auto"/>
            </w:pPr>
            <w:r>
              <w:rPr>
                <w:sz w:val="16"/>
              </w:rPr>
              <w:t>1. Non-backfillable data</w:t>
            </w:r>
          </w:p>
        </w:tc>
        <w:tc>
          <w:tcPr>
            <w:tcW w:w="3744" w:type="dxa"/>
            <w:tcBorders>
              <w:top w:val="single" w:sz="4" w:space="0" w:color="BFBFBF"/>
              <w:left w:val="single" w:sz="4" w:space="0" w:color="BFBFBF"/>
              <w:bottom w:val="single" w:sz="4" w:space="0" w:color="BFBFBF"/>
              <w:right w:val="single" w:sz="4" w:space="0" w:color="BFBFBF"/>
            </w:tcBorders>
          </w:tcPr>
          <w:p w14:paraId="6577D8DD" w14:textId="77777777" w:rsidR="00D80A0F" w:rsidRDefault="00000000">
            <w:pPr>
              <w:spacing w:after="0" w:line="240" w:lineRule="auto"/>
            </w:pPr>
            <w:r>
              <w:rPr>
                <w:sz w:val="16"/>
              </w:rPr>
              <w:t>The evidence cannot be reconstructed reliably after the trial using claims or chart abstraction.</w:t>
            </w:r>
          </w:p>
        </w:tc>
        <w:tc>
          <w:tcPr>
            <w:tcW w:w="4320" w:type="dxa"/>
            <w:tcBorders>
              <w:top w:val="single" w:sz="4" w:space="0" w:color="BFBFBF"/>
              <w:left w:val="single" w:sz="4" w:space="0" w:color="BFBFBF"/>
              <w:bottom w:val="single" w:sz="4" w:space="0" w:color="BFBFBF"/>
              <w:right w:val="single" w:sz="4" w:space="0" w:color="BFBFBF"/>
            </w:tcBorders>
          </w:tcPr>
          <w:p w14:paraId="41C78840" w14:textId="77777777" w:rsidR="00D80A0F" w:rsidRDefault="00000000">
            <w:pPr>
              <w:spacing w:after="0" w:line="240" w:lineRule="auto"/>
            </w:pPr>
            <w:r>
              <w:rPr>
                <w:sz w:val="16"/>
              </w:rPr>
              <w:t>Patient/caregiver time, procedure anxiety, pain, site workflow minutes, OCT-confirmed disease activity, rescue rationale, bilateral scheduling, and imaging burden.</w:t>
            </w:r>
          </w:p>
        </w:tc>
      </w:tr>
      <w:tr w:rsidR="00D80A0F" w14:paraId="1FB66A95"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Pr>
          <w:p w14:paraId="35A466CB" w14:textId="77777777" w:rsidR="00D80A0F" w:rsidRDefault="00000000">
            <w:pPr>
              <w:spacing w:after="0" w:line="240" w:lineRule="auto"/>
            </w:pPr>
            <w:r>
              <w:rPr>
                <w:sz w:val="16"/>
              </w:rPr>
              <w:t>2. Competitor contrast</w:t>
            </w:r>
          </w:p>
        </w:tc>
        <w:tc>
          <w:tcPr>
            <w:tcW w:w="3744" w:type="dxa"/>
            <w:tcBorders>
              <w:top w:val="single" w:sz="4" w:space="0" w:color="BFBFBF"/>
              <w:left w:val="single" w:sz="4" w:space="0" w:color="BFBFBF"/>
              <w:bottom w:val="single" w:sz="4" w:space="0" w:color="BFBFBF"/>
              <w:right w:val="single" w:sz="4" w:space="0" w:color="BFBFBF"/>
            </w:tcBorders>
          </w:tcPr>
          <w:p w14:paraId="7F084D83" w14:textId="77777777" w:rsidR="00D80A0F" w:rsidRDefault="00000000">
            <w:pPr>
              <w:spacing w:after="0" w:line="240" w:lineRule="auto"/>
            </w:pPr>
            <w:r>
              <w:rPr>
                <w:sz w:val="16"/>
              </w:rPr>
              <w:t>The evidence can credibly distinguish CLS-AX from EYLEA HD, Vabysmo, AXPAXLI, DURAVYU, Susvimo, or gene therapies.</w:t>
            </w:r>
          </w:p>
        </w:tc>
        <w:tc>
          <w:tcPr>
            <w:tcW w:w="4320" w:type="dxa"/>
            <w:tcBorders>
              <w:top w:val="single" w:sz="4" w:space="0" w:color="BFBFBF"/>
              <w:left w:val="single" w:sz="4" w:space="0" w:color="BFBFBF"/>
              <w:bottom w:val="single" w:sz="4" w:space="0" w:color="BFBFBF"/>
              <w:right w:val="single" w:sz="4" w:space="0" w:color="BFBFBF"/>
            </w:tcBorders>
          </w:tcPr>
          <w:p w14:paraId="7C929DA3" w14:textId="77777777" w:rsidR="00D80A0F" w:rsidRDefault="00000000">
            <w:pPr>
              <w:spacing w:after="0" w:line="240" w:lineRule="auto"/>
            </w:pPr>
            <w:r>
              <w:rPr>
                <w:sz w:val="16"/>
              </w:rPr>
              <w:t>Suprachoroidal-specific acceptability; no visible intravitreal depot; repeatable non-surgical dosing; reversible/titratable strategy versus gene therapy.</w:t>
            </w:r>
          </w:p>
        </w:tc>
      </w:tr>
      <w:tr w:rsidR="00D80A0F" w14:paraId="64D76CF4"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Pr>
          <w:p w14:paraId="34238D0D" w14:textId="77777777" w:rsidR="00D80A0F" w:rsidRDefault="00000000">
            <w:pPr>
              <w:spacing w:after="0" w:line="240" w:lineRule="auto"/>
            </w:pPr>
            <w:r>
              <w:rPr>
                <w:sz w:val="16"/>
              </w:rPr>
              <w:t>3. Decision-maker utility</w:t>
            </w:r>
          </w:p>
        </w:tc>
        <w:tc>
          <w:tcPr>
            <w:tcW w:w="3744" w:type="dxa"/>
            <w:tcBorders>
              <w:top w:val="single" w:sz="4" w:space="0" w:color="BFBFBF"/>
              <w:left w:val="single" w:sz="4" w:space="0" w:color="BFBFBF"/>
              <w:bottom w:val="single" w:sz="4" w:space="0" w:color="BFBFBF"/>
              <w:right w:val="single" w:sz="4" w:space="0" w:color="BFBFBF"/>
            </w:tcBorders>
          </w:tcPr>
          <w:p w14:paraId="52E70B08" w14:textId="77777777" w:rsidR="00D80A0F" w:rsidRDefault="00000000">
            <w:pPr>
              <w:spacing w:after="0" w:line="240" w:lineRule="auto"/>
            </w:pPr>
            <w:r>
              <w:rPr>
                <w:sz w:val="16"/>
              </w:rPr>
              <w:t>The evidence changes a payer, physician, patient, practice, acquirer, or partner decision.</w:t>
            </w:r>
          </w:p>
        </w:tc>
        <w:tc>
          <w:tcPr>
            <w:tcW w:w="4320" w:type="dxa"/>
            <w:tcBorders>
              <w:top w:val="single" w:sz="4" w:space="0" w:color="BFBFBF"/>
              <w:left w:val="single" w:sz="4" w:space="0" w:color="BFBFBF"/>
              <w:bottom w:val="single" w:sz="4" w:space="0" w:color="BFBFBF"/>
              <w:right w:val="single" w:sz="4" w:space="0" w:color="BFBFBF"/>
            </w:tcBorders>
          </w:tcPr>
          <w:p w14:paraId="049F0D8C" w14:textId="77777777" w:rsidR="00D80A0F" w:rsidRDefault="00000000">
            <w:pPr>
              <w:spacing w:after="0" w:line="240" w:lineRule="auto"/>
            </w:pPr>
            <w:r>
              <w:rPr>
                <w:sz w:val="16"/>
              </w:rPr>
              <w:t>Budget impact under realistic monitoring schedules; patient-selection criteria; site capacity impact; rescue algorithms; AMCP-ready evidence package.</w:t>
            </w:r>
          </w:p>
        </w:tc>
      </w:tr>
      <w:tr w:rsidR="00D80A0F" w14:paraId="35A25E96"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Pr>
          <w:p w14:paraId="377BB637" w14:textId="77777777" w:rsidR="00D80A0F" w:rsidRDefault="00000000">
            <w:pPr>
              <w:spacing w:after="0" w:line="240" w:lineRule="auto"/>
            </w:pPr>
            <w:r>
              <w:rPr>
                <w:sz w:val="16"/>
              </w:rPr>
              <w:t>4. Timing advantage</w:t>
            </w:r>
          </w:p>
        </w:tc>
        <w:tc>
          <w:tcPr>
            <w:tcW w:w="3744" w:type="dxa"/>
            <w:tcBorders>
              <w:top w:val="single" w:sz="4" w:space="0" w:color="BFBFBF"/>
              <w:left w:val="single" w:sz="4" w:space="0" w:color="BFBFBF"/>
              <w:bottom w:val="single" w:sz="4" w:space="0" w:color="BFBFBF"/>
              <w:right w:val="single" w:sz="4" w:space="0" w:color="BFBFBF"/>
            </w:tcBorders>
          </w:tcPr>
          <w:p w14:paraId="200A3333" w14:textId="77777777" w:rsidR="00D80A0F" w:rsidRDefault="00000000">
            <w:pPr>
              <w:spacing w:after="0" w:line="240" w:lineRule="auto"/>
            </w:pPr>
            <w:r>
              <w:rPr>
                <w:sz w:val="16"/>
              </w:rPr>
              <w:t>The evidence can be embedded before Phase 3 lock or generated before competitor data make the claim stale.</w:t>
            </w:r>
          </w:p>
        </w:tc>
        <w:tc>
          <w:tcPr>
            <w:tcW w:w="4320" w:type="dxa"/>
            <w:tcBorders>
              <w:top w:val="single" w:sz="4" w:space="0" w:color="BFBFBF"/>
              <w:left w:val="single" w:sz="4" w:space="0" w:color="BFBFBF"/>
              <w:bottom w:val="single" w:sz="4" w:space="0" w:color="BFBFBF"/>
              <w:right w:val="single" w:sz="4" w:space="0" w:color="BFBFBF"/>
            </w:tcBorders>
          </w:tcPr>
          <w:p w14:paraId="425AEF7D" w14:textId="77777777" w:rsidR="00D80A0F" w:rsidRDefault="00000000">
            <w:pPr>
              <w:spacing w:after="0" w:line="240" w:lineRule="auto"/>
            </w:pPr>
            <w:r>
              <w:rPr>
                <w:sz w:val="16"/>
              </w:rPr>
              <w:t>Protocol/SAP additions, site workflow substudy, living evidence synthesis tied to 2026-2027 competitor readouts.</w:t>
            </w:r>
          </w:p>
        </w:tc>
      </w:tr>
      <w:tr w:rsidR="00D80A0F" w14:paraId="12D0A45A"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Pr>
          <w:p w14:paraId="3113619B" w14:textId="77777777" w:rsidR="00D80A0F" w:rsidRDefault="00000000">
            <w:pPr>
              <w:spacing w:after="0" w:line="240" w:lineRule="auto"/>
            </w:pPr>
            <w:r>
              <w:rPr>
                <w:sz w:val="16"/>
              </w:rPr>
              <w:t>5. Evidence credibility</w:t>
            </w:r>
          </w:p>
        </w:tc>
        <w:tc>
          <w:tcPr>
            <w:tcW w:w="3744" w:type="dxa"/>
            <w:tcBorders>
              <w:top w:val="single" w:sz="4" w:space="0" w:color="BFBFBF"/>
              <w:left w:val="single" w:sz="4" w:space="0" w:color="BFBFBF"/>
              <w:bottom w:val="single" w:sz="4" w:space="0" w:color="BFBFBF"/>
              <w:right w:val="single" w:sz="4" w:space="0" w:color="BFBFBF"/>
            </w:tcBorders>
          </w:tcPr>
          <w:p w14:paraId="4F944B3A" w14:textId="77777777" w:rsidR="00D80A0F" w:rsidRDefault="00000000">
            <w:pPr>
              <w:spacing w:after="0" w:line="240" w:lineRule="auto"/>
            </w:pPr>
            <w:r>
              <w:rPr>
                <w:sz w:val="16"/>
              </w:rPr>
              <w:t>The method is strong enough for peer review, payer scrutiny, or clinical guideline discussion.</w:t>
            </w:r>
          </w:p>
        </w:tc>
        <w:tc>
          <w:tcPr>
            <w:tcW w:w="4320" w:type="dxa"/>
            <w:tcBorders>
              <w:top w:val="single" w:sz="4" w:space="0" w:color="BFBFBF"/>
              <w:left w:val="single" w:sz="4" w:space="0" w:color="BFBFBF"/>
              <w:bottom w:val="single" w:sz="4" w:space="0" w:color="BFBFBF"/>
              <w:right w:val="single" w:sz="4" w:space="0" w:color="BFBFBF"/>
            </w:tcBorders>
          </w:tcPr>
          <w:p w14:paraId="0716DAB2" w14:textId="77777777" w:rsidR="00D80A0F" w:rsidRDefault="00000000">
            <w:pPr>
              <w:spacing w:after="0" w:line="240" w:lineRule="auto"/>
            </w:pPr>
            <w:r>
              <w:rPr>
                <w:sz w:val="16"/>
              </w:rPr>
              <w:t>Prospective data capture, pre-specified endpoints, central OCT reading, validated or cognitively tested PRO modules, transparent model structure.</w:t>
            </w:r>
          </w:p>
        </w:tc>
      </w:tr>
    </w:tbl>
    <w:p w14:paraId="2DA94941" w14:textId="77777777" w:rsidR="00C0283A" w:rsidRPr="00C0283A" w:rsidRDefault="00C0283A" w:rsidP="00C0283A">
      <w:pPr>
        <w:rPr>
          <w:sz w:val="24"/>
        </w:rPr>
      </w:pPr>
    </w:p>
    <w:tbl>
      <w:tblPr>
        <w:tblW w:w="0" w:type="auto"/>
        <w:jc w:val="center"/>
        <w:tblLook w:val="04A0" w:firstRow="1" w:lastRow="0" w:firstColumn="1" w:lastColumn="0" w:noHBand="0" w:noVBand="1"/>
      </w:tblPr>
      <w:tblGrid>
        <w:gridCol w:w="10454"/>
      </w:tblGrid>
      <w:tr w:rsidR="00D80A0F" w14:paraId="6B885793" w14:textId="77777777">
        <w:trPr>
          <w:jc w:val="center"/>
        </w:trPr>
        <w:tc>
          <w:tcPr>
            <w:tcW w:w="10454" w:type="dxa"/>
            <w:tcBorders>
              <w:top w:val="single" w:sz="8" w:space="0" w:color="D6B656"/>
              <w:left w:val="single" w:sz="8" w:space="0" w:color="D6B656"/>
              <w:bottom w:val="single" w:sz="8" w:space="0" w:color="D6B656"/>
              <w:right w:val="single" w:sz="8" w:space="0" w:color="D6B656"/>
            </w:tcBorders>
            <w:shd w:val="clear" w:color="auto" w:fill="FFF2CC"/>
          </w:tcPr>
          <w:p w14:paraId="693DC152" w14:textId="77777777" w:rsidR="00D80A0F" w:rsidRDefault="00000000">
            <w:pPr>
              <w:spacing w:after="80"/>
            </w:pPr>
            <w:r>
              <w:rPr>
                <w:b/>
                <w:color w:val="1F4E79"/>
                <w:sz w:val="20"/>
              </w:rPr>
              <w:t>What this means for the current stage</w:t>
            </w:r>
          </w:p>
          <w:p w14:paraId="012E6293" w14:textId="77777777" w:rsidR="00D80A0F" w:rsidRDefault="00000000">
            <w:pPr>
              <w:spacing w:after="0" w:line="252" w:lineRule="auto"/>
            </w:pPr>
            <w:r>
              <w:t>If Phase 3 protocols are not fully locked, the single highest-value action is a protocol/SAP endpoint addendum. If pivotal operations are already constrained by ownership or restructuring, the next best action is a low-burden prospective substudy and registry-ready minimum data set that can travel with the asset.</w:t>
            </w:r>
          </w:p>
        </w:tc>
      </w:tr>
    </w:tbl>
    <w:p w14:paraId="689488C1" w14:textId="77777777" w:rsidR="00D80A0F" w:rsidRDefault="00D80A0F">
      <w:pPr>
        <w:spacing w:after="40"/>
      </w:pPr>
    </w:p>
    <w:p w14:paraId="254F3E24" w14:textId="77777777" w:rsidR="00D80A0F" w:rsidRDefault="00000000">
      <w:pPr>
        <w:pStyle w:val="Heading1"/>
        <w:spacing w:before="240" w:after="100"/>
      </w:pPr>
      <w:r>
        <w:lastRenderedPageBreak/>
        <w:t>4. Highest-value evidence-generation projects</w:t>
      </w:r>
    </w:p>
    <w:p w14:paraId="6C0F9F60" w14:textId="77777777" w:rsidR="00D80A0F" w:rsidRDefault="00000000">
      <w:r>
        <w:t>The following projects are prioritized by expected value-add after accounting for competitor evidence. Scores reflect strategic impact, differentiation, feasibility, and timing. They are not estimates of statistical power or budget.</w:t>
      </w:r>
    </w:p>
    <w:p w14:paraId="2E621DD6" w14:textId="77777777" w:rsidR="00D80A0F" w:rsidRDefault="00000000">
      <w:pPr>
        <w:spacing w:before="80" w:after="60"/>
      </w:pPr>
      <w:r>
        <w:rPr>
          <w:b/>
          <w:color w:val="1F4E79"/>
        </w:rPr>
        <w:t>Table 4. Revised priority scorecard</w:t>
      </w:r>
    </w:p>
    <w:tbl>
      <w:tblPr>
        <w:tblStyle w:val="TableGrid"/>
        <w:tblW w:w="11591" w:type="dxa"/>
        <w:jc w:val="center"/>
        <w:tblLayout w:type="fixed"/>
        <w:tblLook w:val="04A0" w:firstRow="1" w:lastRow="0" w:firstColumn="1" w:lastColumn="0" w:noHBand="0" w:noVBand="1"/>
      </w:tblPr>
      <w:tblGrid>
        <w:gridCol w:w="659"/>
        <w:gridCol w:w="2292"/>
        <w:gridCol w:w="1080"/>
        <w:gridCol w:w="3816"/>
        <w:gridCol w:w="1584"/>
        <w:gridCol w:w="2160"/>
      </w:tblGrid>
      <w:tr w:rsidR="00D80A0F" w14:paraId="6A15EBA8" w14:textId="77777777" w:rsidTr="007D215C">
        <w:trPr>
          <w:cantSplit/>
          <w:tblHeader/>
          <w:jc w:val="center"/>
        </w:trPr>
        <w:tc>
          <w:tcPr>
            <w:tcW w:w="65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51F6D3E" w14:textId="77777777" w:rsidR="00D80A0F" w:rsidRDefault="00000000">
            <w:pPr>
              <w:spacing w:after="0"/>
            </w:pPr>
            <w:r>
              <w:rPr>
                <w:b/>
                <w:color w:val="FFFFFF"/>
                <w:sz w:val="17"/>
              </w:rPr>
              <w:t>Rank</w:t>
            </w:r>
          </w:p>
        </w:tc>
        <w:tc>
          <w:tcPr>
            <w:tcW w:w="229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1AE967A" w14:textId="77777777" w:rsidR="00D80A0F" w:rsidRDefault="00000000">
            <w:pPr>
              <w:spacing w:after="0"/>
            </w:pPr>
            <w:r>
              <w:rPr>
                <w:b/>
                <w:color w:val="FFFFFF"/>
                <w:sz w:val="17"/>
              </w:rPr>
              <w:t>Project</w:t>
            </w:r>
          </w:p>
        </w:tc>
        <w:tc>
          <w:tcPr>
            <w:tcW w:w="108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1CF8D94" w14:textId="77777777" w:rsidR="00D80A0F" w:rsidRDefault="00000000">
            <w:pPr>
              <w:spacing w:after="0"/>
            </w:pPr>
            <w:r>
              <w:rPr>
                <w:b/>
                <w:color w:val="FFFFFF"/>
                <w:sz w:val="17"/>
              </w:rPr>
              <w:t>Value-add</w:t>
            </w:r>
          </w:p>
        </w:tc>
        <w:tc>
          <w:tcPr>
            <w:tcW w:w="381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27736A3" w14:textId="77777777" w:rsidR="00D80A0F" w:rsidRDefault="00000000">
            <w:pPr>
              <w:spacing w:after="0"/>
            </w:pPr>
            <w:r>
              <w:rPr>
                <w:b/>
                <w:color w:val="FFFFFF"/>
                <w:sz w:val="17"/>
              </w:rPr>
              <w:t>Why this remains worth doing</w:t>
            </w:r>
          </w:p>
        </w:tc>
        <w:tc>
          <w:tcPr>
            <w:tcW w:w="15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277FD2E" w14:textId="77777777" w:rsidR="00D80A0F" w:rsidRDefault="00000000">
            <w:pPr>
              <w:spacing w:after="0"/>
            </w:pPr>
            <w:r>
              <w:rPr>
                <w:b/>
                <w:color w:val="FFFFFF"/>
                <w:sz w:val="17"/>
              </w:rPr>
              <w:t>Timing</w:t>
            </w:r>
          </w:p>
        </w:tc>
        <w:tc>
          <w:tcPr>
            <w:tcW w:w="216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038B21E" w14:textId="77777777" w:rsidR="00D80A0F" w:rsidRDefault="00000000">
            <w:pPr>
              <w:spacing w:after="0"/>
            </w:pPr>
            <w:r>
              <w:rPr>
                <w:b/>
                <w:color w:val="FFFFFF"/>
                <w:sz w:val="17"/>
              </w:rPr>
              <w:t>Primary stakeholders</w:t>
            </w:r>
          </w:p>
        </w:tc>
      </w:tr>
      <w:tr w:rsidR="00D80A0F" w14:paraId="2D3AADAC" w14:textId="77777777" w:rsidTr="007D215C">
        <w:trPr>
          <w:cantSplit/>
          <w:jc w:val="center"/>
        </w:trPr>
        <w:tc>
          <w:tcPr>
            <w:tcW w:w="659" w:type="dxa"/>
            <w:tcBorders>
              <w:top w:val="single" w:sz="4" w:space="0" w:color="BFBFBF"/>
              <w:left w:val="single" w:sz="4" w:space="0" w:color="BFBFBF"/>
              <w:bottom w:val="single" w:sz="4" w:space="0" w:color="BFBFBF"/>
              <w:right w:val="single" w:sz="4" w:space="0" w:color="BFBFBF"/>
            </w:tcBorders>
          </w:tcPr>
          <w:p w14:paraId="65FE862A" w14:textId="77777777" w:rsidR="00D80A0F" w:rsidRDefault="00000000">
            <w:pPr>
              <w:spacing w:after="0" w:line="240" w:lineRule="auto"/>
            </w:pPr>
            <w:r>
              <w:rPr>
                <w:sz w:val="16"/>
              </w:rPr>
              <w:t>1</w:t>
            </w:r>
          </w:p>
        </w:tc>
        <w:tc>
          <w:tcPr>
            <w:tcW w:w="2292" w:type="dxa"/>
            <w:tcBorders>
              <w:top w:val="single" w:sz="4" w:space="0" w:color="BFBFBF"/>
              <w:left w:val="single" w:sz="4" w:space="0" w:color="BFBFBF"/>
              <w:bottom w:val="single" w:sz="4" w:space="0" w:color="BFBFBF"/>
              <w:right w:val="single" w:sz="4" w:space="0" w:color="BFBFBF"/>
            </w:tcBorders>
          </w:tcPr>
          <w:p w14:paraId="706DD5F1" w14:textId="77777777" w:rsidR="00D80A0F" w:rsidRDefault="00000000">
            <w:pPr>
              <w:spacing w:after="0" w:line="240" w:lineRule="auto"/>
            </w:pPr>
            <w:r>
              <w:rPr>
                <w:b/>
                <w:sz w:val="16"/>
              </w:rPr>
              <w:t>Phase 3 competitor-calibrated endpoint/SAP package</w:t>
            </w:r>
          </w:p>
        </w:tc>
        <w:tc>
          <w:tcPr>
            <w:tcW w:w="1080" w:type="dxa"/>
            <w:tcBorders>
              <w:top w:val="single" w:sz="4" w:space="0" w:color="BFBFBF"/>
              <w:left w:val="single" w:sz="4" w:space="0" w:color="BFBFBF"/>
              <w:bottom w:val="single" w:sz="4" w:space="0" w:color="BFBFBF"/>
              <w:right w:val="single" w:sz="4" w:space="0" w:color="BFBFBF"/>
            </w:tcBorders>
          </w:tcPr>
          <w:p w14:paraId="40B572D7" w14:textId="77777777" w:rsidR="00D80A0F" w:rsidRDefault="00000000">
            <w:pPr>
              <w:spacing w:after="0" w:line="240" w:lineRule="auto"/>
            </w:pPr>
            <w:r>
              <w:rPr>
                <w:sz w:val="16"/>
              </w:rPr>
              <w:t>Very high</w:t>
            </w:r>
          </w:p>
        </w:tc>
        <w:tc>
          <w:tcPr>
            <w:tcW w:w="3816" w:type="dxa"/>
            <w:tcBorders>
              <w:top w:val="single" w:sz="4" w:space="0" w:color="BFBFBF"/>
              <w:left w:val="single" w:sz="4" w:space="0" w:color="BFBFBF"/>
              <w:bottom w:val="single" w:sz="4" w:space="0" w:color="BFBFBF"/>
              <w:right w:val="single" w:sz="4" w:space="0" w:color="BFBFBF"/>
            </w:tcBorders>
          </w:tcPr>
          <w:p w14:paraId="0C03785A" w14:textId="77777777" w:rsidR="00D80A0F" w:rsidRDefault="00000000">
            <w:pPr>
              <w:spacing w:after="0" w:line="240" w:lineRule="auto"/>
            </w:pPr>
            <w:r>
              <w:rPr>
                <w:sz w:val="16"/>
              </w:rPr>
              <w:t>Approved and near-term competitors already measure BCVA and injections; CLS-AX needs endpoints that prove usable durability and burden reduction, not just noninferiority.</w:t>
            </w:r>
            <w:r>
              <w:t xml:space="preserve"> </w:t>
            </w:r>
            <w:hyperlink r:id="rId50">
              <w:r>
                <w:rPr>
                  <w:color w:val="0563C1"/>
                  <w:u w:val="single"/>
                </w:rPr>
                <w:t>[5]</w:t>
              </w:r>
            </w:hyperlink>
            <w:r>
              <w:t xml:space="preserve"> </w:t>
            </w:r>
            <w:hyperlink r:id="rId51">
              <w:r>
                <w:rPr>
                  <w:color w:val="0563C1"/>
                  <w:u w:val="single"/>
                </w:rPr>
                <w:t>[6]</w:t>
              </w:r>
            </w:hyperlink>
            <w:r>
              <w:t xml:space="preserve"> </w:t>
            </w:r>
            <w:hyperlink r:id="rId52">
              <w:r>
                <w:rPr>
                  <w:color w:val="0563C1"/>
                  <w:u w:val="single"/>
                </w:rPr>
                <w:t>[11]</w:t>
              </w:r>
            </w:hyperlink>
            <w:r>
              <w:t xml:space="preserve"> </w:t>
            </w:r>
            <w:hyperlink r:id="rId53">
              <w:r>
                <w:rPr>
                  <w:color w:val="0563C1"/>
                  <w:u w:val="single"/>
                </w:rPr>
                <w:t>[14]</w:t>
              </w:r>
            </w:hyperlink>
          </w:p>
        </w:tc>
        <w:tc>
          <w:tcPr>
            <w:tcW w:w="1584" w:type="dxa"/>
            <w:tcBorders>
              <w:top w:val="single" w:sz="4" w:space="0" w:color="BFBFBF"/>
              <w:left w:val="single" w:sz="4" w:space="0" w:color="BFBFBF"/>
              <w:bottom w:val="single" w:sz="4" w:space="0" w:color="BFBFBF"/>
              <w:right w:val="single" w:sz="4" w:space="0" w:color="BFBFBF"/>
            </w:tcBorders>
          </w:tcPr>
          <w:p w14:paraId="7C2CCACA" w14:textId="77777777" w:rsidR="00D80A0F" w:rsidRDefault="00000000">
            <w:pPr>
              <w:spacing w:after="0" w:line="240" w:lineRule="auto"/>
            </w:pPr>
            <w:r>
              <w:rPr>
                <w:sz w:val="16"/>
              </w:rPr>
              <w:t>Before protocol/SAP lock</w:t>
            </w:r>
          </w:p>
        </w:tc>
        <w:tc>
          <w:tcPr>
            <w:tcW w:w="2160" w:type="dxa"/>
            <w:tcBorders>
              <w:top w:val="single" w:sz="4" w:space="0" w:color="BFBFBF"/>
              <w:left w:val="single" w:sz="4" w:space="0" w:color="BFBFBF"/>
              <w:bottom w:val="single" w:sz="4" w:space="0" w:color="BFBFBF"/>
              <w:right w:val="single" w:sz="4" w:space="0" w:color="BFBFBF"/>
            </w:tcBorders>
          </w:tcPr>
          <w:p w14:paraId="5D6CAD21" w14:textId="77777777" w:rsidR="00D80A0F" w:rsidRDefault="00000000">
            <w:pPr>
              <w:spacing w:after="0" w:line="240" w:lineRule="auto"/>
            </w:pPr>
            <w:r>
              <w:rPr>
                <w:sz w:val="16"/>
              </w:rPr>
              <w:t>Payers, physicians, patients, practices, partners</w:t>
            </w:r>
          </w:p>
        </w:tc>
      </w:tr>
      <w:tr w:rsidR="00D80A0F" w14:paraId="1FD6D3BA" w14:textId="77777777" w:rsidTr="007D215C">
        <w:trPr>
          <w:cantSplit/>
          <w:jc w:val="center"/>
        </w:trPr>
        <w:tc>
          <w:tcPr>
            <w:tcW w:w="659" w:type="dxa"/>
            <w:tcBorders>
              <w:top w:val="single" w:sz="4" w:space="0" w:color="BFBFBF"/>
              <w:left w:val="single" w:sz="4" w:space="0" w:color="BFBFBF"/>
              <w:bottom w:val="single" w:sz="4" w:space="0" w:color="BFBFBF"/>
              <w:right w:val="single" w:sz="4" w:space="0" w:color="BFBFBF"/>
            </w:tcBorders>
          </w:tcPr>
          <w:p w14:paraId="3F255B6D" w14:textId="77777777" w:rsidR="00D80A0F" w:rsidRDefault="00000000">
            <w:pPr>
              <w:spacing w:after="0" w:line="240" w:lineRule="auto"/>
            </w:pPr>
            <w:r>
              <w:rPr>
                <w:sz w:val="16"/>
              </w:rPr>
              <w:t>2</w:t>
            </w:r>
          </w:p>
        </w:tc>
        <w:tc>
          <w:tcPr>
            <w:tcW w:w="2292" w:type="dxa"/>
            <w:tcBorders>
              <w:top w:val="single" w:sz="4" w:space="0" w:color="BFBFBF"/>
              <w:left w:val="single" w:sz="4" w:space="0" w:color="BFBFBF"/>
              <w:bottom w:val="single" w:sz="4" w:space="0" w:color="BFBFBF"/>
              <w:right w:val="single" w:sz="4" w:space="0" w:color="BFBFBF"/>
            </w:tcBorders>
          </w:tcPr>
          <w:p w14:paraId="17314A6E" w14:textId="77777777" w:rsidR="00D80A0F" w:rsidRDefault="00000000">
            <w:pPr>
              <w:spacing w:after="0" w:line="240" w:lineRule="auto"/>
            </w:pPr>
            <w:r>
              <w:rPr>
                <w:b/>
                <w:sz w:val="16"/>
              </w:rPr>
              <w:t>Trial-embedded HCRU, patient/caregiver, and practice-capacity substudy</w:t>
            </w:r>
          </w:p>
        </w:tc>
        <w:tc>
          <w:tcPr>
            <w:tcW w:w="1080" w:type="dxa"/>
            <w:tcBorders>
              <w:top w:val="single" w:sz="4" w:space="0" w:color="BFBFBF"/>
              <w:left w:val="single" w:sz="4" w:space="0" w:color="BFBFBF"/>
              <w:bottom w:val="single" w:sz="4" w:space="0" w:color="BFBFBF"/>
              <w:right w:val="single" w:sz="4" w:space="0" w:color="BFBFBF"/>
            </w:tcBorders>
          </w:tcPr>
          <w:p w14:paraId="59010BAA" w14:textId="77777777" w:rsidR="00D80A0F" w:rsidRDefault="00000000">
            <w:pPr>
              <w:spacing w:after="0" w:line="240" w:lineRule="auto"/>
            </w:pPr>
            <w:r>
              <w:rPr>
                <w:sz w:val="16"/>
              </w:rPr>
              <w:t>Very high</w:t>
            </w:r>
          </w:p>
        </w:tc>
        <w:tc>
          <w:tcPr>
            <w:tcW w:w="3816" w:type="dxa"/>
            <w:tcBorders>
              <w:top w:val="single" w:sz="4" w:space="0" w:color="BFBFBF"/>
              <w:left w:val="single" w:sz="4" w:space="0" w:color="BFBFBF"/>
              <w:bottom w:val="single" w:sz="4" w:space="0" w:color="BFBFBF"/>
              <w:right w:val="single" w:sz="4" w:space="0" w:color="BFBFBF"/>
            </w:tcBorders>
          </w:tcPr>
          <w:p w14:paraId="18297152" w14:textId="77777777" w:rsidR="00D80A0F" w:rsidRDefault="00000000">
            <w:pPr>
              <w:spacing w:after="0" w:line="240" w:lineRule="auto"/>
            </w:pPr>
            <w:r>
              <w:rPr>
                <w:sz w:val="16"/>
              </w:rPr>
              <w:t>Generic burden evidence exists, but product-specific visit burden, care-partner time, scheduling, and workflow data will not be recoverable from claims.</w:t>
            </w:r>
            <w:r>
              <w:t xml:space="preserve"> </w:t>
            </w:r>
            <w:hyperlink r:id="rId54">
              <w:r>
                <w:rPr>
                  <w:color w:val="0563C1"/>
                  <w:u w:val="single"/>
                </w:rPr>
                <w:t>[21]</w:t>
              </w:r>
            </w:hyperlink>
            <w:r>
              <w:t xml:space="preserve"> </w:t>
            </w:r>
            <w:hyperlink r:id="rId55">
              <w:r>
                <w:rPr>
                  <w:color w:val="0563C1"/>
                  <w:u w:val="single"/>
                </w:rPr>
                <w:t>[22]</w:t>
              </w:r>
            </w:hyperlink>
            <w:r>
              <w:t xml:space="preserve"> </w:t>
            </w:r>
            <w:hyperlink r:id="rId56">
              <w:r>
                <w:rPr>
                  <w:color w:val="0563C1"/>
                  <w:u w:val="single"/>
                </w:rPr>
                <w:t>[24]</w:t>
              </w:r>
            </w:hyperlink>
            <w:r>
              <w:t xml:space="preserve"> </w:t>
            </w:r>
            <w:hyperlink r:id="rId57">
              <w:r>
                <w:rPr>
                  <w:color w:val="0563C1"/>
                  <w:u w:val="single"/>
                </w:rPr>
                <w:t>[25]</w:t>
              </w:r>
            </w:hyperlink>
          </w:p>
        </w:tc>
        <w:tc>
          <w:tcPr>
            <w:tcW w:w="1584" w:type="dxa"/>
            <w:tcBorders>
              <w:top w:val="single" w:sz="4" w:space="0" w:color="BFBFBF"/>
              <w:left w:val="single" w:sz="4" w:space="0" w:color="BFBFBF"/>
              <w:bottom w:val="single" w:sz="4" w:space="0" w:color="BFBFBF"/>
              <w:right w:val="single" w:sz="4" w:space="0" w:color="BFBFBF"/>
            </w:tcBorders>
          </w:tcPr>
          <w:p w14:paraId="08ED143C" w14:textId="77777777" w:rsidR="00D80A0F" w:rsidRDefault="00000000">
            <w:pPr>
              <w:spacing w:after="0" w:line="240" w:lineRule="auto"/>
            </w:pPr>
            <w:r>
              <w:rPr>
                <w:sz w:val="16"/>
              </w:rPr>
              <w:t>Start with Phase 3 sites; continue to 52/104 weeks</w:t>
            </w:r>
          </w:p>
        </w:tc>
        <w:tc>
          <w:tcPr>
            <w:tcW w:w="2160" w:type="dxa"/>
            <w:tcBorders>
              <w:top w:val="single" w:sz="4" w:space="0" w:color="BFBFBF"/>
              <w:left w:val="single" w:sz="4" w:space="0" w:color="BFBFBF"/>
              <w:bottom w:val="single" w:sz="4" w:space="0" w:color="BFBFBF"/>
              <w:right w:val="single" w:sz="4" w:space="0" w:color="BFBFBF"/>
            </w:tcBorders>
          </w:tcPr>
          <w:p w14:paraId="0A2DF32E" w14:textId="77777777" w:rsidR="00D80A0F" w:rsidRDefault="00000000">
            <w:pPr>
              <w:spacing w:after="0" w:line="240" w:lineRule="auto"/>
            </w:pPr>
            <w:r>
              <w:rPr>
                <w:sz w:val="16"/>
              </w:rPr>
              <w:t>Payers, patients, practices, physicians</w:t>
            </w:r>
          </w:p>
        </w:tc>
      </w:tr>
      <w:tr w:rsidR="00D80A0F" w14:paraId="3111F31C" w14:textId="77777777" w:rsidTr="007D215C">
        <w:trPr>
          <w:cantSplit/>
          <w:jc w:val="center"/>
        </w:trPr>
        <w:tc>
          <w:tcPr>
            <w:tcW w:w="659" w:type="dxa"/>
            <w:tcBorders>
              <w:top w:val="single" w:sz="4" w:space="0" w:color="BFBFBF"/>
              <w:left w:val="single" w:sz="4" w:space="0" w:color="BFBFBF"/>
              <w:bottom w:val="single" w:sz="4" w:space="0" w:color="BFBFBF"/>
              <w:right w:val="single" w:sz="4" w:space="0" w:color="BFBFBF"/>
            </w:tcBorders>
          </w:tcPr>
          <w:p w14:paraId="0F8539E6" w14:textId="77777777" w:rsidR="00D80A0F" w:rsidRDefault="00000000">
            <w:pPr>
              <w:spacing w:after="0" w:line="240" w:lineRule="auto"/>
            </w:pPr>
            <w:r>
              <w:rPr>
                <w:sz w:val="16"/>
              </w:rPr>
              <w:t>3</w:t>
            </w:r>
          </w:p>
        </w:tc>
        <w:tc>
          <w:tcPr>
            <w:tcW w:w="2292" w:type="dxa"/>
            <w:tcBorders>
              <w:top w:val="single" w:sz="4" w:space="0" w:color="BFBFBF"/>
              <w:left w:val="single" w:sz="4" w:space="0" w:color="BFBFBF"/>
              <w:bottom w:val="single" w:sz="4" w:space="0" w:color="BFBFBF"/>
              <w:right w:val="single" w:sz="4" w:space="0" w:color="BFBFBF"/>
            </w:tcBorders>
          </w:tcPr>
          <w:p w14:paraId="050AF04B" w14:textId="77777777" w:rsidR="00D80A0F" w:rsidRDefault="00000000">
            <w:pPr>
              <w:spacing w:after="0" w:line="240" w:lineRule="auto"/>
            </w:pPr>
            <w:r>
              <w:rPr>
                <w:b/>
                <w:sz w:val="16"/>
              </w:rPr>
              <w:t>Living competitive evidence synthesis and scenario model</w:t>
            </w:r>
          </w:p>
        </w:tc>
        <w:tc>
          <w:tcPr>
            <w:tcW w:w="1080" w:type="dxa"/>
            <w:tcBorders>
              <w:top w:val="single" w:sz="4" w:space="0" w:color="BFBFBF"/>
              <w:left w:val="single" w:sz="4" w:space="0" w:color="BFBFBF"/>
              <w:bottom w:val="single" w:sz="4" w:space="0" w:color="BFBFBF"/>
              <w:right w:val="single" w:sz="4" w:space="0" w:color="BFBFBF"/>
            </w:tcBorders>
          </w:tcPr>
          <w:p w14:paraId="0FB12885" w14:textId="77777777" w:rsidR="00D80A0F" w:rsidRDefault="00000000">
            <w:pPr>
              <w:spacing w:after="0" w:line="240" w:lineRule="auto"/>
            </w:pPr>
            <w:r>
              <w:rPr>
                <w:sz w:val="16"/>
              </w:rPr>
              <w:t>High</w:t>
            </w:r>
          </w:p>
        </w:tc>
        <w:tc>
          <w:tcPr>
            <w:tcW w:w="3816" w:type="dxa"/>
            <w:tcBorders>
              <w:top w:val="single" w:sz="4" w:space="0" w:color="BFBFBF"/>
              <w:left w:val="single" w:sz="4" w:space="0" w:color="BFBFBF"/>
              <w:bottom w:val="single" w:sz="4" w:space="0" w:color="BFBFBF"/>
              <w:right w:val="single" w:sz="4" w:space="0" w:color="BFBFBF"/>
            </w:tcBorders>
          </w:tcPr>
          <w:p w14:paraId="1A6C1D6E" w14:textId="77777777" w:rsidR="00D80A0F" w:rsidRDefault="00000000">
            <w:pPr>
              <w:spacing w:after="0" w:line="240" w:lineRule="auto"/>
            </w:pPr>
            <w:r>
              <w:rPr>
                <w:sz w:val="16"/>
              </w:rPr>
              <w:t>AXPAXLI, DURAVYU, 4D-150, sura-vec, and ixo-vec data could alter the value story before CLS-AX pivotal completion.</w:t>
            </w:r>
            <w:r>
              <w:t xml:space="preserve"> </w:t>
            </w:r>
            <w:hyperlink r:id="rId58">
              <w:r>
                <w:rPr>
                  <w:color w:val="0563C1"/>
                  <w:u w:val="single"/>
                </w:rPr>
                <w:t>[11]</w:t>
              </w:r>
            </w:hyperlink>
            <w:r>
              <w:t xml:space="preserve"> </w:t>
            </w:r>
            <w:hyperlink r:id="rId59">
              <w:r>
                <w:rPr>
                  <w:color w:val="0563C1"/>
                  <w:u w:val="single"/>
                </w:rPr>
                <w:t>[12]</w:t>
              </w:r>
            </w:hyperlink>
            <w:r>
              <w:t xml:space="preserve"> </w:t>
            </w:r>
            <w:hyperlink r:id="rId60">
              <w:r>
                <w:rPr>
                  <w:color w:val="0563C1"/>
                  <w:u w:val="single"/>
                </w:rPr>
                <w:t>[14]</w:t>
              </w:r>
            </w:hyperlink>
            <w:r>
              <w:t xml:space="preserve"> </w:t>
            </w:r>
            <w:hyperlink r:id="rId61">
              <w:r>
                <w:rPr>
                  <w:color w:val="0563C1"/>
                  <w:u w:val="single"/>
                </w:rPr>
                <w:t>[16]</w:t>
              </w:r>
            </w:hyperlink>
            <w:r>
              <w:t xml:space="preserve"> </w:t>
            </w:r>
            <w:hyperlink r:id="rId62">
              <w:r>
                <w:rPr>
                  <w:color w:val="0563C1"/>
                  <w:u w:val="single"/>
                </w:rPr>
                <w:t>[18]</w:t>
              </w:r>
            </w:hyperlink>
            <w:r>
              <w:t xml:space="preserve"> </w:t>
            </w:r>
            <w:hyperlink r:id="rId63">
              <w:r>
                <w:rPr>
                  <w:color w:val="0563C1"/>
                  <w:u w:val="single"/>
                </w:rPr>
                <w:t>[19]</w:t>
              </w:r>
            </w:hyperlink>
          </w:p>
        </w:tc>
        <w:tc>
          <w:tcPr>
            <w:tcW w:w="1584" w:type="dxa"/>
            <w:tcBorders>
              <w:top w:val="single" w:sz="4" w:space="0" w:color="BFBFBF"/>
              <w:left w:val="single" w:sz="4" w:space="0" w:color="BFBFBF"/>
              <w:bottom w:val="single" w:sz="4" w:space="0" w:color="BFBFBF"/>
              <w:right w:val="single" w:sz="4" w:space="0" w:color="BFBFBF"/>
            </w:tcBorders>
          </w:tcPr>
          <w:p w14:paraId="40B1D7C2" w14:textId="77777777" w:rsidR="00D80A0F" w:rsidRDefault="00000000">
            <w:pPr>
              <w:spacing w:after="0" w:line="240" w:lineRule="auto"/>
            </w:pPr>
            <w:r>
              <w:rPr>
                <w:sz w:val="16"/>
              </w:rPr>
              <w:t>Immediate; refresh at each readout</w:t>
            </w:r>
          </w:p>
        </w:tc>
        <w:tc>
          <w:tcPr>
            <w:tcW w:w="2160" w:type="dxa"/>
            <w:tcBorders>
              <w:top w:val="single" w:sz="4" w:space="0" w:color="BFBFBF"/>
              <w:left w:val="single" w:sz="4" w:space="0" w:color="BFBFBF"/>
              <w:bottom w:val="single" w:sz="4" w:space="0" w:color="BFBFBF"/>
              <w:right w:val="single" w:sz="4" w:space="0" w:color="BFBFBF"/>
            </w:tcBorders>
          </w:tcPr>
          <w:p w14:paraId="01AEFC4E" w14:textId="77777777" w:rsidR="00D80A0F" w:rsidRDefault="00000000">
            <w:pPr>
              <w:spacing w:after="0" w:line="240" w:lineRule="auto"/>
            </w:pPr>
            <w:r>
              <w:rPr>
                <w:sz w:val="16"/>
              </w:rPr>
              <w:t>Payers, BD/strategics, investor/acquirer diligence</w:t>
            </w:r>
          </w:p>
        </w:tc>
      </w:tr>
      <w:tr w:rsidR="00D80A0F" w14:paraId="5ABDFE5C" w14:textId="77777777" w:rsidTr="007D215C">
        <w:trPr>
          <w:cantSplit/>
          <w:jc w:val="center"/>
        </w:trPr>
        <w:tc>
          <w:tcPr>
            <w:tcW w:w="659" w:type="dxa"/>
            <w:tcBorders>
              <w:top w:val="single" w:sz="4" w:space="0" w:color="BFBFBF"/>
              <w:left w:val="single" w:sz="4" w:space="0" w:color="BFBFBF"/>
              <w:bottom w:val="single" w:sz="4" w:space="0" w:color="BFBFBF"/>
              <w:right w:val="single" w:sz="4" w:space="0" w:color="BFBFBF"/>
            </w:tcBorders>
          </w:tcPr>
          <w:p w14:paraId="18A84A8D" w14:textId="77777777" w:rsidR="00D80A0F" w:rsidRDefault="00000000">
            <w:pPr>
              <w:spacing w:after="0" w:line="240" w:lineRule="auto"/>
            </w:pPr>
            <w:r>
              <w:rPr>
                <w:sz w:val="16"/>
              </w:rPr>
              <w:t>4</w:t>
            </w:r>
          </w:p>
        </w:tc>
        <w:tc>
          <w:tcPr>
            <w:tcW w:w="2292" w:type="dxa"/>
            <w:tcBorders>
              <w:top w:val="single" w:sz="4" w:space="0" w:color="BFBFBF"/>
              <w:left w:val="single" w:sz="4" w:space="0" w:color="BFBFBF"/>
              <w:bottom w:val="single" w:sz="4" w:space="0" w:color="BFBFBF"/>
              <w:right w:val="single" w:sz="4" w:space="0" w:color="BFBFBF"/>
            </w:tcBorders>
          </w:tcPr>
          <w:p w14:paraId="0B40B162" w14:textId="77777777" w:rsidR="00D80A0F" w:rsidRDefault="00000000">
            <w:pPr>
              <w:spacing w:after="0" w:line="240" w:lineRule="auto"/>
            </w:pPr>
            <w:r>
              <w:rPr>
                <w:b/>
                <w:sz w:val="16"/>
              </w:rPr>
              <w:t>Suprachoroidal procedure safety, acceptability, and repeatability module</w:t>
            </w:r>
          </w:p>
        </w:tc>
        <w:tc>
          <w:tcPr>
            <w:tcW w:w="1080" w:type="dxa"/>
            <w:tcBorders>
              <w:top w:val="single" w:sz="4" w:space="0" w:color="BFBFBF"/>
              <w:left w:val="single" w:sz="4" w:space="0" w:color="BFBFBF"/>
              <w:bottom w:val="single" w:sz="4" w:space="0" w:color="BFBFBF"/>
              <w:right w:val="single" w:sz="4" w:space="0" w:color="BFBFBF"/>
            </w:tcBorders>
          </w:tcPr>
          <w:p w14:paraId="4BE1ABE2" w14:textId="77777777" w:rsidR="00D80A0F" w:rsidRDefault="00000000">
            <w:pPr>
              <w:spacing w:after="0" w:line="240" w:lineRule="auto"/>
            </w:pPr>
            <w:r>
              <w:rPr>
                <w:sz w:val="16"/>
              </w:rPr>
              <w:t>High</w:t>
            </w:r>
          </w:p>
        </w:tc>
        <w:tc>
          <w:tcPr>
            <w:tcW w:w="3816" w:type="dxa"/>
            <w:tcBorders>
              <w:top w:val="single" w:sz="4" w:space="0" w:color="BFBFBF"/>
              <w:left w:val="single" w:sz="4" w:space="0" w:color="BFBFBF"/>
              <w:bottom w:val="single" w:sz="4" w:space="0" w:color="BFBFBF"/>
              <w:right w:val="single" w:sz="4" w:space="0" w:color="BFBFBF"/>
            </w:tcBorders>
          </w:tcPr>
          <w:p w14:paraId="2B8BC82E" w14:textId="77777777" w:rsidR="00D80A0F" w:rsidRDefault="00000000">
            <w:pPr>
              <w:spacing w:after="0" w:line="240" w:lineRule="auto"/>
            </w:pPr>
            <w:r>
              <w:rPr>
                <w:sz w:val="16"/>
              </w:rPr>
              <w:t>The key competitive wedge is route-specific: non-surgical office delivery and compartmentalization versus intravitreal depot/implant or gene therapy.</w:t>
            </w:r>
            <w:r>
              <w:t xml:space="preserve"> </w:t>
            </w:r>
            <w:hyperlink r:id="rId64">
              <w:r>
                <w:rPr>
                  <w:color w:val="0563C1"/>
                  <w:u w:val="single"/>
                </w:rPr>
                <w:t>[1]</w:t>
              </w:r>
            </w:hyperlink>
            <w:r>
              <w:t xml:space="preserve"> </w:t>
            </w:r>
            <w:hyperlink r:id="rId65">
              <w:r>
                <w:rPr>
                  <w:color w:val="0563C1"/>
                  <w:u w:val="single"/>
                </w:rPr>
                <w:t>[4]</w:t>
              </w:r>
            </w:hyperlink>
            <w:r>
              <w:t xml:space="preserve"> </w:t>
            </w:r>
            <w:hyperlink r:id="rId66">
              <w:r>
                <w:rPr>
                  <w:color w:val="0563C1"/>
                  <w:u w:val="single"/>
                </w:rPr>
                <w:t>[10]</w:t>
              </w:r>
            </w:hyperlink>
            <w:r>
              <w:t xml:space="preserve"> </w:t>
            </w:r>
            <w:hyperlink r:id="rId67">
              <w:r>
                <w:rPr>
                  <w:color w:val="0563C1"/>
                  <w:u w:val="single"/>
                </w:rPr>
                <w:t>[13]</w:t>
              </w:r>
            </w:hyperlink>
          </w:p>
        </w:tc>
        <w:tc>
          <w:tcPr>
            <w:tcW w:w="1584" w:type="dxa"/>
            <w:tcBorders>
              <w:top w:val="single" w:sz="4" w:space="0" w:color="BFBFBF"/>
              <w:left w:val="single" w:sz="4" w:space="0" w:color="BFBFBF"/>
              <w:bottom w:val="single" w:sz="4" w:space="0" w:color="BFBFBF"/>
              <w:right w:val="single" w:sz="4" w:space="0" w:color="BFBFBF"/>
            </w:tcBorders>
          </w:tcPr>
          <w:p w14:paraId="2C8B66B4" w14:textId="77777777" w:rsidR="00D80A0F" w:rsidRDefault="00000000">
            <w:pPr>
              <w:spacing w:after="0" w:line="240" w:lineRule="auto"/>
            </w:pPr>
            <w:r>
              <w:rPr>
                <w:sz w:val="16"/>
              </w:rPr>
              <w:t>Embed in Phase 3 visits and re-dosing windows</w:t>
            </w:r>
          </w:p>
        </w:tc>
        <w:tc>
          <w:tcPr>
            <w:tcW w:w="2160" w:type="dxa"/>
            <w:tcBorders>
              <w:top w:val="single" w:sz="4" w:space="0" w:color="BFBFBF"/>
              <w:left w:val="single" w:sz="4" w:space="0" w:color="BFBFBF"/>
              <w:bottom w:val="single" w:sz="4" w:space="0" w:color="BFBFBF"/>
              <w:right w:val="single" w:sz="4" w:space="0" w:color="BFBFBF"/>
            </w:tcBorders>
          </w:tcPr>
          <w:p w14:paraId="7AEFC0A2" w14:textId="77777777" w:rsidR="00D80A0F" w:rsidRDefault="00000000">
            <w:pPr>
              <w:spacing w:after="0" w:line="240" w:lineRule="auto"/>
            </w:pPr>
            <w:r>
              <w:rPr>
                <w:sz w:val="16"/>
              </w:rPr>
              <w:t>Physicians, patients, payers, practices</w:t>
            </w:r>
          </w:p>
        </w:tc>
      </w:tr>
      <w:tr w:rsidR="00D80A0F" w14:paraId="1E4132B9" w14:textId="77777777" w:rsidTr="007D215C">
        <w:trPr>
          <w:cantSplit/>
          <w:jc w:val="center"/>
        </w:trPr>
        <w:tc>
          <w:tcPr>
            <w:tcW w:w="659" w:type="dxa"/>
            <w:tcBorders>
              <w:top w:val="single" w:sz="4" w:space="0" w:color="BFBFBF"/>
              <w:left w:val="single" w:sz="4" w:space="0" w:color="BFBFBF"/>
              <w:bottom w:val="single" w:sz="4" w:space="0" w:color="BFBFBF"/>
              <w:right w:val="single" w:sz="4" w:space="0" w:color="BFBFBF"/>
            </w:tcBorders>
          </w:tcPr>
          <w:p w14:paraId="45D404D6" w14:textId="77777777" w:rsidR="00D80A0F" w:rsidRDefault="00000000">
            <w:pPr>
              <w:spacing w:after="0" w:line="240" w:lineRule="auto"/>
            </w:pPr>
            <w:r>
              <w:rPr>
                <w:sz w:val="16"/>
              </w:rPr>
              <w:t>5</w:t>
            </w:r>
          </w:p>
        </w:tc>
        <w:tc>
          <w:tcPr>
            <w:tcW w:w="2292" w:type="dxa"/>
            <w:tcBorders>
              <w:top w:val="single" w:sz="4" w:space="0" w:color="BFBFBF"/>
              <w:left w:val="single" w:sz="4" w:space="0" w:color="BFBFBF"/>
              <w:bottom w:val="single" w:sz="4" w:space="0" w:color="BFBFBF"/>
              <w:right w:val="single" w:sz="4" w:space="0" w:color="BFBFBF"/>
            </w:tcBorders>
          </w:tcPr>
          <w:p w14:paraId="71CA516B" w14:textId="77777777" w:rsidR="00D80A0F" w:rsidRDefault="00000000">
            <w:pPr>
              <w:spacing w:after="0" w:line="240" w:lineRule="auto"/>
            </w:pPr>
            <w:r>
              <w:rPr>
                <w:b/>
                <w:sz w:val="16"/>
              </w:rPr>
              <w:t>Responder and patient-selection analytics</w:t>
            </w:r>
          </w:p>
        </w:tc>
        <w:tc>
          <w:tcPr>
            <w:tcW w:w="1080" w:type="dxa"/>
            <w:tcBorders>
              <w:top w:val="single" w:sz="4" w:space="0" w:color="BFBFBF"/>
              <w:left w:val="single" w:sz="4" w:space="0" w:color="BFBFBF"/>
              <w:bottom w:val="single" w:sz="4" w:space="0" w:color="BFBFBF"/>
              <w:right w:val="single" w:sz="4" w:space="0" w:color="BFBFBF"/>
            </w:tcBorders>
          </w:tcPr>
          <w:p w14:paraId="79A2613D" w14:textId="77777777" w:rsidR="00D80A0F" w:rsidRDefault="00000000">
            <w:pPr>
              <w:spacing w:after="0" w:line="240" w:lineRule="auto"/>
            </w:pPr>
            <w:r>
              <w:rPr>
                <w:sz w:val="16"/>
              </w:rPr>
              <w:t>High</w:t>
            </w:r>
          </w:p>
        </w:tc>
        <w:tc>
          <w:tcPr>
            <w:tcW w:w="3816" w:type="dxa"/>
            <w:tcBorders>
              <w:top w:val="single" w:sz="4" w:space="0" w:color="BFBFBF"/>
              <w:left w:val="single" w:sz="4" w:space="0" w:color="BFBFBF"/>
              <w:bottom w:val="single" w:sz="4" w:space="0" w:color="BFBFBF"/>
              <w:right w:val="single" w:sz="4" w:space="0" w:color="BFBFBF"/>
            </w:tcBorders>
          </w:tcPr>
          <w:p w14:paraId="65796C9A" w14:textId="77777777" w:rsidR="00D80A0F" w:rsidRDefault="00000000">
            <w:pPr>
              <w:spacing w:after="0" w:line="240" w:lineRule="auto"/>
            </w:pPr>
            <w:r>
              <w:rPr>
                <w:sz w:val="16"/>
              </w:rPr>
              <w:t>CLS-AX may be most attractive where standard anti-VEGF durability or response is inadequate; competitors' broad interval claims make subpopulation logic essential.</w:t>
            </w:r>
            <w:r>
              <w:t xml:space="preserve"> </w:t>
            </w:r>
            <w:hyperlink r:id="rId68">
              <w:r>
                <w:rPr>
                  <w:color w:val="0563C1"/>
                  <w:u w:val="single"/>
                </w:rPr>
                <w:t>[1]</w:t>
              </w:r>
            </w:hyperlink>
            <w:r>
              <w:t xml:space="preserve"> </w:t>
            </w:r>
            <w:hyperlink r:id="rId69">
              <w:r>
                <w:rPr>
                  <w:color w:val="0563C1"/>
                  <w:u w:val="single"/>
                </w:rPr>
                <w:t>[2]</w:t>
              </w:r>
            </w:hyperlink>
            <w:r>
              <w:t xml:space="preserve"> </w:t>
            </w:r>
            <w:hyperlink r:id="rId70">
              <w:r>
                <w:rPr>
                  <w:color w:val="0563C1"/>
                  <w:u w:val="single"/>
                </w:rPr>
                <w:t>[6]</w:t>
              </w:r>
            </w:hyperlink>
            <w:r>
              <w:t xml:space="preserve"> </w:t>
            </w:r>
            <w:hyperlink r:id="rId71">
              <w:r>
                <w:rPr>
                  <w:color w:val="0563C1"/>
                  <w:u w:val="single"/>
                </w:rPr>
                <w:t>[8]</w:t>
              </w:r>
            </w:hyperlink>
          </w:p>
        </w:tc>
        <w:tc>
          <w:tcPr>
            <w:tcW w:w="1584" w:type="dxa"/>
            <w:tcBorders>
              <w:top w:val="single" w:sz="4" w:space="0" w:color="BFBFBF"/>
              <w:left w:val="single" w:sz="4" w:space="0" w:color="BFBFBF"/>
              <w:bottom w:val="single" w:sz="4" w:space="0" w:color="BFBFBF"/>
              <w:right w:val="single" w:sz="4" w:space="0" w:color="BFBFBF"/>
            </w:tcBorders>
          </w:tcPr>
          <w:p w14:paraId="7E482B21" w14:textId="77777777" w:rsidR="00D80A0F" w:rsidRDefault="00000000">
            <w:pPr>
              <w:spacing w:after="0" w:line="240" w:lineRule="auto"/>
            </w:pPr>
            <w:r>
              <w:rPr>
                <w:sz w:val="16"/>
              </w:rPr>
              <w:t>Pre-specify in SAP; build with OCT and prior-treatment data</w:t>
            </w:r>
          </w:p>
        </w:tc>
        <w:tc>
          <w:tcPr>
            <w:tcW w:w="2160" w:type="dxa"/>
            <w:tcBorders>
              <w:top w:val="single" w:sz="4" w:space="0" w:color="BFBFBF"/>
              <w:left w:val="single" w:sz="4" w:space="0" w:color="BFBFBF"/>
              <w:bottom w:val="single" w:sz="4" w:space="0" w:color="BFBFBF"/>
              <w:right w:val="single" w:sz="4" w:space="0" w:color="BFBFBF"/>
            </w:tcBorders>
          </w:tcPr>
          <w:p w14:paraId="31AB935D" w14:textId="77777777" w:rsidR="00D80A0F" w:rsidRDefault="00000000">
            <w:pPr>
              <w:spacing w:after="0" w:line="240" w:lineRule="auto"/>
            </w:pPr>
            <w:r>
              <w:rPr>
                <w:sz w:val="16"/>
              </w:rPr>
              <w:t>Physicians, payers, guidelines, partners</w:t>
            </w:r>
          </w:p>
        </w:tc>
      </w:tr>
      <w:tr w:rsidR="00D80A0F" w14:paraId="19017461" w14:textId="77777777" w:rsidTr="007D215C">
        <w:trPr>
          <w:cantSplit/>
          <w:jc w:val="center"/>
        </w:trPr>
        <w:tc>
          <w:tcPr>
            <w:tcW w:w="659" w:type="dxa"/>
            <w:tcBorders>
              <w:top w:val="single" w:sz="4" w:space="0" w:color="BFBFBF"/>
              <w:left w:val="single" w:sz="4" w:space="0" w:color="BFBFBF"/>
              <w:bottom w:val="single" w:sz="4" w:space="0" w:color="BFBFBF"/>
              <w:right w:val="single" w:sz="4" w:space="0" w:color="BFBFBF"/>
            </w:tcBorders>
          </w:tcPr>
          <w:p w14:paraId="4643B82D" w14:textId="77777777" w:rsidR="00D80A0F" w:rsidRDefault="00000000">
            <w:pPr>
              <w:spacing w:after="0" w:line="240" w:lineRule="auto"/>
            </w:pPr>
            <w:r>
              <w:rPr>
                <w:sz w:val="16"/>
              </w:rPr>
              <w:t>6</w:t>
            </w:r>
          </w:p>
        </w:tc>
        <w:tc>
          <w:tcPr>
            <w:tcW w:w="2292" w:type="dxa"/>
            <w:tcBorders>
              <w:top w:val="single" w:sz="4" w:space="0" w:color="BFBFBF"/>
              <w:left w:val="single" w:sz="4" w:space="0" w:color="BFBFBF"/>
              <w:bottom w:val="single" w:sz="4" w:space="0" w:color="BFBFBF"/>
              <w:right w:val="single" w:sz="4" w:space="0" w:color="BFBFBF"/>
            </w:tcBorders>
          </w:tcPr>
          <w:p w14:paraId="2EFD6F70" w14:textId="77777777" w:rsidR="00D80A0F" w:rsidRDefault="00000000">
            <w:pPr>
              <w:spacing w:after="0" w:line="240" w:lineRule="auto"/>
            </w:pPr>
            <w:r>
              <w:rPr>
                <w:b/>
                <w:sz w:val="16"/>
              </w:rPr>
              <w:t>OCT-enabled registry and claims/EHR linkage architecture</w:t>
            </w:r>
          </w:p>
        </w:tc>
        <w:tc>
          <w:tcPr>
            <w:tcW w:w="1080" w:type="dxa"/>
            <w:tcBorders>
              <w:top w:val="single" w:sz="4" w:space="0" w:color="BFBFBF"/>
              <w:left w:val="single" w:sz="4" w:space="0" w:color="BFBFBF"/>
              <w:bottom w:val="single" w:sz="4" w:space="0" w:color="BFBFBF"/>
              <w:right w:val="single" w:sz="4" w:space="0" w:color="BFBFBF"/>
            </w:tcBorders>
          </w:tcPr>
          <w:p w14:paraId="4BA8F467" w14:textId="77777777" w:rsidR="00D80A0F" w:rsidRDefault="00000000">
            <w:pPr>
              <w:spacing w:after="0" w:line="240" w:lineRule="auto"/>
            </w:pPr>
            <w:r>
              <w:rPr>
                <w:sz w:val="16"/>
              </w:rPr>
              <w:t>Medium-high</w:t>
            </w:r>
          </w:p>
        </w:tc>
        <w:tc>
          <w:tcPr>
            <w:tcW w:w="3816" w:type="dxa"/>
            <w:tcBorders>
              <w:top w:val="single" w:sz="4" w:space="0" w:color="BFBFBF"/>
              <w:left w:val="single" w:sz="4" w:space="0" w:color="BFBFBF"/>
              <w:bottom w:val="single" w:sz="4" w:space="0" w:color="BFBFBF"/>
              <w:right w:val="single" w:sz="4" w:space="0" w:color="BFBFBF"/>
            </w:tcBorders>
          </w:tcPr>
          <w:p w14:paraId="2BB4EFA8" w14:textId="77777777" w:rsidR="00D80A0F" w:rsidRDefault="00000000">
            <w:pPr>
              <w:spacing w:after="0" w:line="240" w:lineRule="auto"/>
            </w:pPr>
            <w:r>
              <w:rPr>
                <w:sz w:val="16"/>
              </w:rPr>
              <w:t>Claims alone cannot capture fluid, CST, rescue rationale, or disease control; prospective registry design can support launch and payer evidence.</w:t>
            </w:r>
            <w:r>
              <w:t xml:space="preserve"> </w:t>
            </w:r>
            <w:hyperlink r:id="rId72">
              <w:r>
                <w:rPr>
                  <w:color w:val="0563C1"/>
                  <w:u w:val="single"/>
                </w:rPr>
                <w:t>[21]</w:t>
              </w:r>
            </w:hyperlink>
            <w:r>
              <w:t xml:space="preserve"> </w:t>
            </w:r>
            <w:hyperlink r:id="rId73">
              <w:r>
                <w:rPr>
                  <w:color w:val="0563C1"/>
                  <w:u w:val="single"/>
                </w:rPr>
                <w:t>[22]</w:t>
              </w:r>
            </w:hyperlink>
          </w:p>
        </w:tc>
        <w:tc>
          <w:tcPr>
            <w:tcW w:w="1584" w:type="dxa"/>
            <w:tcBorders>
              <w:top w:val="single" w:sz="4" w:space="0" w:color="BFBFBF"/>
              <w:left w:val="single" w:sz="4" w:space="0" w:color="BFBFBF"/>
              <w:bottom w:val="single" w:sz="4" w:space="0" w:color="BFBFBF"/>
              <w:right w:val="single" w:sz="4" w:space="0" w:color="BFBFBF"/>
            </w:tcBorders>
          </w:tcPr>
          <w:p w14:paraId="575ACA82" w14:textId="77777777" w:rsidR="00D80A0F" w:rsidRDefault="00000000">
            <w:pPr>
              <w:spacing w:after="0" w:line="240" w:lineRule="auto"/>
            </w:pPr>
            <w:r>
              <w:rPr>
                <w:sz w:val="16"/>
              </w:rPr>
              <w:t>Design now; activate near pivotal completion</w:t>
            </w:r>
          </w:p>
        </w:tc>
        <w:tc>
          <w:tcPr>
            <w:tcW w:w="2160" w:type="dxa"/>
            <w:tcBorders>
              <w:top w:val="single" w:sz="4" w:space="0" w:color="BFBFBF"/>
              <w:left w:val="single" w:sz="4" w:space="0" w:color="BFBFBF"/>
              <w:bottom w:val="single" w:sz="4" w:space="0" w:color="BFBFBF"/>
              <w:right w:val="single" w:sz="4" w:space="0" w:color="BFBFBF"/>
            </w:tcBorders>
          </w:tcPr>
          <w:p w14:paraId="5117CC32" w14:textId="77777777" w:rsidR="00D80A0F" w:rsidRDefault="00000000">
            <w:pPr>
              <w:spacing w:after="0" w:line="240" w:lineRule="auto"/>
            </w:pPr>
            <w:r>
              <w:rPr>
                <w:sz w:val="16"/>
              </w:rPr>
              <w:t>Payers, regulators, physicians</w:t>
            </w:r>
          </w:p>
        </w:tc>
      </w:tr>
      <w:tr w:rsidR="00D80A0F" w14:paraId="7AA9611A" w14:textId="77777777" w:rsidTr="007D215C">
        <w:trPr>
          <w:cantSplit/>
          <w:jc w:val="center"/>
        </w:trPr>
        <w:tc>
          <w:tcPr>
            <w:tcW w:w="659" w:type="dxa"/>
            <w:tcBorders>
              <w:top w:val="single" w:sz="4" w:space="0" w:color="BFBFBF"/>
              <w:left w:val="single" w:sz="4" w:space="0" w:color="BFBFBF"/>
              <w:bottom w:val="single" w:sz="4" w:space="0" w:color="BFBFBF"/>
              <w:right w:val="single" w:sz="4" w:space="0" w:color="BFBFBF"/>
            </w:tcBorders>
          </w:tcPr>
          <w:p w14:paraId="67DA7B63" w14:textId="77777777" w:rsidR="00D80A0F" w:rsidRDefault="00000000">
            <w:pPr>
              <w:spacing w:after="0" w:line="240" w:lineRule="auto"/>
            </w:pPr>
            <w:r>
              <w:rPr>
                <w:sz w:val="16"/>
              </w:rPr>
              <w:t>7</w:t>
            </w:r>
          </w:p>
        </w:tc>
        <w:tc>
          <w:tcPr>
            <w:tcW w:w="2292" w:type="dxa"/>
            <w:tcBorders>
              <w:top w:val="single" w:sz="4" w:space="0" w:color="BFBFBF"/>
              <w:left w:val="single" w:sz="4" w:space="0" w:color="BFBFBF"/>
              <w:bottom w:val="single" w:sz="4" w:space="0" w:color="BFBFBF"/>
              <w:right w:val="single" w:sz="4" w:space="0" w:color="BFBFBF"/>
            </w:tcBorders>
          </w:tcPr>
          <w:p w14:paraId="43BC701D" w14:textId="77777777" w:rsidR="00D80A0F" w:rsidRDefault="00000000">
            <w:pPr>
              <w:spacing w:after="0" w:line="240" w:lineRule="auto"/>
            </w:pPr>
            <w:r>
              <w:rPr>
                <w:b/>
                <w:sz w:val="16"/>
              </w:rPr>
              <w:t>Payer value-threshold research and AMCP-ready evidence package</w:t>
            </w:r>
          </w:p>
        </w:tc>
        <w:tc>
          <w:tcPr>
            <w:tcW w:w="1080" w:type="dxa"/>
            <w:tcBorders>
              <w:top w:val="single" w:sz="4" w:space="0" w:color="BFBFBF"/>
              <w:left w:val="single" w:sz="4" w:space="0" w:color="BFBFBF"/>
              <w:bottom w:val="single" w:sz="4" w:space="0" w:color="BFBFBF"/>
              <w:right w:val="single" w:sz="4" w:space="0" w:color="BFBFBF"/>
            </w:tcBorders>
          </w:tcPr>
          <w:p w14:paraId="2F25D8A3" w14:textId="77777777" w:rsidR="00D80A0F" w:rsidRDefault="00000000">
            <w:pPr>
              <w:spacing w:after="0" w:line="240" w:lineRule="auto"/>
            </w:pPr>
            <w:r>
              <w:rPr>
                <w:sz w:val="16"/>
              </w:rPr>
              <w:t>Medium-high</w:t>
            </w:r>
          </w:p>
        </w:tc>
        <w:tc>
          <w:tcPr>
            <w:tcW w:w="3816" w:type="dxa"/>
            <w:tcBorders>
              <w:top w:val="single" w:sz="4" w:space="0" w:color="BFBFBF"/>
              <w:left w:val="single" w:sz="4" w:space="0" w:color="BFBFBF"/>
              <w:bottom w:val="single" w:sz="4" w:space="0" w:color="BFBFBF"/>
              <w:right w:val="single" w:sz="4" w:space="0" w:color="BFBFBF"/>
            </w:tcBorders>
          </w:tcPr>
          <w:p w14:paraId="59F49F5C" w14:textId="77777777" w:rsidR="00D80A0F" w:rsidRDefault="00000000">
            <w:pPr>
              <w:spacing w:after="0" w:line="240" w:lineRule="auto"/>
            </w:pPr>
            <w:r>
              <w:rPr>
                <w:sz w:val="16"/>
              </w:rPr>
              <w:t>Pricing and coverage will depend on how payers value fewer injections, fewer visits, office workflow, and avoidance of implant/gene therapy complexity.</w:t>
            </w:r>
            <w:r>
              <w:t xml:space="preserve"> </w:t>
            </w:r>
            <w:hyperlink r:id="rId74">
              <w:r>
                <w:rPr>
                  <w:color w:val="0563C1"/>
                  <w:u w:val="single"/>
                </w:rPr>
                <w:t>[23]</w:t>
              </w:r>
            </w:hyperlink>
          </w:p>
        </w:tc>
        <w:tc>
          <w:tcPr>
            <w:tcW w:w="1584" w:type="dxa"/>
            <w:tcBorders>
              <w:top w:val="single" w:sz="4" w:space="0" w:color="BFBFBF"/>
              <w:left w:val="single" w:sz="4" w:space="0" w:color="BFBFBF"/>
              <w:bottom w:val="single" w:sz="4" w:space="0" w:color="BFBFBF"/>
              <w:right w:val="single" w:sz="4" w:space="0" w:color="BFBFBF"/>
            </w:tcBorders>
          </w:tcPr>
          <w:p w14:paraId="18926477" w14:textId="77777777" w:rsidR="00D80A0F" w:rsidRDefault="00000000">
            <w:pPr>
              <w:spacing w:after="0" w:line="240" w:lineRule="auto"/>
            </w:pPr>
            <w:r>
              <w:rPr>
                <w:sz w:val="16"/>
              </w:rPr>
              <w:t>Begin after Phase 3 endpoint set is confirmed</w:t>
            </w:r>
          </w:p>
        </w:tc>
        <w:tc>
          <w:tcPr>
            <w:tcW w:w="2160" w:type="dxa"/>
            <w:tcBorders>
              <w:top w:val="single" w:sz="4" w:space="0" w:color="BFBFBF"/>
              <w:left w:val="single" w:sz="4" w:space="0" w:color="BFBFBF"/>
              <w:bottom w:val="single" w:sz="4" w:space="0" w:color="BFBFBF"/>
              <w:right w:val="single" w:sz="4" w:space="0" w:color="BFBFBF"/>
            </w:tcBorders>
          </w:tcPr>
          <w:p w14:paraId="4324ED1E" w14:textId="77777777" w:rsidR="00D80A0F" w:rsidRDefault="00000000">
            <w:pPr>
              <w:spacing w:after="0" w:line="240" w:lineRule="auto"/>
            </w:pPr>
            <w:r>
              <w:rPr>
                <w:sz w:val="16"/>
              </w:rPr>
              <w:t>Payers, access teams, BD</w:t>
            </w:r>
          </w:p>
        </w:tc>
      </w:tr>
      <w:tr w:rsidR="00D80A0F" w14:paraId="3FD7ED9E" w14:textId="77777777" w:rsidTr="007D215C">
        <w:trPr>
          <w:cantSplit/>
          <w:jc w:val="center"/>
        </w:trPr>
        <w:tc>
          <w:tcPr>
            <w:tcW w:w="659" w:type="dxa"/>
            <w:tcBorders>
              <w:top w:val="single" w:sz="4" w:space="0" w:color="BFBFBF"/>
              <w:left w:val="single" w:sz="4" w:space="0" w:color="BFBFBF"/>
              <w:bottom w:val="single" w:sz="4" w:space="0" w:color="BFBFBF"/>
              <w:right w:val="single" w:sz="4" w:space="0" w:color="BFBFBF"/>
            </w:tcBorders>
          </w:tcPr>
          <w:p w14:paraId="4EFF0E0B" w14:textId="77777777" w:rsidR="00D80A0F" w:rsidRDefault="00000000">
            <w:pPr>
              <w:spacing w:after="0" w:line="240" w:lineRule="auto"/>
            </w:pPr>
            <w:r>
              <w:rPr>
                <w:sz w:val="16"/>
              </w:rPr>
              <w:t>8</w:t>
            </w:r>
          </w:p>
        </w:tc>
        <w:tc>
          <w:tcPr>
            <w:tcW w:w="2292" w:type="dxa"/>
            <w:tcBorders>
              <w:top w:val="single" w:sz="4" w:space="0" w:color="BFBFBF"/>
              <w:left w:val="single" w:sz="4" w:space="0" w:color="BFBFBF"/>
              <w:bottom w:val="single" w:sz="4" w:space="0" w:color="BFBFBF"/>
              <w:right w:val="single" w:sz="4" w:space="0" w:color="BFBFBF"/>
            </w:tcBorders>
          </w:tcPr>
          <w:p w14:paraId="29CA8F8B" w14:textId="77777777" w:rsidR="00D80A0F" w:rsidRDefault="00000000">
            <w:pPr>
              <w:spacing w:after="0" w:line="240" w:lineRule="auto"/>
            </w:pPr>
            <w:r>
              <w:rPr>
                <w:b/>
                <w:sz w:val="16"/>
              </w:rPr>
              <w:t>Preference study / discrete-choice experiment across treatment profiles</w:t>
            </w:r>
          </w:p>
        </w:tc>
        <w:tc>
          <w:tcPr>
            <w:tcW w:w="1080" w:type="dxa"/>
            <w:tcBorders>
              <w:top w:val="single" w:sz="4" w:space="0" w:color="BFBFBF"/>
              <w:left w:val="single" w:sz="4" w:space="0" w:color="BFBFBF"/>
              <w:bottom w:val="single" w:sz="4" w:space="0" w:color="BFBFBF"/>
              <w:right w:val="single" w:sz="4" w:space="0" w:color="BFBFBF"/>
            </w:tcBorders>
          </w:tcPr>
          <w:p w14:paraId="5AF18F47" w14:textId="77777777" w:rsidR="00D80A0F" w:rsidRDefault="00000000">
            <w:pPr>
              <w:spacing w:after="0" w:line="240" w:lineRule="auto"/>
            </w:pPr>
            <w:r>
              <w:rPr>
                <w:sz w:val="16"/>
              </w:rPr>
              <w:t>Medium</w:t>
            </w:r>
          </w:p>
        </w:tc>
        <w:tc>
          <w:tcPr>
            <w:tcW w:w="3816" w:type="dxa"/>
            <w:tcBorders>
              <w:top w:val="single" w:sz="4" w:space="0" w:color="BFBFBF"/>
              <w:left w:val="single" w:sz="4" w:space="0" w:color="BFBFBF"/>
              <w:bottom w:val="single" w:sz="4" w:space="0" w:color="BFBFBF"/>
              <w:right w:val="single" w:sz="4" w:space="0" w:color="BFBFBF"/>
            </w:tcBorders>
          </w:tcPr>
          <w:p w14:paraId="00127116" w14:textId="77777777" w:rsidR="00D80A0F" w:rsidRDefault="00000000">
            <w:pPr>
              <w:spacing w:after="0" w:line="240" w:lineRule="auto"/>
            </w:pPr>
            <w:r>
              <w:rPr>
                <w:sz w:val="16"/>
              </w:rPr>
              <w:t>Useful only if it tests realistic profiles: anti-VEGF q16/q20, intravitreal axitinib depot, TKI insert, implant, gene therapy, and suprachoroidal CLS-AX.</w:t>
            </w:r>
          </w:p>
        </w:tc>
        <w:tc>
          <w:tcPr>
            <w:tcW w:w="1584" w:type="dxa"/>
            <w:tcBorders>
              <w:top w:val="single" w:sz="4" w:space="0" w:color="BFBFBF"/>
              <w:left w:val="single" w:sz="4" w:space="0" w:color="BFBFBF"/>
              <w:bottom w:val="single" w:sz="4" w:space="0" w:color="BFBFBF"/>
              <w:right w:val="single" w:sz="4" w:space="0" w:color="BFBFBF"/>
            </w:tcBorders>
          </w:tcPr>
          <w:p w14:paraId="5E8907BF" w14:textId="77777777" w:rsidR="00D80A0F" w:rsidRDefault="00000000">
            <w:pPr>
              <w:spacing w:after="0" w:line="240" w:lineRule="auto"/>
            </w:pPr>
            <w:r>
              <w:rPr>
                <w:sz w:val="16"/>
              </w:rPr>
              <w:t>After competitor profiles stabilize</w:t>
            </w:r>
          </w:p>
        </w:tc>
        <w:tc>
          <w:tcPr>
            <w:tcW w:w="2160" w:type="dxa"/>
            <w:tcBorders>
              <w:top w:val="single" w:sz="4" w:space="0" w:color="BFBFBF"/>
              <w:left w:val="single" w:sz="4" w:space="0" w:color="BFBFBF"/>
              <w:bottom w:val="single" w:sz="4" w:space="0" w:color="BFBFBF"/>
              <w:right w:val="single" w:sz="4" w:space="0" w:color="BFBFBF"/>
            </w:tcBorders>
          </w:tcPr>
          <w:p w14:paraId="49FB116A" w14:textId="77777777" w:rsidR="00D80A0F" w:rsidRDefault="00000000">
            <w:pPr>
              <w:spacing w:after="0" w:line="240" w:lineRule="auto"/>
            </w:pPr>
            <w:r>
              <w:rPr>
                <w:sz w:val="16"/>
              </w:rPr>
              <w:t>Patients, physicians, payers</w:t>
            </w:r>
          </w:p>
        </w:tc>
      </w:tr>
      <w:tr w:rsidR="00D80A0F" w14:paraId="5DB171C9" w14:textId="77777777" w:rsidTr="007D215C">
        <w:trPr>
          <w:cantSplit/>
          <w:jc w:val="center"/>
        </w:trPr>
        <w:tc>
          <w:tcPr>
            <w:tcW w:w="659" w:type="dxa"/>
            <w:tcBorders>
              <w:top w:val="single" w:sz="4" w:space="0" w:color="BFBFBF"/>
              <w:left w:val="single" w:sz="4" w:space="0" w:color="BFBFBF"/>
              <w:bottom w:val="single" w:sz="4" w:space="0" w:color="BFBFBF"/>
              <w:right w:val="single" w:sz="4" w:space="0" w:color="BFBFBF"/>
            </w:tcBorders>
          </w:tcPr>
          <w:p w14:paraId="59C3A5A2" w14:textId="77777777" w:rsidR="00D80A0F" w:rsidRDefault="00000000">
            <w:pPr>
              <w:spacing w:after="0" w:line="240" w:lineRule="auto"/>
            </w:pPr>
            <w:r>
              <w:rPr>
                <w:sz w:val="16"/>
              </w:rPr>
              <w:t>9</w:t>
            </w:r>
          </w:p>
        </w:tc>
        <w:tc>
          <w:tcPr>
            <w:tcW w:w="2292" w:type="dxa"/>
            <w:tcBorders>
              <w:top w:val="single" w:sz="4" w:space="0" w:color="BFBFBF"/>
              <w:left w:val="single" w:sz="4" w:space="0" w:color="BFBFBF"/>
              <w:bottom w:val="single" w:sz="4" w:space="0" w:color="BFBFBF"/>
              <w:right w:val="single" w:sz="4" w:space="0" w:color="BFBFBF"/>
            </w:tcBorders>
          </w:tcPr>
          <w:p w14:paraId="41B60C85" w14:textId="77777777" w:rsidR="00D80A0F" w:rsidRDefault="00000000">
            <w:pPr>
              <w:spacing w:after="0" w:line="240" w:lineRule="auto"/>
            </w:pPr>
            <w:r>
              <w:rPr>
                <w:b/>
                <w:sz w:val="16"/>
              </w:rPr>
              <w:t>Home OCT / remote monitoring pilot</w:t>
            </w:r>
          </w:p>
        </w:tc>
        <w:tc>
          <w:tcPr>
            <w:tcW w:w="1080" w:type="dxa"/>
            <w:tcBorders>
              <w:top w:val="single" w:sz="4" w:space="0" w:color="BFBFBF"/>
              <w:left w:val="single" w:sz="4" w:space="0" w:color="BFBFBF"/>
              <w:bottom w:val="single" w:sz="4" w:space="0" w:color="BFBFBF"/>
              <w:right w:val="single" w:sz="4" w:space="0" w:color="BFBFBF"/>
            </w:tcBorders>
          </w:tcPr>
          <w:p w14:paraId="000B2DE6" w14:textId="77777777" w:rsidR="00D80A0F" w:rsidRDefault="00000000">
            <w:pPr>
              <w:spacing w:after="0" w:line="240" w:lineRule="auto"/>
            </w:pPr>
            <w:r>
              <w:rPr>
                <w:sz w:val="16"/>
              </w:rPr>
              <w:t>Selective</w:t>
            </w:r>
          </w:p>
        </w:tc>
        <w:tc>
          <w:tcPr>
            <w:tcW w:w="3816" w:type="dxa"/>
            <w:tcBorders>
              <w:top w:val="single" w:sz="4" w:space="0" w:color="BFBFBF"/>
              <w:left w:val="single" w:sz="4" w:space="0" w:color="BFBFBF"/>
              <w:bottom w:val="single" w:sz="4" w:space="0" w:color="BFBFBF"/>
              <w:right w:val="single" w:sz="4" w:space="0" w:color="BFBFBF"/>
            </w:tcBorders>
          </w:tcPr>
          <w:p w14:paraId="47EC9364" w14:textId="77777777" w:rsidR="00D80A0F" w:rsidRDefault="00000000">
            <w:pPr>
              <w:spacing w:after="0" w:line="240" w:lineRule="auto"/>
            </w:pPr>
            <w:r>
              <w:rPr>
                <w:sz w:val="16"/>
              </w:rPr>
              <w:t>Potentially valuable if CLS-AX can reduce in-office monitoring visits safely; less valuable if it becomes a technology project detached from the drug's evidence strategy.</w:t>
            </w:r>
          </w:p>
        </w:tc>
        <w:tc>
          <w:tcPr>
            <w:tcW w:w="1584" w:type="dxa"/>
            <w:tcBorders>
              <w:top w:val="single" w:sz="4" w:space="0" w:color="BFBFBF"/>
              <w:left w:val="single" w:sz="4" w:space="0" w:color="BFBFBF"/>
              <w:bottom w:val="single" w:sz="4" w:space="0" w:color="BFBFBF"/>
              <w:right w:val="single" w:sz="4" w:space="0" w:color="BFBFBF"/>
            </w:tcBorders>
          </w:tcPr>
          <w:p w14:paraId="59DF3E11" w14:textId="77777777" w:rsidR="00D80A0F" w:rsidRDefault="00000000">
            <w:pPr>
              <w:spacing w:after="0" w:line="240" w:lineRule="auto"/>
            </w:pPr>
            <w:r>
              <w:rPr>
                <w:sz w:val="16"/>
              </w:rPr>
              <w:t>Small substudy at advanced sites</w:t>
            </w:r>
          </w:p>
        </w:tc>
        <w:tc>
          <w:tcPr>
            <w:tcW w:w="2160" w:type="dxa"/>
            <w:tcBorders>
              <w:top w:val="single" w:sz="4" w:space="0" w:color="BFBFBF"/>
              <w:left w:val="single" w:sz="4" w:space="0" w:color="BFBFBF"/>
              <w:bottom w:val="single" w:sz="4" w:space="0" w:color="BFBFBF"/>
              <w:right w:val="single" w:sz="4" w:space="0" w:color="BFBFBF"/>
            </w:tcBorders>
          </w:tcPr>
          <w:p w14:paraId="645CF860" w14:textId="77777777" w:rsidR="00D80A0F" w:rsidRDefault="00000000">
            <w:pPr>
              <w:spacing w:after="0" w:line="240" w:lineRule="auto"/>
            </w:pPr>
            <w:r>
              <w:rPr>
                <w:sz w:val="16"/>
              </w:rPr>
              <w:t>Patients, practices, payers</w:t>
            </w:r>
          </w:p>
        </w:tc>
      </w:tr>
    </w:tbl>
    <w:p w14:paraId="7B670FF8" w14:textId="77777777" w:rsidR="00D80A0F" w:rsidRDefault="00000000">
      <w:pPr>
        <w:pStyle w:val="Heading2"/>
        <w:spacing w:before="160" w:after="100"/>
      </w:pPr>
      <w:r>
        <w:t>4.1 Project 1 - Phase 3 competitor-calibrated endpoint/SAP package</w:t>
      </w:r>
    </w:p>
    <w:p w14:paraId="3BDCA923" w14:textId="77777777" w:rsidR="00D80A0F" w:rsidRDefault="00000000">
      <w:r>
        <w:rPr>
          <w:b/>
        </w:rPr>
        <w:t xml:space="preserve">Purpose: </w:t>
      </w:r>
      <w:r>
        <w:t xml:space="preserve">turn the pivotal trial into a market-access and adoption dataset while preserving the regulatory primary endpoint. Clearside has publicly described FDA alignment on two pivotal noninferiority trials with average BCVA change from baseline at Week 52 as the primary endpoint; that design should be enhanced with stakeholder endpoints if still possible. </w:t>
      </w:r>
      <w:hyperlink r:id="rId75">
        <w:r>
          <w:rPr>
            <w:color w:val="0563C1"/>
            <w:u w:val="single"/>
          </w:rPr>
          <w:t>[3]</w:t>
        </w:r>
      </w:hyperlink>
    </w:p>
    <w:p w14:paraId="1B5169ED" w14:textId="77777777" w:rsidR="00D80A0F" w:rsidRDefault="00000000">
      <w:pPr>
        <w:spacing w:before="80" w:after="60"/>
      </w:pPr>
      <w:r>
        <w:rPr>
          <w:b/>
          <w:color w:val="1F4E79"/>
        </w:rPr>
        <w:t>Table 5. Recommended Phase 3 endpoint additions</w:t>
      </w:r>
    </w:p>
    <w:tbl>
      <w:tblPr>
        <w:tblStyle w:val="TableGrid"/>
        <w:tblW w:w="0" w:type="auto"/>
        <w:jc w:val="center"/>
        <w:tblLayout w:type="fixed"/>
        <w:tblLook w:val="04A0" w:firstRow="1" w:lastRow="0" w:firstColumn="1" w:lastColumn="0" w:noHBand="0" w:noVBand="1"/>
      </w:tblPr>
      <w:tblGrid>
        <w:gridCol w:w="1944"/>
        <w:gridCol w:w="4896"/>
        <w:gridCol w:w="3384"/>
      </w:tblGrid>
      <w:tr w:rsidR="00D80A0F" w14:paraId="378386F4" w14:textId="77777777">
        <w:trPr>
          <w:cantSplit/>
          <w:tblHeader/>
          <w:jc w:val="center"/>
        </w:trPr>
        <w:tc>
          <w:tcPr>
            <w:tcW w:w="194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D596425" w14:textId="77777777" w:rsidR="00D80A0F" w:rsidRDefault="00000000">
            <w:pPr>
              <w:spacing w:after="0"/>
            </w:pPr>
            <w:r>
              <w:rPr>
                <w:b/>
                <w:color w:val="FFFFFF"/>
                <w:sz w:val="17"/>
              </w:rPr>
              <w:t>Endpoint domain</w:t>
            </w:r>
          </w:p>
        </w:tc>
        <w:tc>
          <w:tcPr>
            <w:tcW w:w="489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9639804" w14:textId="77777777" w:rsidR="00D80A0F" w:rsidRDefault="00000000">
            <w:pPr>
              <w:spacing w:after="0"/>
            </w:pPr>
            <w:r>
              <w:rPr>
                <w:b/>
                <w:color w:val="FFFFFF"/>
                <w:sz w:val="17"/>
              </w:rPr>
              <w:t>Specific additions</w:t>
            </w:r>
          </w:p>
        </w:tc>
        <w:tc>
          <w:tcPr>
            <w:tcW w:w="33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CCB8A40" w14:textId="77777777" w:rsidR="00D80A0F" w:rsidRDefault="00000000">
            <w:pPr>
              <w:spacing w:after="0"/>
            </w:pPr>
            <w:r>
              <w:rPr>
                <w:b/>
                <w:color w:val="FFFFFF"/>
                <w:sz w:val="17"/>
              </w:rPr>
              <w:t>Why it is high value</w:t>
            </w:r>
          </w:p>
        </w:tc>
      </w:tr>
      <w:tr w:rsidR="00D80A0F" w14:paraId="47855BB3"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4BDCFFFA" w14:textId="77777777" w:rsidR="00D80A0F" w:rsidRDefault="00000000">
            <w:pPr>
              <w:spacing w:after="0" w:line="240" w:lineRule="auto"/>
            </w:pPr>
            <w:r>
              <w:rPr>
                <w:sz w:val="16"/>
              </w:rPr>
              <w:t>Durability and rescue</w:t>
            </w:r>
          </w:p>
        </w:tc>
        <w:tc>
          <w:tcPr>
            <w:tcW w:w="4896" w:type="dxa"/>
            <w:tcBorders>
              <w:top w:val="single" w:sz="4" w:space="0" w:color="BFBFBF"/>
              <w:left w:val="single" w:sz="4" w:space="0" w:color="BFBFBF"/>
              <w:bottom w:val="single" w:sz="4" w:space="0" w:color="BFBFBF"/>
              <w:right w:val="single" w:sz="4" w:space="0" w:color="BFBFBF"/>
            </w:tcBorders>
          </w:tcPr>
          <w:p w14:paraId="785502A4" w14:textId="77777777" w:rsidR="00D80A0F" w:rsidRDefault="00000000">
            <w:pPr>
              <w:spacing w:after="0" w:line="240" w:lineRule="auto"/>
            </w:pPr>
            <w:r>
              <w:rPr>
                <w:sz w:val="16"/>
              </w:rPr>
              <w:t>Time to first supplemental anti-VEGF; rescue-free survival; intervention-free days; proportion achieving q12/q16/q20/q24-equivalent disease control; number of supplemental injections; reason for rescue; reactivation-to-control time.</w:t>
            </w:r>
          </w:p>
        </w:tc>
        <w:tc>
          <w:tcPr>
            <w:tcW w:w="3384" w:type="dxa"/>
            <w:tcBorders>
              <w:top w:val="single" w:sz="4" w:space="0" w:color="BFBFBF"/>
              <w:left w:val="single" w:sz="4" w:space="0" w:color="BFBFBF"/>
              <w:bottom w:val="single" w:sz="4" w:space="0" w:color="BFBFBF"/>
              <w:right w:val="single" w:sz="4" w:space="0" w:color="BFBFBF"/>
            </w:tcBorders>
          </w:tcPr>
          <w:p w14:paraId="70535233" w14:textId="77777777" w:rsidR="00D80A0F" w:rsidRDefault="00000000">
            <w:pPr>
              <w:spacing w:after="0" w:line="240" w:lineRule="auto"/>
            </w:pPr>
            <w:r>
              <w:rPr>
                <w:sz w:val="16"/>
              </w:rPr>
              <w:t>Creates a common language for comparison to EYLEA HD, Vabysmo, AXPAXLI, DURAVYU, and gene therapy programs.</w:t>
            </w:r>
          </w:p>
        </w:tc>
      </w:tr>
      <w:tr w:rsidR="00D80A0F" w14:paraId="606792D8"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621BAE87" w14:textId="77777777" w:rsidR="00D80A0F" w:rsidRDefault="00000000">
            <w:pPr>
              <w:spacing w:after="0" w:line="240" w:lineRule="auto"/>
            </w:pPr>
            <w:r>
              <w:rPr>
                <w:sz w:val="16"/>
              </w:rPr>
              <w:t>Total burden, not just injections</w:t>
            </w:r>
          </w:p>
        </w:tc>
        <w:tc>
          <w:tcPr>
            <w:tcW w:w="4896" w:type="dxa"/>
            <w:tcBorders>
              <w:top w:val="single" w:sz="4" w:space="0" w:color="BFBFBF"/>
              <w:left w:val="single" w:sz="4" w:space="0" w:color="BFBFBF"/>
              <w:bottom w:val="single" w:sz="4" w:space="0" w:color="BFBFBF"/>
              <w:right w:val="single" w:sz="4" w:space="0" w:color="BFBFBF"/>
            </w:tcBorders>
          </w:tcPr>
          <w:p w14:paraId="5B035C57" w14:textId="77777777" w:rsidR="00D80A0F" w:rsidRDefault="00000000">
            <w:pPr>
              <w:spacing w:after="0" w:line="240" w:lineRule="auto"/>
            </w:pPr>
            <w:r>
              <w:rPr>
                <w:sz w:val="16"/>
              </w:rPr>
              <w:t>Total retina visits; imaging visits; injection/procedure visits; unscheduled visits; travel time; care-partner accompaniment; work/activity disruption; bilateral scheduling burden.</w:t>
            </w:r>
          </w:p>
        </w:tc>
        <w:tc>
          <w:tcPr>
            <w:tcW w:w="3384" w:type="dxa"/>
            <w:tcBorders>
              <w:top w:val="single" w:sz="4" w:space="0" w:color="BFBFBF"/>
              <w:left w:val="single" w:sz="4" w:space="0" w:color="BFBFBF"/>
              <w:bottom w:val="single" w:sz="4" w:space="0" w:color="BFBFBF"/>
              <w:right w:val="single" w:sz="4" w:space="0" w:color="BFBFBF"/>
            </w:tcBorders>
          </w:tcPr>
          <w:p w14:paraId="2AFA53A4" w14:textId="77777777" w:rsidR="00D80A0F" w:rsidRDefault="00000000">
            <w:pPr>
              <w:spacing w:after="0" w:line="240" w:lineRule="auto"/>
            </w:pPr>
            <w:r>
              <w:rPr>
                <w:sz w:val="16"/>
              </w:rPr>
              <w:t>Payers and patients care about total burden. Injection count alone may miss monitoring intensity and rescue complexity.</w:t>
            </w:r>
          </w:p>
        </w:tc>
      </w:tr>
      <w:tr w:rsidR="00D80A0F" w14:paraId="4149E7C5"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00794143" w14:textId="77777777" w:rsidR="00D80A0F" w:rsidRDefault="00000000">
            <w:pPr>
              <w:spacing w:after="0" w:line="240" w:lineRule="auto"/>
            </w:pPr>
            <w:r>
              <w:rPr>
                <w:sz w:val="16"/>
              </w:rPr>
              <w:t>Disease control confidence</w:t>
            </w:r>
          </w:p>
        </w:tc>
        <w:tc>
          <w:tcPr>
            <w:tcW w:w="4896" w:type="dxa"/>
            <w:tcBorders>
              <w:top w:val="single" w:sz="4" w:space="0" w:color="BFBFBF"/>
              <w:left w:val="single" w:sz="4" w:space="0" w:color="BFBFBF"/>
              <w:bottom w:val="single" w:sz="4" w:space="0" w:color="BFBFBF"/>
              <w:right w:val="single" w:sz="4" w:space="0" w:color="BFBFBF"/>
            </w:tcBorders>
          </w:tcPr>
          <w:p w14:paraId="46C9642E" w14:textId="77777777" w:rsidR="00D80A0F" w:rsidRDefault="00000000">
            <w:pPr>
              <w:spacing w:after="0" w:line="240" w:lineRule="auto"/>
            </w:pPr>
            <w:r>
              <w:rPr>
                <w:sz w:val="16"/>
              </w:rPr>
              <w:t>BCVA stability thresholds; CST/fluid recurrence; central reading center assessment; duration with controlled fluid; AUC for disease activity if feasible; rescue rationale adjudication.</w:t>
            </w:r>
          </w:p>
        </w:tc>
        <w:tc>
          <w:tcPr>
            <w:tcW w:w="3384" w:type="dxa"/>
            <w:tcBorders>
              <w:top w:val="single" w:sz="4" w:space="0" w:color="BFBFBF"/>
              <w:left w:val="single" w:sz="4" w:space="0" w:color="BFBFBF"/>
              <w:bottom w:val="single" w:sz="4" w:space="0" w:color="BFBFBF"/>
              <w:right w:val="single" w:sz="4" w:space="0" w:color="BFBFBF"/>
            </w:tcBorders>
          </w:tcPr>
          <w:p w14:paraId="3715256F" w14:textId="77777777" w:rsidR="00D80A0F" w:rsidRDefault="00000000">
            <w:pPr>
              <w:spacing w:after="0" w:line="240" w:lineRule="auto"/>
            </w:pPr>
            <w:r>
              <w:rPr>
                <w:sz w:val="16"/>
              </w:rPr>
              <w:t>Differentiates usable durability from silent undertreatment or delayed rescue.</w:t>
            </w:r>
          </w:p>
        </w:tc>
      </w:tr>
      <w:tr w:rsidR="00D80A0F" w14:paraId="791E416B"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4B4D3F3E" w14:textId="77777777" w:rsidR="00D80A0F" w:rsidRDefault="00000000">
            <w:pPr>
              <w:spacing w:after="0" w:line="240" w:lineRule="auto"/>
            </w:pPr>
            <w:r>
              <w:rPr>
                <w:sz w:val="16"/>
              </w:rPr>
              <w:t>Procedure experience</w:t>
            </w:r>
          </w:p>
        </w:tc>
        <w:tc>
          <w:tcPr>
            <w:tcW w:w="4896" w:type="dxa"/>
            <w:tcBorders>
              <w:top w:val="single" w:sz="4" w:space="0" w:color="BFBFBF"/>
              <w:left w:val="single" w:sz="4" w:space="0" w:color="BFBFBF"/>
              <w:bottom w:val="single" w:sz="4" w:space="0" w:color="BFBFBF"/>
              <w:right w:val="single" w:sz="4" w:space="0" w:color="BFBFBF"/>
            </w:tcBorders>
          </w:tcPr>
          <w:p w14:paraId="6D7FFCB8" w14:textId="77777777" w:rsidR="00D80A0F" w:rsidRDefault="00000000">
            <w:pPr>
              <w:spacing w:after="0" w:line="240" w:lineRule="auto"/>
            </w:pPr>
            <w:r>
              <w:rPr>
                <w:sz w:val="16"/>
              </w:rPr>
              <w:t>Pain score, anxiety, post-procedure visual symptoms, satisfaction, willingness to repeat, physician ease-of-use, procedure time, need for post-procedure follow-up.</w:t>
            </w:r>
          </w:p>
        </w:tc>
        <w:tc>
          <w:tcPr>
            <w:tcW w:w="3384" w:type="dxa"/>
            <w:tcBorders>
              <w:top w:val="single" w:sz="4" w:space="0" w:color="BFBFBF"/>
              <w:left w:val="single" w:sz="4" w:space="0" w:color="BFBFBF"/>
              <w:bottom w:val="single" w:sz="4" w:space="0" w:color="BFBFBF"/>
              <w:right w:val="single" w:sz="4" w:space="0" w:color="BFBFBF"/>
            </w:tcBorders>
          </w:tcPr>
          <w:p w14:paraId="620F1ED2" w14:textId="77777777" w:rsidR="00D80A0F" w:rsidRDefault="00000000">
            <w:pPr>
              <w:spacing w:after="0" w:line="240" w:lineRule="auto"/>
            </w:pPr>
            <w:r>
              <w:rPr>
                <w:sz w:val="16"/>
              </w:rPr>
              <w:t>Key contrast versus intravitreal depots/inserts, Susvimo, and gene therapies.</w:t>
            </w:r>
          </w:p>
        </w:tc>
      </w:tr>
      <w:tr w:rsidR="00D80A0F" w14:paraId="0D1DBA66"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18C08BA0" w14:textId="77777777" w:rsidR="00D80A0F" w:rsidRDefault="00000000">
            <w:pPr>
              <w:spacing w:after="0" w:line="240" w:lineRule="auto"/>
            </w:pPr>
            <w:r>
              <w:rPr>
                <w:sz w:val="16"/>
              </w:rPr>
              <w:t>Economic variables</w:t>
            </w:r>
          </w:p>
        </w:tc>
        <w:tc>
          <w:tcPr>
            <w:tcW w:w="4896" w:type="dxa"/>
            <w:tcBorders>
              <w:top w:val="single" w:sz="4" w:space="0" w:color="BFBFBF"/>
              <w:left w:val="single" w:sz="4" w:space="0" w:color="BFBFBF"/>
              <w:bottom w:val="single" w:sz="4" w:space="0" w:color="BFBFBF"/>
              <w:right w:val="single" w:sz="4" w:space="0" w:color="BFBFBF"/>
            </w:tcBorders>
          </w:tcPr>
          <w:p w14:paraId="2DB9463A" w14:textId="77777777" w:rsidR="00D80A0F" w:rsidRDefault="00000000">
            <w:pPr>
              <w:spacing w:after="0" w:line="240" w:lineRule="auto"/>
            </w:pPr>
            <w:r>
              <w:rPr>
                <w:sz w:val="16"/>
              </w:rPr>
              <w:t>Drug/procedure administrations, OCT/imaging counts, clinic minutes, supply and inventory factors, coding/payment assumptions, adverse-event resource use.</w:t>
            </w:r>
          </w:p>
        </w:tc>
        <w:tc>
          <w:tcPr>
            <w:tcW w:w="3384" w:type="dxa"/>
            <w:tcBorders>
              <w:top w:val="single" w:sz="4" w:space="0" w:color="BFBFBF"/>
              <w:left w:val="single" w:sz="4" w:space="0" w:color="BFBFBF"/>
              <w:bottom w:val="single" w:sz="4" w:space="0" w:color="BFBFBF"/>
              <w:right w:val="single" w:sz="4" w:space="0" w:color="BFBFBF"/>
            </w:tcBorders>
          </w:tcPr>
          <w:p w14:paraId="37C7F563" w14:textId="77777777" w:rsidR="00D80A0F" w:rsidRDefault="00000000">
            <w:pPr>
              <w:spacing w:after="0" w:line="240" w:lineRule="auto"/>
            </w:pPr>
            <w:r>
              <w:rPr>
                <w:sz w:val="16"/>
              </w:rPr>
              <w:t>Feeds budget-impact and practice-capacity models without waiting for low-resolution claims data.</w:t>
            </w:r>
          </w:p>
        </w:tc>
      </w:tr>
    </w:tbl>
    <w:p w14:paraId="3B650623" w14:textId="77777777" w:rsidR="00C0283A" w:rsidRPr="00C0283A" w:rsidRDefault="00C0283A" w:rsidP="00C0283A">
      <w:pPr>
        <w:rPr>
          <w:sz w:val="24"/>
        </w:rPr>
      </w:pPr>
    </w:p>
    <w:tbl>
      <w:tblPr>
        <w:tblW w:w="0" w:type="auto"/>
        <w:jc w:val="center"/>
        <w:tblLook w:val="04A0" w:firstRow="1" w:lastRow="0" w:firstColumn="1" w:lastColumn="0" w:noHBand="0" w:noVBand="1"/>
      </w:tblPr>
      <w:tblGrid>
        <w:gridCol w:w="10454"/>
      </w:tblGrid>
      <w:tr w:rsidR="00D80A0F" w14:paraId="51D4B994" w14:textId="77777777">
        <w:trPr>
          <w:jc w:val="center"/>
        </w:trPr>
        <w:tc>
          <w:tcPr>
            <w:tcW w:w="10454" w:type="dxa"/>
            <w:tcBorders>
              <w:top w:val="single" w:sz="8" w:space="0" w:color="70AD47"/>
              <w:left w:val="single" w:sz="8" w:space="0" w:color="70AD47"/>
              <w:bottom w:val="single" w:sz="8" w:space="0" w:color="70AD47"/>
              <w:right w:val="single" w:sz="8" w:space="0" w:color="70AD47"/>
            </w:tcBorders>
            <w:shd w:val="clear" w:color="auto" w:fill="E2F0D9"/>
          </w:tcPr>
          <w:p w14:paraId="48848FF4" w14:textId="77777777" w:rsidR="00D80A0F" w:rsidRDefault="00000000">
            <w:pPr>
              <w:spacing w:after="80"/>
            </w:pPr>
            <w:r>
              <w:rPr>
                <w:b/>
                <w:color w:val="1F4E79"/>
                <w:sz w:val="20"/>
              </w:rPr>
              <w:lastRenderedPageBreak/>
              <w:t>Protocol action</w:t>
            </w:r>
          </w:p>
          <w:p w14:paraId="209366A0" w14:textId="77777777" w:rsidR="00D80A0F" w:rsidRDefault="00000000">
            <w:pPr>
              <w:spacing w:after="0" w:line="252" w:lineRule="auto"/>
            </w:pPr>
            <w:r>
              <w:t>Create a short endpoint charter before Phase 3 lock: definitions for rescue, disease control, treatment-free interval, visit categories, and patient/caregiver time. Include these definitions in the SAP to prevent post hoc credibility issues.</w:t>
            </w:r>
          </w:p>
        </w:tc>
      </w:tr>
    </w:tbl>
    <w:p w14:paraId="68E0381B" w14:textId="77777777" w:rsidR="00D80A0F" w:rsidRDefault="00D80A0F">
      <w:pPr>
        <w:spacing w:after="40"/>
      </w:pPr>
    </w:p>
    <w:p w14:paraId="7CD55FBD" w14:textId="77777777" w:rsidR="00D80A0F" w:rsidRDefault="00000000">
      <w:pPr>
        <w:pStyle w:val="Heading2"/>
        <w:spacing w:before="160" w:after="100"/>
      </w:pPr>
      <w:r>
        <w:t>4.2 Project 2 - Trial-embedded HCRU, patient/caregiver, and practice-capacity substudy</w:t>
      </w:r>
    </w:p>
    <w:p w14:paraId="20C6C023" w14:textId="77777777" w:rsidR="00D80A0F" w:rsidRDefault="00000000">
      <w:r>
        <w:rPr>
          <w:b/>
        </w:rPr>
        <w:t xml:space="preserve">Why it is higher value than a generic burden survey: </w:t>
      </w:r>
      <w:r>
        <w:t xml:space="preserve">anti-VEGF burden is already documented in the literature, but competitor-adjusted value depends on how CLS-AX changes real workflows and real patient/caregiver time. This cannot be inferred cleanly from claims data because claims do not reliably capture OCT disease activity, rescue rationale, patient time, or care-partner involvement. </w:t>
      </w:r>
      <w:hyperlink r:id="rId76">
        <w:r>
          <w:rPr>
            <w:color w:val="0563C1"/>
            <w:u w:val="single"/>
          </w:rPr>
          <w:t>[21]</w:t>
        </w:r>
      </w:hyperlink>
      <w:r>
        <w:t xml:space="preserve"> </w:t>
      </w:r>
      <w:hyperlink r:id="rId77">
        <w:r>
          <w:rPr>
            <w:color w:val="0563C1"/>
            <w:u w:val="single"/>
          </w:rPr>
          <w:t>[22]</w:t>
        </w:r>
      </w:hyperlink>
      <w:r>
        <w:t xml:space="preserve"> </w:t>
      </w:r>
      <w:hyperlink r:id="rId78">
        <w:r>
          <w:rPr>
            <w:color w:val="0563C1"/>
            <w:u w:val="single"/>
          </w:rPr>
          <w:t>[24]</w:t>
        </w:r>
      </w:hyperlink>
      <w:r>
        <w:t xml:space="preserve"> </w:t>
      </w:r>
      <w:hyperlink r:id="rId79">
        <w:r>
          <w:rPr>
            <w:color w:val="0563C1"/>
            <w:u w:val="single"/>
          </w:rPr>
          <w:t>[25]</w:t>
        </w:r>
      </w:hyperlink>
    </w:p>
    <w:p w14:paraId="03C5B68A" w14:textId="77777777" w:rsidR="00D80A0F" w:rsidRDefault="00000000">
      <w:pPr>
        <w:spacing w:before="80" w:after="60"/>
      </w:pPr>
      <w:r>
        <w:rPr>
          <w:b/>
          <w:color w:val="1F4E79"/>
        </w:rPr>
        <w:t>Table 6. Trial-embedded burden and workflow substudy</w:t>
      </w:r>
    </w:p>
    <w:tbl>
      <w:tblPr>
        <w:tblStyle w:val="TableGrid"/>
        <w:tblW w:w="0" w:type="auto"/>
        <w:jc w:val="center"/>
        <w:tblLayout w:type="fixed"/>
        <w:tblLook w:val="04A0" w:firstRow="1" w:lastRow="0" w:firstColumn="1" w:lastColumn="0" w:noHBand="0" w:noVBand="1"/>
      </w:tblPr>
      <w:tblGrid>
        <w:gridCol w:w="1800"/>
        <w:gridCol w:w="4824"/>
        <w:gridCol w:w="3600"/>
      </w:tblGrid>
      <w:tr w:rsidR="00D80A0F" w14:paraId="367D4B1B" w14:textId="77777777">
        <w:trPr>
          <w:cantSplit/>
          <w:tblHeade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2F88BF9" w14:textId="77777777" w:rsidR="00D80A0F" w:rsidRDefault="00000000">
            <w:pPr>
              <w:spacing w:after="0"/>
            </w:pPr>
            <w:r>
              <w:rPr>
                <w:b/>
                <w:color w:val="FFFFFF"/>
                <w:sz w:val="17"/>
              </w:rPr>
              <w:t>Element</w:t>
            </w:r>
          </w:p>
        </w:tc>
        <w:tc>
          <w:tcPr>
            <w:tcW w:w="482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41EA002" w14:textId="77777777" w:rsidR="00D80A0F" w:rsidRDefault="00000000">
            <w:pPr>
              <w:spacing w:after="0"/>
            </w:pPr>
            <w:r>
              <w:rPr>
                <w:b/>
                <w:color w:val="FFFFFF"/>
                <w:sz w:val="17"/>
              </w:rPr>
              <w:t>Recommended design</w:t>
            </w:r>
          </w:p>
        </w:tc>
        <w:tc>
          <w:tcPr>
            <w:tcW w:w="360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5ED2A51" w14:textId="77777777" w:rsidR="00D80A0F" w:rsidRDefault="00000000">
            <w:pPr>
              <w:spacing w:after="0"/>
            </w:pPr>
            <w:r>
              <w:rPr>
                <w:b/>
                <w:color w:val="FFFFFF"/>
                <w:sz w:val="17"/>
              </w:rPr>
              <w:t>Output</w:t>
            </w:r>
          </w:p>
        </w:tc>
      </w:tr>
      <w:tr w:rsidR="00D80A0F" w14:paraId="02D11D64"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Pr>
          <w:p w14:paraId="7FB710F0" w14:textId="77777777" w:rsidR="00D80A0F" w:rsidRDefault="00000000">
            <w:pPr>
              <w:spacing w:after="0" w:line="240" w:lineRule="auto"/>
            </w:pPr>
            <w:r>
              <w:rPr>
                <w:sz w:val="16"/>
              </w:rPr>
              <w:t>Data capture</w:t>
            </w:r>
          </w:p>
        </w:tc>
        <w:tc>
          <w:tcPr>
            <w:tcW w:w="4824" w:type="dxa"/>
            <w:tcBorders>
              <w:top w:val="single" w:sz="4" w:space="0" w:color="BFBFBF"/>
              <w:left w:val="single" w:sz="4" w:space="0" w:color="BFBFBF"/>
              <w:bottom w:val="single" w:sz="4" w:space="0" w:color="BFBFBF"/>
              <w:right w:val="single" w:sz="4" w:space="0" w:color="BFBFBF"/>
            </w:tcBorders>
          </w:tcPr>
          <w:p w14:paraId="2D11C7FE" w14:textId="77777777" w:rsidR="00D80A0F" w:rsidRDefault="00000000">
            <w:pPr>
              <w:spacing w:after="0" w:line="240" w:lineRule="auto"/>
            </w:pPr>
            <w:r>
              <w:rPr>
                <w:sz w:val="16"/>
              </w:rPr>
              <w:t>Prospective ePRO and site log at baseline, dosing visits, rescue visits, and fixed assessment windows.</w:t>
            </w:r>
          </w:p>
        </w:tc>
        <w:tc>
          <w:tcPr>
            <w:tcW w:w="3600" w:type="dxa"/>
            <w:tcBorders>
              <w:top w:val="single" w:sz="4" w:space="0" w:color="BFBFBF"/>
              <w:left w:val="single" w:sz="4" w:space="0" w:color="BFBFBF"/>
              <w:bottom w:val="single" w:sz="4" w:space="0" w:color="BFBFBF"/>
              <w:right w:val="single" w:sz="4" w:space="0" w:color="BFBFBF"/>
            </w:tcBorders>
          </w:tcPr>
          <w:p w14:paraId="1E32180B" w14:textId="77777777" w:rsidR="00D80A0F" w:rsidRDefault="00000000">
            <w:pPr>
              <w:spacing w:after="0" w:line="240" w:lineRule="auto"/>
            </w:pPr>
            <w:r>
              <w:rPr>
                <w:sz w:val="16"/>
              </w:rPr>
              <w:t>Use a short module to minimize trial burden. Capture actual minutes/hours, not only satisfaction.</w:t>
            </w:r>
          </w:p>
        </w:tc>
      </w:tr>
      <w:tr w:rsidR="00D80A0F" w14:paraId="70037D73"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Pr>
          <w:p w14:paraId="2B612C11" w14:textId="77777777" w:rsidR="00D80A0F" w:rsidRDefault="00000000">
            <w:pPr>
              <w:spacing w:after="0" w:line="240" w:lineRule="auto"/>
            </w:pPr>
            <w:r>
              <w:rPr>
                <w:sz w:val="16"/>
              </w:rPr>
              <w:t>Patient and caregiver outcomes</w:t>
            </w:r>
          </w:p>
        </w:tc>
        <w:tc>
          <w:tcPr>
            <w:tcW w:w="4824" w:type="dxa"/>
            <w:tcBorders>
              <w:top w:val="single" w:sz="4" w:space="0" w:color="BFBFBF"/>
              <w:left w:val="single" w:sz="4" w:space="0" w:color="BFBFBF"/>
              <w:bottom w:val="single" w:sz="4" w:space="0" w:color="BFBFBF"/>
              <w:right w:val="single" w:sz="4" w:space="0" w:color="BFBFBF"/>
            </w:tcBorders>
          </w:tcPr>
          <w:p w14:paraId="49E45E7F" w14:textId="77777777" w:rsidR="00D80A0F" w:rsidRDefault="00000000">
            <w:pPr>
              <w:spacing w:after="0" w:line="240" w:lineRule="auto"/>
            </w:pPr>
            <w:r>
              <w:rPr>
                <w:sz w:val="16"/>
              </w:rPr>
              <w:t>Travel time, waiting time, procedure time, missed activities/work, care-partner attendance, out-of-pocket costs, treatment anxiety, post-procedure inconvenience, confidence in disease control.</w:t>
            </w:r>
          </w:p>
        </w:tc>
        <w:tc>
          <w:tcPr>
            <w:tcW w:w="3600" w:type="dxa"/>
            <w:tcBorders>
              <w:top w:val="single" w:sz="4" w:space="0" w:color="BFBFBF"/>
              <w:left w:val="single" w:sz="4" w:space="0" w:color="BFBFBF"/>
              <w:bottom w:val="single" w:sz="4" w:space="0" w:color="BFBFBF"/>
              <w:right w:val="single" w:sz="4" w:space="0" w:color="BFBFBF"/>
            </w:tcBorders>
          </w:tcPr>
          <w:p w14:paraId="590A0234" w14:textId="77777777" w:rsidR="00D80A0F" w:rsidRDefault="00000000">
            <w:pPr>
              <w:spacing w:after="0" w:line="240" w:lineRule="auto"/>
            </w:pPr>
            <w:r>
              <w:rPr>
                <w:sz w:val="16"/>
              </w:rPr>
              <w:t>Supports patient-centered value and payer narratives around broader burden.</w:t>
            </w:r>
          </w:p>
        </w:tc>
      </w:tr>
      <w:tr w:rsidR="00D80A0F" w14:paraId="48AACFA7"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Pr>
          <w:p w14:paraId="50F08895" w14:textId="77777777" w:rsidR="00D80A0F" w:rsidRDefault="00000000">
            <w:pPr>
              <w:spacing w:after="0" w:line="240" w:lineRule="auto"/>
            </w:pPr>
            <w:r>
              <w:rPr>
                <w:sz w:val="16"/>
              </w:rPr>
              <w:t>Practice outcomes</w:t>
            </w:r>
          </w:p>
        </w:tc>
        <w:tc>
          <w:tcPr>
            <w:tcW w:w="4824" w:type="dxa"/>
            <w:tcBorders>
              <w:top w:val="single" w:sz="4" w:space="0" w:color="BFBFBF"/>
              <w:left w:val="single" w:sz="4" w:space="0" w:color="BFBFBF"/>
              <w:bottom w:val="single" w:sz="4" w:space="0" w:color="BFBFBF"/>
              <w:right w:val="single" w:sz="4" w:space="0" w:color="BFBFBF"/>
            </w:tcBorders>
          </w:tcPr>
          <w:p w14:paraId="36B493DF" w14:textId="77777777" w:rsidR="00D80A0F" w:rsidRDefault="00000000">
            <w:pPr>
              <w:spacing w:after="0" w:line="240" w:lineRule="auto"/>
            </w:pPr>
            <w:r>
              <w:rPr>
                <w:sz w:val="16"/>
              </w:rPr>
              <w:t>Technician time, physician time, procedure room time, OCT/imaging load, cancellation/no-show, capacity released per controlled patient-year, inventory/buy-and-bill complexity.</w:t>
            </w:r>
          </w:p>
        </w:tc>
        <w:tc>
          <w:tcPr>
            <w:tcW w:w="3600" w:type="dxa"/>
            <w:tcBorders>
              <w:top w:val="single" w:sz="4" w:space="0" w:color="BFBFBF"/>
              <w:left w:val="single" w:sz="4" w:space="0" w:color="BFBFBF"/>
              <w:bottom w:val="single" w:sz="4" w:space="0" w:color="BFBFBF"/>
              <w:right w:val="single" w:sz="4" w:space="0" w:color="BFBFBF"/>
            </w:tcBorders>
          </w:tcPr>
          <w:p w14:paraId="4899A063" w14:textId="77777777" w:rsidR="00D80A0F" w:rsidRDefault="00000000">
            <w:pPr>
              <w:spacing w:after="0" w:line="240" w:lineRule="auto"/>
            </w:pPr>
            <w:r>
              <w:rPr>
                <w:sz w:val="16"/>
              </w:rPr>
              <w:t>Creates a differentiated practice adoption case.</w:t>
            </w:r>
          </w:p>
        </w:tc>
      </w:tr>
      <w:tr w:rsidR="00D80A0F" w14:paraId="50E22924"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Pr>
          <w:p w14:paraId="5BED23C4" w14:textId="77777777" w:rsidR="00D80A0F" w:rsidRDefault="00000000">
            <w:pPr>
              <w:spacing w:after="0" w:line="240" w:lineRule="auto"/>
            </w:pPr>
            <w:r>
              <w:rPr>
                <w:sz w:val="16"/>
              </w:rPr>
              <w:t>Analytic outputs</w:t>
            </w:r>
          </w:p>
        </w:tc>
        <w:tc>
          <w:tcPr>
            <w:tcW w:w="4824" w:type="dxa"/>
            <w:tcBorders>
              <w:top w:val="single" w:sz="4" w:space="0" w:color="BFBFBF"/>
              <w:left w:val="single" w:sz="4" w:space="0" w:color="BFBFBF"/>
              <w:bottom w:val="single" w:sz="4" w:space="0" w:color="BFBFBF"/>
              <w:right w:val="single" w:sz="4" w:space="0" w:color="BFBFBF"/>
            </w:tcBorders>
          </w:tcPr>
          <w:p w14:paraId="3381F7D6" w14:textId="77777777" w:rsidR="00D80A0F" w:rsidRDefault="00000000">
            <w:pPr>
              <w:spacing w:after="0" w:line="240" w:lineRule="auto"/>
            </w:pPr>
            <w:r>
              <w:rPr>
                <w:sz w:val="16"/>
              </w:rPr>
              <w:t>Burden-adjusted controlled patient-year; injections avoided; visits avoided; care-partner hours avoided; capacity gained per 100 treated eyes; scenario budget impact.</w:t>
            </w:r>
          </w:p>
        </w:tc>
        <w:tc>
          <w:tcPr>
            <w:tcW w:w="3600" w:type="dxa"/>
            <w:tcBorders>
              <w:top w:val="single" w:sz="4" w:space="0" w:color="BFBFBF"/>
              <w:left w:val="single" w:sz="4" w:space="0" w:color="BFBFBF"/>
              <w:bottom w:val="single" w:sz="4" w:space="0" w:color="BFBFBF"/>
              <w:right w:val="single" w:sz="4" w:space="0" w:color="BFBFBF"/>
            </w:tcBorders>
          </w:tcPr>
          <w:p w14:paraId="1C0D9A38" w14:textId="77777777" w:rsidR="00D80A0F" w:rsidRDefault="00000000">
            <w:pPr>
              <w:spacing w:after="0" w:line="240" w:lineRule="auto"/>
            </w:pPr>
            <w:r>
              <w:rPr>
                <w:sz w:val="16"/>
              </w:rPr>
              <w:t>More actionable than QALY-only framing for a Part B retina product.</w:t>
            </w:r>
          </w:p>
        </w:tc>
      </w:tr>
    </w:tbl>
    <w:p w14:paraId="0F5118E8" w14:textId="77777777" w:rsidR="00D80A0F" w:rsidRDefault="00000000">
      <w:pPr>
        <w:pStyle w:val="Heading2"/>
        <w:spacing w:before="160" w:after="100"/>
      </w:pPr>
      <w:r>
        <w:t>4.3 Project 3 - Living competitive evidence synthesis and scenario model</w:t>
      </w:r>
    </w:p>
    <w:p w14:paraId="3535330E" w14:textId="77777777" w:rsidR="00D80A0F" w:rsidRDefault="00000000">
      <w:r>
        <w:t xml:space="preserve">A traditional static literature review will be stale quickly. The recommended deliverable is a living evidence map and scenario model that updates when high-impact competitor data emerge: EYLEA HD q20 implementation, faricimab RWE, AXPAXLI NDA-supportive data, DURAVYU Phase 3 readouts, and gene therapy pivotal readouts. </w:t>
      </w:r>
      <w:hyperlink r:id="rId80">
        <w:r>
          <w:rPr>
            <w:color w:val="0563C1"/>
            <w:u w:val="single"/>
          </w:rPr>
          <w:t>[5]</w:t>
        </w:r>
      </w:hyperlink>
      <w:r>
        <w:t xml:space="preserve"> </w:t>
      </w:r>
      <w:hyperlink r:id="rId81">
        <w:r>
          <w:rPr>
            <w:color w:val="0563C1"/>
            <w:u w:val="single"/>
          </w:rPr>
          <w:t>[8]</w:t>
        </w:r>
      </w:hyperlink>
      <w:r>
        <w:t xml:space="preserve"> </w:t>
      </w:r>
      <w:hyperlink r:id="rId82">
        <w:r>
          <w:rPr>
            <w:color w:val="0563C1"/>
            <w:u w:val="single"/>
          </w:rPr>
          <w:t>[9]</w:t>
        </w:r>
      </w:hyperlink>
      <w:r>
        <w:t xml:space="preserve"> </w:t>
      </w:r>
      <w:hyperlink r:id="rId83">
        <w:r>
          <w:rPr>
            <w:color w:val="0563C1"/>
            <w:u w:val="single"/>
          </w:rPr>
          <w:t>[11]</w:t>
        </w:r>
      </w:hyperlink>
      <w:r>
        <w:t xml:space="preserve"> </w:t>
      </w:r>
      <w:hyperlink r:id="rId84">
        <w:r>
          <w:rPr>
            <w:color w:val="0563C1"/>
            <w:u w:val="single"/>
          </w:rPr>
          <w:t>[14]</w:t>
        </w:r>
      </w:hyperlink>
      <w:r>
        <w:t xml:space="preserve"> </w:t>
      </w:r>
      <w:hyperlink r:id="rId85">
        <w:r>
          <w:rPr>
            <w:color w:val="0563C1"/>
            <w:u w:val="single"/>
          </w:rPr>
          <w:t>[16]</w:t>
        </w:r>
      </w:hyperlink>
      <w:r>
        <w:t xml:space="preserve"> </w:t>
      </w:r>
      <w:hyperlink r:id="rId86">
        <w:r>
          <w:rPr>
            <w:color w:val="0563C1"/>
            <w:u w:val="single"/>
          </w:rPr>
          <w:t>[18]</w:t>
        </w:r>
      </w:hyperlink>
      <w:r>
        <w:t xml:space="preserve"> </w:t>
      </w:r>
      <w:hyperlink r:id="rId87">
        <w:r>
          <w:rPr>
            <w:color w:val="0563C1"/>
            <w:u w:val="single"/>
          </w:rPr>
          <w:t>[19]</w:t>
        </w:r>
      </w:hyperlink>
    </w:p>
    <w:p w14:paraId="54F47175" w14:textId="77777777" w:rsidR="00D80A0F" w:rsidRDefault="00000000">
      <w:pPr>
        <w:spacing w:before="80" w:after="60"/>
      </w:pPr>
      <w:r>
        <w:rPr>
          <w:b/>
          <w:color w:val="1F4E79"/>
        </w:rPr>
        <w:t>Table 7. Living competitor-adjusted evidence package</w:t>
      </w:r>
    </w:p>
    <w:tbl>
      <w:tblPr>
        <w:tblStyle w:val="TableGrid"/>
        <w:tblW w:w="0" w:type="auto"/>
        <w:jc w:val="center"/>
        <w:tblLayout w:type="fixed"/>
        <w:tblLook w:val="04A0" w:firstRow="1" w:lastRow="0" w:firstColumn="1" w:lastColumn="0" w:noHBand="0" w:noVBand="1"/>
      </w:tblPr>
      <w:tblGrid>
        <w:gridCol w:w="1944"/>
        <w:gridCol w:w="4896"/>
        <w:gridCol w:w="3384"/>
      </w:tblGrid>
      <w:tr w:rsidR="00D80A0F" w14:paraId="581B2390" w14:textId="77777777">
        <w:trPr>
          <w:cantSplit/>
          <w:tblHeader/>
          <w:jc w:val="center"/>
        </w:trPr>
        <w:tc>
          <w:tcPr>
            <w:tcW w:w="194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0B17962" w14:textId="77777777" w:rsidR="00D80A0F" w:rsidRDefault="00000000">
            <w:pPr>
              <w:spacing w:after="0"/>
            </w:pPr>
            <w:r>
              <w:rPr>
                <w:b/>
                <w:color w:val="FFFFFF"/>
                <w:sz w:val="17"/>
              </w:rPr>
              <w:t>Component</w:t>
            </w:r>
          </w:p>
        </w:tc>
        <w:tc>
          <w:tcPr>
            <w:tcW w:w="489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38A834F" w14:textId="77777777" w:rsidR="00D80A0F" w:rsidRDefault="00000000">
            <w:pPr>
              <w:spacing w:after="0"/>
            </w:pPr>
            <w:r>
              <w:rPr>
                <w:b/>
                <w:color w:val="FFFFFF"/>
                <w:sz w:val="17"/>
              </w:rPr>
              <w:t>Method</w:t>
            </w:r>
          </w:p>
        </w:tc>
        <w:tc>
          <w:tcPr>
            <w:tcW w:w="33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3DC5E52" w14:textId="77777777" w:rsidR="00D80A0F" w:rsidRDefault="00000000">
            <w:pPr>
              <w:spacing w:after="0"/>
            </w:pPr>
            <w:r>
              <w:rPr>
                <w:b/>
                <w:color w:val="FFFFFF"/>
                <w:sz w:val="17"/>
              </w:rPr>
              <w:t>Practical value</w:t>
            </w:r>
          </w:p>
        </w:tc>
      </w:tr>
      <w:tr w:rsidR="00D80A0F" w14:paraId="7EAFD2B0"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243038DC" w14:textId="77777777" w:rsidR="00D80A0F" w:rsidRDefault="00000000">
            <w:pPr>
              <w:spacing w:after="0" w:line="240" w:lineRule="auto"/>
            </w:pPr>
            <w:r>
              <w:rPr>
                <w:sz w:val="16"/>
              </w:rPr>
              <w:t>Base evidence map</w:t>
            </w:r>
          </w:p>
        </w:tc>
        <w:tc>
          <w:tcPr>
            <w:tcW w:w="4896" w:type="dxa"/>
            <w:tcBorders>
              <w:top w:val="single" w:sz="4" w:space="0" w:color="BFBFBF"/>
              <w:left w:val="single" w:sz="4" w:space="0" w:color="BFBFBF"/>
              <w:bottom w:val="single" w:sz="4" w:space="0" w:color="BFBFBF"/>
              <w:right w:val="single" w:sz="4" w:space="0" w:color="BFBFBF"/>
            </w:tcBorders>
          </w:tcPr>
          <w:p w14:paraId="690218D3" w14:textId="77777777" w:rsidR="00D80A0F" w:rsidRDefault="00000000">
            <w:pPr>
              <w:spacing w:after="0" w:line="240" w:lineRule="auto"/>
            </w:pPr>
            <w:r>
              <w:rPr>
                <w:sz w:val="16"/>
              </w:rPr>
              <w:t>Track efficacy, treatment interval, rescue, supplemental injections, safety, AE resource use, procedure type, patient eligibility, and trial population.</w:t>
            </w:r>
          </w:p>
        </w:tc>
        <w:tc>
          <w:tcPr>
            <w:tcW w:w="3384" w:type="dxa"/>
            <w:tcBorders>
              <w:top w:val="single" w:sz="4" w:space="0" w:color="BFBFBF"/>
              <w:left w:val="single" w:sz="4" w:space="0" w:color="BFBFBF"/>
              <w:bottom w:val="single" w:sz="4" w:space="0" w:color="BFBFBF"/>
              <w:right w:val="single" w:sz="4" w:space="0" w:color="BFBFBF"/>
            </w:tcBorders>
          </w:tcPr>
          <w:p w14:paraId="107F4CBE" w14:textId="77777777" w:rsidR="00D80A0F" w:rsidRDefault="00000000">
            <w:pPr>
              <w:spacing w:after="0" w:line="240" w:lineRule="auto"/>
            </w:pPr>
            <w:r>
              <w:rPr>
                <w:sz w:val="16"/>
              </w:rPr>
              <w:t>Avoid overclaiming with indirect comparisons when cross-trial differences are large.</w:t>
            </w:r>
          </w:p>
        </w:tc>
      </w:tr>
      <w:tr w:rsidR="00D80A0F" w14:paraId="1CF4E962"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3A329696" w14:textId="77777777" w:rsidR="00D80A0F" w:rsidRDefault="00000000">
            <w:pPr>
              <w:spacing w:after="0" w:line="240" w:lineRule="auto"/>
            </w:pPr>
            <w:r>
              <w:rPr>
                <w:sz w:val="16"/>
              </w:rPr>
              <w:t>NMA/MAIC feasibility</w:t>
            </w:r>
          </w:p>
        </w:tc>
        <w:tc>
          <w:tcPr>
            <w:tcW w:w="4896" w:type="dxa"/>
            <w:tcBorders>
              <w:top w:val="single" w:sz="4" w:space="0" w:color="BFBFBF"/>
              <w:left w:val="single" w:sz="4" w:space="0" w:color="BFBFBF"/>
              <w:bottom w:val="single" w:sz="4" w:space="0" w:color="BFBFBF"/>
              <w:right w:val="single" w:sz="4" w:space="0" w:color="BFBFBF"/>
            </w:tcBorders>
          </w:tcPr>
          <w:p w14:paraId="41C7BA81" w14:textId="77777777" w:rsidR="00D80A0F" w:rsidRDefault="00000000">
            <w:pPr>
              <w:spacing w:after="0" w:line="240" w:lineRule="auto"/>
            </w:pPr>
            <w:r>
              <w:rPr>
                <w:sz w:val="16"/>
              </w:rPr>
              <w:t>Assess whether anchored or population-adjusted comparisons are credible. Use MAIC only if common anchors and sufficient baseline covariates exist.</w:t>
            </w:r>
          </w:p>
        </w:tc>
        <w:tc>
          <w:tcPr>
            <w:tcW w:w="3384" w:type="dxa"/>
            <w:tcBorders>
              <w:top w:val="single" w:sz="4" w:space="0" w:color="BFBFBF"/>
              <w:left w:val="single" w:sz="4" w:space="0" w:color="BFBFBF"/>
              <w:bottom w:val="single" w:sz="4" w:space="0" w:color="BFBFBF"/>
              <w:right w:val="single" w:sz="4" w:space="0" w:color="BFBFBF"/>
            </w:tcBorders>
          </w:tcPr>
          <w:p w14:paraId="264AC1AE" w14:textId="77777777" w:rsidR="00D80A0F" w:rsidRDefault="00000000">
            <w:pPr>
              <w:spacing w:after="0" w:line="240" w:lineRule="auto"/>
            </w:pPr>
            <w:r>
              <w:rPr>
                <w:sz w:val="16"/>
              </w:rPr>
              <w:t>A negative feasibility assessment is still useful; it prevents weak payer-facing claims.</w:t>
            </w:r>
          </w:p>
        </w:tc>
      </w:tr>
      <w:tr w:rsidR="00D80A0F" w14:paraId="11A0D161"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7AAA1EC7" w14:textId="77777777" w:rsidR="00D80A0F" w:rsidRDefault="00000000">
            <w:pPr>
              <w:spacing w:after="0" w:line="240" w:lineRule="auto"/>
            </w:pPr>
            <w:r>
              <w:rPr>
                <w:sz w:val="16"/>
              </w:rPr>
              <w:t>Competitor readout scenarios</w:t>
            </w:r>
          </w:p>
        </w:tc>
        <w:tc>
          <w:tcPr>
            <w:tcW w:w="4896" w:type="dxa"/>
            <w:tcBorders>
              <w:top w:val="single" w:sz="4" w:space="0" w:color="BFBFBF"/>
              <w:left w:val="single" w:sz="4" w:space="0" w:color="BFBFBF"/>
              <w:bottom w:val="single" w:sz="4" w:space="0" w:color="BFBFBF"/>
              <w:right w:val="single" w:sz="4" w:space="0" w:color="BFBFBF"/>
            </w:tcBorders>
          </w:tcPr>
          <w:p w14:paraId="6B6BB1C0" w14:textId="77777777" w:rsidR="00D80A0F" w:rsidRDefault="00000000">
            <w:pPr>
              <w:spacing w:after="0" w:line="240" w:lineRule="auto"/>
            </w:pPr>
            <w:r>
              <w:rPr>
                <w:sz w:val="16"/>
              </w:rPr>
              <w:t>Pre-build scenarios for AXPAXLI approval timing, DURAVYU mid-2026 results, EYLEA HD adoption, and gene therapy efficacy/safety outcomes.</w:t>
            </w:r>
          </w:p>
        </w:tc>
        <w:tc>
          <w:tcPr>
            <w:tcW w:w="3384" w:type="dxa"/>
            <w:tcBorders>
              <w:top w:val="single" w:sz="4" w:space="0" w:color="BFBFBF"/>
              <w:left w:val="single" w:sz="4" w:space="0" w:color="BFBFBF"/>
              <w:bottom w:val="single" w:sz="4" w:space="0" w:color="BFBFBF"/>
              <w:right w:val="single" w:sz="4" w:space="0" w:color="BFBFBF"/>
            </w:tcBorders>
          </w:tcPr>
          <w:p w14:paraId="1D8EFD86" w14:textId="77777777" w:rsidR="00D80A0F" w:rsidRDefault="00000000">
            <w:pPr>
              <w:spacing w:after="0" w:line="240" w:lineRule="auto"/>
            </w:pPr>
            <w:r>
              <w:rPr>
                <w:sz w:val="16"/>
              </w:rPr>
              <w:t>Keeps the CLS-AX value story current for BD, payers, and Phase 3 steering decisions.</w:t>
            </w:r>
          </w:p>
        </w:tc>
      </w:tr>
      <w:tr w:rsidR="00D80A0F" w14:paraId="46F5C906"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618D2597" w14:textId="77777777" w:rsidR="00D80A0F" w:rsidRDefault="00000000">
            <w:pPr>
              <w:spacing w:after="0" w:line="240" w:lineRule="auto"/>
            </w:pPr>
            <w:r>
              <w:rPr>
                <w:sz w:val="16"/>
              </w:rPr>
              <w:t>Model shell</w:t>
            </w:r>
          </w:p>
        </w:tc>
        <w:tc>
          <w:tcPr>
            <w:tcW w:w="4896" w:type="dxa"/>
            <w:tcBorders>
              <w:top w:val="single" w:sz="4" w:space="0" w:color="BFBFBF"/>
              <w:left w:val="single" w:sz="4" w:space="0" w:color="BFBFBF"/>
              <w:bottom w:val="single" w:sz="4" w:space="0" w:color="BFBFBF"/>
              <w:right w:val="single" w:sz="4" w:space="0" w:color="BFBFBF"/>
            </w:tcBorders>
          </w:tcPr>
          <w:p w14:paraId="7EE80A43" w14:textId="77777777" w:rsidR="00D80A0F" w:rsidRDefault="00000000">
            <w:pPr>
              <w:spacing w:after="0" w:line="240" w:lineRule="auto"/>
            </w:pPr>
            <w:r>
              <w:rPr>
                <w:sz w:val="16"/>
              </w:rPr>
              <w:t>Build budget impact and cost-consequence model inputs now; populate with Phase 3 data later.</w:t>
            </w:r>
          </w:p>
        </w:tc>
        <w:tc>
          <w:tcPr>
            <w:tcW w:w="3384" w:type="dxa"/>
            <w:tcBorders>
              <w:top w:val="single" w:sz="4" w:space="0" w:color="BFBFBF"/>
              <w:left w:val="single" w:sz="4" w:space="0" w:color="BFBFBF"/>
              <w:bottom w:val="single" w:sz="4" w:space="0" w:color="BFBFBF"/>
              <w:right w:val="single" w:sz="4" w:space="0" w:color="BFBFBF"/>
            </w:tcBorders>
          </w:tcPr>
          <w:p w14:paraId="26DEA893" w14:textId="77777777" w:rsidR="00D80A0F" w:rsidRDefault="00000000">
            <w:pPr>
              <w:spacing w:after="0" w:line="240" w:lineRule="auto"/>
            </w:pPr>
            <w:r>
              <w:rPr>
                <w:sz w:val="16"/>
              </w:rPr>
              <w:t>Enables fast AMCP and payer response without premature cost-effectiveness claims.</w:t>
            </w:r>
          </w:p>
        </w:tc>
      </w:tr>
    </w:tbl>
    <w:p w14:paraId="5E2DB8CE" w14:textId="77777777" w:rsidR="00D80A0F" w:rsidRDefault="00000000">
      <w:pPr>
        <w:pStyle w:val="Heading2"/>
        <w:spacing w:before="160" w:after="100"/>
      </w:pPr>
      <w:r>
        <w:t>4.4 Project 4 - Suprachoroidal procedure safety, acceptability, and repeatability module</w:t>
      </w:r>
    </w:p>
    <w:p w14:paraId="1B179792" w14:textId="77777777" w:rsidR="00D80A0F" w:rsidRDefault="00000000">
      <w:r>
        <w:t xml:space="preserve">CLS-AX's most defensible contrast is not simply that it lasts longer; it is the combination of targeted suprachoroidal delivery, in-office repeatability, and potential compartmentalization away from the vitreous and anterior chamber. Clearside's public materials explicitly frame CLS-AX this way. </w:t>
      </w:r>
      <w:hyperlink r:id="rId88">
        <w:r>
          <w:rPr>
            <w:color w:val="0563C1"/>
            <w:u w:val="single"/>
          </w:rPr>
          <w:t>[1]</w:t>
        </w:r>
      </w:hyperlink>
    </w:p>
    <w:p w14:paraId="731E829E" w14:textId="77777777" w:rsidR="00D80A0F" w:rsidRDefault="00000000">
      <w:pPr>
        <w:spacing w:before="80" w:after="60"/>
      </w:pPr>
      <w:r>
        <w:rPr>
          <w:b/>
          <w:color w:val="1F4E79"/>
        </w:rPr>
        <w:t>Table 8. Procedure-specific evidence module</w:t>
      </w:r>
    </w:p>
    <w:tbl>
      <w:tblPr>
        <w:tblStyle w:val="TableGrid"/>
        <w:tblW w:w="0" w:type="auto"/>
        <w:jc w:val="center"/>
        <w:tblLayout w:type="fixed"/>
        <w:tblLook w:val="04A0" w:firstRow="1" w:lastRow="0" w:firstColumn="1" w:lastColumn="0" w:noHBand="0" w:noVBand="1"/>
      </w:tblPr>
      <w:tblGrid>
        <w:gridCol w:w="1944"/>
        <w:gridCol w:w="4896"/>
        <w:gridCol w:w="3384"/>
      </w:tblGrid>
      <w:tr w:rsidR="00D80A0F" w14:paraId="760B4651" w14:textId="77777777">
        <w:trPr>
          <w:cantSplit/>
          <w:tblHeader/>
          <w:jc w:val="center"/>
        </w:trPr>
        <w:tc>
          <w:tcPr>
            <w:tcW w:w="194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485EBA5" w14:textId="77777777" w:rsidR="00D80A0F" w:rsidRDefault="00000000">
            <w:pPr>
              <w:spacing w:after="0"/>
            </w:pPr>
            <w:r>
              <w:rPr>
                <w:b/>
                <w:color w:val="FFFFFF"/>
                <w:sz w:val="17"/>
              </w:rPr>
              <w:t>Domain</w:t>
            </w:r>
          </w:p>
        </w:tc>
        <w:tc>
          <w:tcPr>
            <w:tcW w:w="489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0AE09B5" w14:textId="77777777" w:rsidR="00D80A0F" w:rsidRDefault="00000000">
            <w:pPr>
              <w:spacing w:after="0"/>
            </w:pPr>
            <w:r>
              <w:rPr>
                <w:b/>
                <w:color w:val="FFFFFF"/>
                <w:sz w:val="17"/>
              </w:rPr>
              <w:t>Evidence to collect</w:t>
            </w:r>
          </w:p>
        </w:tc>
        <w:tc>
          <w:tcPr>
            <w:tcW w:w="33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FB74CD4" w14:textId="77777777" w:rsidR="00D80A0F" w:rsidRDefault="00000000">
            <w:pPr>
              <w:spacing w:after="0"/>
            </w:pPr>
            <w:r>
              <w:rPr>
                <w:b/>
                <w:color w:val="FFFFFF"/>
                <w:sz w:val="17"/>
              </w:rPr>
              <w:t>Why it matters</w:t>
            </w:r>
          </w:p>
        </w:tc>
      </w:tr>
      <w:tr w:rsidR="00D80A0F" w14:paraId="397499D7"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29958172" w14:textId="77777777" w:rsidR="00D80A0F" w:rsidRDefault="00000000">
            <w:pPr>
              <w:spacing w:after="0" w:line="240" w:lineRule="auto"/>
            </w:pPr>
            <w:r>
              <w:rPr>
                <w:sz w:val="16"/>
              </w:rPr>
              <w:t>Patient-facing endpoints</w:t>
            </w:r>
          </w:p>
        </w:tc>
        <w:tc>
          <w:tcPr>
            <w:tcW w:w="4896" w:type="dxa"/>
            <w:tcBorders>
              <w:top w:val="single" w:sz="4" w:space="0" w:color="BFBFBF"/>
              <w:left w:val="single" w:sz="4" w:space="0" w:color="BFBFBF"/>
              <w:bottom w:val="single" w:sz="4" w:space="0" w:color="BFBFBF"/>
              <w:right w:val="single" w:sz="4" w:space="0" w:color="BFBFBF"/>
            </w:tcBorders>
          </w:tcPr>
          <w:p w14:paraId="6793BB2B" w14:textId="77777777" w:rsidR="00D80A0F" w:rsidRDefault="00000000">
            <w:pPr>
              <w:spacing w:after="0" w:line="240" w:lineRule="auto"/>
            </w:pPr>
            <w:r>
              <w:rPr>
                <w:sz w:val="16"/>
              </w:rPr>
              <w:t>Pain, anxiety, visual symptoms/floaters, treatment confidence, willingness to repeat, preference after experience, and care-partner perception.</w:t>
            </w:r>
          </w:p>
        </w:tc>
        <w:tc>
          <w:tcPr>
            <w:tcW w:w="3384" w:type="dxa"/>
            <w:tcBorders>
              <w:top w:val="single" w:sz="4" w:space="0" w:color="BFBFBF"/>
              <w:left w:val="single" w:sz="4" w:space="0" w:color="BFBFBF"/>
              <w:bottom w:val="single" w:sz="4" w:space="0" w:color="BFBFBF"/>
              <w:right w:val="single" w:sz="4" w:space="0" w:color="BFBFBF"/>
            </w:tcBorders>
          </w:tcPr>
          <w:p w14:paraId="298048C6" w14:textId="77777777" w:rsidR="00D80A0F" w:rsidRDefault="00000000">
            <w:pPr>
              <w:spacing w:after="0" w:line="240" w:lineRule="auto"/>
            </w:pPr>
            <w:r>
              <w:rPr>
                <w:sz w:val="16"/>
              </w:rPr>
              <w:t>Creates evidence for patient counseling and differentiation versus intravitreal depots/inserts and gene therapies.</w:t>
            </w:r>
          </w:p>
        </w:tc>
      </w:tr>
      <w:tr w:rsidR="00D80A0F" w14:paraId="2A80A761"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493E92A4" w14:textId="77777777" w:rsidR="00D80A0F" w:rsidRDefault="00000000">
            <w:pPr>
              <w:spacing w:after="0" w:line="240" w:lineRule="auto"/>
            </w:pPr>
            <w:r>
              <w:rPr>
                <w:sz w:val="16"/>
              </w:rPr>
              <w:t>Physician-facing endpoints</w:t>
            </w:r>
          </w:p>
        </w:tc>
        <w:tc>
          <w:tcPr>
            <w:tcW w:w="4896" w:type="dxa"/>
            <w:tcBorders>
              <w:top w:val="single" w:sz="4" w:space="0" w:color="BFBFBF"/>
              <w:left w:val="single" w:sz="4" w:space="0" w:color="BFBFBF"/>
              <w:bottom w:val="single" w:sz="4" w:space="0" w:color="BFBFBF"/>
              <w:right w:val="single" w:sz="4" w:space="0" w:color="BFBFBF"/>
            </w:tcBorders>
          </w:tcPr>
          <w:p w14:paraId="008C66A3" w14:textId="77777777" w:rsidR="00D80A0F" w:rsidRDefault="00000000">
            <w:pPr>
              <w:spacing w:after="0" w:line="240" w:lineRule="auto"/>
            </w:pPr>
            <w:r>
              <w:rPr>
                <w:sz w:val="16"/>
              </w:rPr>
              <w:t>Procedure success, learning curve, time to administer, device handling, need for re-attempts, re-dosing confidence, rescue compatibility.</w:t>
            </w:r>
          </w:p>
        </w:tc>
        <w:tc>
          <w:tcPr>
            <w:tcW w:w="3384" w:type="dxa"/>
            <w:tcBorders>
              <w:top w:val="single" w:sz="4" w:space="0" w:color="BFBFBF"/>
              <w:left w:val="single" w:sz="4" w:space="0" w:color="BFBFBF"/>
              <w:bottom w:val="single" w:sz="4" w:space="0" w:color="BFBFBF"/>
              <w:right w:val="single" w:sz="4" w:space="0" w:color="BFBFBF"/>
            </w:tcBorders>
          </w:tcPr>
          <w:p w14:paraId="254A3284" w14:textId="77777777" w:rsidR="00D80A0F" w:rsidRDefault="00000000">
            <w:pPr>
              <w:spacing w:after="0" w:line="240" w:lineRule="auto"/>
            </w:pPr>
            <w:r>
              <w:rPr>
                <w:sz w:val="16"/>
              </w:rPr>
              <w:t>Supports adoption by retina specialists and high-throughput practices.</w:t>
            </w:r>
          </w:p>
        </w:tc>
      </w:tr>
      <w:tr w:rsidR="00D80A0F" w14:paraId="31429642"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24A206C6" w14:textId="77777777" w:rsidR="00D80A0F" w:rsidRDefault="00000000">
            <w:pPr>
              <w:spacing w:after="0" w:line="240" w:lineRule="auto"/>
            </w:pPr>
            <w:r>
              <w:rPr>
                <w:sz w:val="16"/>
              </w:rPr>
              <w:t>Safety endpoints</w:t>
            </w:r>
          </w:p>
        </w:tc>
        <w:tc>
          <w:tcPr>
            <w:tcW w:w="4896" w:type="dxa"/>
            <w:tcBorders>
              <w:top w:val="single" w:sz="4" w:space="0" w:color="BFBFBF"/>
              <w:left w:val="single" w:sz="4" w:space="0" w:color="BFBFBF"/>
              <w:bottom w:val="single" w:sz="4" w:space="0" w:color="BFBFBF"/>
              <w:right w:val="single" w:sz="4" w:space="0" w:color="BFBFBF"/>
            </w:tcBorders>
          </w:tcPr>
          <w:p w14:paraId="76EAA38B" w14:textId="77777777" w:rsidR="00D80A0F" w:rsidRDefault="00000000">
            <w:pPr>
              <w:spacing w:after="0" w:line="240" w:lineRule="auto"/>
            </w:pPr>
            <w:r>
              <w:rPr>
                <w:sz w:val="16"/>
              </w:rPr>
              <w:t>Ocular inflammation, IOP, endophthalmitis, retinal vasculitis, cataract, hemorrhage, anterior segment effects, serious ocular AEs, systemic AEs, and repeat-dose safety.</w:t>
            </w:r>
          </w:p>
        </w:tc>
        <w:tc>
          <w:tcPr>
            <w:tcW w:w="3384" w:type="dxa"/>
            <w:tcBorders>
              <w:top w:val="single" w:sz="4" w:space="0" w:color="BFBFBF"/>
              <w:left w:val="single" w:sz="4" w:space="0" w:color="BFBFBF"/>
              <w:bottom w:val="single" w:sz="4" w:space="0" w:color="BFBFBF"/>
              <w:right w:val="single" w:sz="4" w:space="0" w:color="BFBFBF"/>
            </w:tcBorders>
          </w:tcPr>
          <w:p w14:paraId="22910A3D" w14:textId="77777777" w:rsidR="00D80A0F" w:rsidRDefault="00000000">
            <w:pPr>
              <w:spacing w:after="0" w:line="240" w:lineRule="auto"/>
            </w:pPr>
            <w:r>
              <w:rPr>
                <w:sz w:val="16"/>
              </w:rPr>
              <w:t>Payers and physicians will scrutinize procedure-specific risks, especially after Susvimo and gene therapy experiences.</w:t>
            </w:r>
            <w:r>
              <w:t xml:space="preserve"> </w:t>
            </w:r>
            <w:hyperlink r:id="rId89">
              <w:r>
                <w:rPr>
                  <w:color w:val="0563C1"/>
                  <w:u w:val="single"/>
                </w:rPr>
                <w:t>[10]</w:t>
              </w:r>
            </w:hyperlink>
          </w:p>
        </w:tc>
      </w:tr>
      <w:tr w:rsidR="00D80A0F" w14:paraId="486B90BA"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628B427B" w14:textId="77777777" w:rsidR="00D80A0F" w:rsidRDefault="00000000">
            <w:pPr>
              <w:spacing w:after="0" w:line="240" w:lineRule="auto"/>
            </w:pPr>
            <w:r>
              <w:rPr>
                <w:sz w:val="16"/>
              </w:rPr>
              <w:lastRenderedPageBreak/>
              <w:t>Comparative framing</w:t>
            </w:r>
          </w:p>
        </w:tc>
        <w:tc>
          <w:tcPr>
            <w:tcW w:w="4896" w:type="dxa"/>
            <w:tcBorders>
              <w:top w:val="single" w:sz="4" w:space="0" w:color="BFBFBF"/>
              <w:left w:val="single" w:sz="4" w:space="0" w:color="BFBFBF"/>
              <w:bottom w:val="single" w:sz="4" w:space="0" w:color="BFBFBF"/>
              <w:right w:val="single" w:sz="4" w:space="0" w:color="BFBFBF"/>
            </w:tcBorders>
          </w:tcPr>
          <w:p w14:paraId="13826717" w14:textId="77777777" w:rsidR="00D80A0F" w:rsidRDefault="00000000">
            <w:pPr>
              <w:spacing w:after="0" w:line="240" w:lineRule="auto"/>
            </w:pPr>
            <w:r>
              <w:rPr>
                <w:sz w:val="16"/>
              </w:rPr>
              <w:t>Do not claim superiority without direct data. Instead, prospectively generate a 'procedure profile' that can be compared qualitatively and quantitatively where appropriate.</w:t>
            </w:r>
          </w:p>
        </w:tc>
        <w:tc>
          <w:tcPr>
            <w:tcW w:w="3384" w:type="dxa"/>
            <w:tcBorders>
              <w:top w:val="single" w:sz="4" w:space="0" w:color="BFBFBF"/>
              <w:left w:val="single" w:sz="4" w:space="0" w:color="BFBFBF"/>
              <w:bottom w:val="single" w:sz="4" w:space="0" w:color="BFBFBF"/>
              <w:right w:val="single" w:sz="4" w:space="0" w:color="BFBFBF"/>
            </w:tcBorders>
          </w:tcPr>
          <w:p w14:paraId="0CB9A13E" w14:textId="77777777" w:rsidR="00D80A0F" w:rsidRDefault="00000000">
            <w:pPr>
              <w:spacing w:after="0" w:line="240" w:lineRule="auto"/>
            </w:pPr>
            <w:r>
              <w:rPr>
                <w:sz w:val="16"/>
              </w:rPr>
              <w:t>Credible differentiation without overreach.</w:t>
            </w:r>
          </w:p>
        </w:tc>
      </w:tr>
    </w:tbl>
    <w:p w14:paraId="619C1B2A" w14:textId="77777777" w:rsidR="00D80A0F" w:rsidRDefault="00000000">
      <w:pPr>
        <w:pStyle w:val="Heading2"/>
        <w:spacing w:before="160" w:after="100"/>
      </w:pPr>
      <w:r>
        <w:t>4.5 Project 5 - Responder and patient-selection analytics</w:t>
      </w:r>
    </w:p>
    <w:p w14:paraId="3CCB142B" w14:textId="77777777" w:rsidR="00D80A0F" w:rsidRDefault="00000000">
      <w:r>
        <w:t>Because approved agents already support long intervals for some patients, CLS-AX should identify where it adds the most value: patients with high injection burden, inconsistent adherence, suboptimal response, bilateral disease, high caregiver dependence, or high clinic access burden. This is a physician and payer project, not only a scientific project.</w:t>
      </w:r>
    </w:p>
    <w:p w14:paraId="55D17D67" w14:textId="77777777" w:rsidR="00D80A0F" w:rsidRDefault="00000000">
      <w:pPr>
        <w:spacing w:before="80" w:after="60"/>
      </w:pPr>
      <w:r>
        <w:rPr>
          <w:b/>
          <w:color w:val="1F4E79"/>
        </w:rPr>
        <w:t>Table 9. Patient-selection analytics</w:t>
      </w:r>
    </w:p>
    <w:tbl>
      <w:tblPr>
        <w:tblStyle w:val="TableGrid"/>
        <w:tblW w:w="0" w:type="auto"/>
        <w:jc w:val="center"/>
        <w:tblLayout w:type="fixed"/>
        <w:tblLook w:val="04A0" w:firstRow="1" w:lastRow="0" w:firstColumn="1" w:lastColumn="0" w:noHBand="0" w:noVBand="1"/>
      </w:tblPr>
      <w:tblGrid>
        <w:gridCol w:w="1944"/>
        <w:gridCol w:w="4896"/>
        <w:gridCol w:w="3384"/>
      </w:tblGrid>
      <w:tr w:rsidR="00D80A0F" w14:paraId="7D78282D" w14:textId="77777777">
        <w:trPr>
          <w:cantSplit/>
          <w:tblHeader/>
          <w:jc w:val="center"/>
        </w:trPr>
        <w:tc>
          <w:tcPr>
            <w:tcW w:w="194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0C4B2B4" w14:textId="77777777" w:rsidR="00D80A0F" w:rsidRDefault="00000000">
            <w:pPr>
              <w:spacing w:after="0"/>
            </w:pPr>
            <w:r>
              <w:rPr>
                <w:b/>
                <w:color w:val="FFFFFF"/>
                <w:sz w:val="17"/>
              </w:rPr>
              <w:t>Element</w:t>
            </w:r>
          </w:p>
        </w:tc>
        <w:tc>
          <w:tcPr>
            <w:tcW w:w="489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5089EDF" w14:textId="77777777" w:rsidR="00D80A0F" w:rsidRDefault="00000000">
            <w:pPr>
              <w:spacing w:after="0"/>
            </w:pPr>
            <w:r>
              <w:rPr>
                <w:b/>
                <w:color w:val="FFFFFF"/>
                <w:sz w:val="17"/>
              </w:rPr>
              <w:t>Recommended approach</w:t>
            </w:r>
          </w:p>
        </w:tc>
        <w:tc>
          <w:tcPr>
            <w:tcW w:w="33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6C3B809" w14:textId="77777777" w:rsidR="00D80A0F" w:rsidRDefault="00000000">
            <w:pPr>
              <w:spacing w:after="0"/>
            </w:pPr>
            <w:r>
              <w:rPr>
                <w:b/>
                <w:color w:val="FFFFFF"/>
                <w:sz w:val="17"/>
              </w:rPr>
              <w:t>Value</w:t>
            </w:r>
          </w:p>
        </w:tc>
      </w:tr>
      <w:tr w:rsidR="00D80A0F" w14:paraId="79140FB9"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05AA50AB" w14:textId="77777777" w:rsidR="00D80A0F" w:rsidRDefault="00000000">
            <w:pPr>
              <w:spacing w:after="0" w:line="240" w:lineRule="auto"/>
            </w:pPr>
            <w:r>
              <w:rPr>
                <w:sz w:val="16"/>
              </w:rPr>
              <w:t>Candidate predictors</w:t>
            </w:r>
          </w:p>
        </w:tc>
        <w:tc>
          <w:tcPr>
            <w:tcW w:w="4896" w:type="dxa"/>
            <w:tcBorders>
              <w:top w:val="single" w:sz="4" w:space="0" w:color="BFBFBF"/>
              <w:left w:val="single" w:sz="4" w:space="0" w:color="BFBFBF"/>
              <w:bottom w:val="single" w:sz="4" w:space="0" w:color="BFBFBF"/>
              <w:right w:val="single" w:sz="4" w:space="0" w:color="BFBFBF"/>
            </w:tcBorders>
          </w:tcPr>
          <w:p w14:paraId="71E56F6F" w14:textId="77777777" w:rsidR="00D80A0F" w:rsidRDefault="00000000">
            <w:pPr>
              <w:spacing w:after="0" w:line="240" w:lineRule="auto"/>
            </w:pPr>
            <w:r>
              <w:rPr>
                <w:sz w:val="16"/>
              </w:rPr>
              <w:t>Prior anti-VEGF frequency, interval tolerance, baseline CST/fluid compartments, lesion type, fibrosis/atrophy status, bilateral treatment, baseline BCVA, injection anxiety, caregiver dependence, travel burden.</w:t>
            </w:r>
          </w:p>
        </w:tc>
        <w:tc>
          <w:tcPr>
            <w:tcW w:w="3384" w:type="dxa"/>
            <w:tcBorders>
              <w:top w:val="single" w:sz="4" w:space="0" w:color="BFBFBF"/>
              <w:left w:val="single" w:sz="4" w:space="0" w:color="BFBFBF"/>
              <w:bottom w:val="single" w:sz="4" w:space="0" w:color="BFBFBF"/>
              <w:right w:val="single" w:sz="4" w:space="0" w:color="BFBFBF"/>
            </w:tcBorders>
          </w:tcPr>
          <w:p w14:paraId="09F0E1D3" w14:textId="77777777" w:rsidR="00D80A0F" w:rsidRDefault="00000000">
            <w:pPr>
              <w:spacing w:after="0" w:line="240" w:lineRule="auto"/>
            </w:pPr>
            <w:r>
              <w:rPr>
                <w:sz w:val="16"/>
              </w:rPr>
              <w:t>Pre-specify in SAP where possible; avoid purely exploratory launch claims.</w:t>
            </w:r>
          </w:p>
        </w:tc>
      </w:tr>
      <w:tr w:rsidR="00D80A0F" w14:paraId="4D71AA97"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11AC35A1" w14:textId="77777777" w:rsidR="00D80A0F" w:rsidRDefault="00000000">
            <w:pPr>
              <w:spacing w:after="0" w:line="240" w:lineRule="auto"/>
            </w:pPr>
            <w:r>
              <w:rPr>
                <w:sz w:val="16"/>
              </w:rPr>
              <w:t>Outputs</w:t>
            </w:r>
          </w:p>
        </w:tc>
        <w:tc>
          <w:tcPr>
            <w:tcW w:w="4896" w:type="dxa"/>
            <w:tcBorders>
              <w:top w:val="single" w:sz="4" w:space="0" w:color="BFBFBF"/>
              <w:left w:val="single" w:sz="4" w:space="0" w:color="BFBFBF"/>
              <w:bottom w:val="single" w:sz="4" w:space="0" w:color="BFBFBF"/>
              <w:right w:val="single" w:sz="4" w:space="0" w:color="BFBFBF"/>
            </w:tcBorders>
          </w:tcPr>
          <w:p w14:paraId="169219EA" w14:textId="77777777" w:rsidR="00D80A0F" w:rsidRDefault="00000000">
            <w:pPr>
              <w:spacing w:after="0" w:line="240" w:lineRule="auto"/>
            </w:pPr>
            <w:r>
              <w:rPr>
                <w:sz w:val="16"/>
              </w:rPr>
              <w:t>Probability of remaining rescue-free; predicted q16/q20/q24 success; risk of reactivation; expected visits avoided; expected caregiver hours avoided.</w:t>
            </w:r>
          </w:p>
        </w:tc>
        <w:tc>
          <w:tcPr>
            <w:tcW w:w="3384" w:type="dxa"/>
            <w:tcBorders>
              <w:top w:val="single" w:sz="4" w:space="0" w:color="BFBFBF"/>
              <w:left w:val="single" w:sz="4" w:space="0" w:color="BFBFBF"/>
              <w:bottom w:val="single" w:sz="4" w:space="0" w:color="BFBFBF"/>
              <w:right w:val="single" w:sz="4" w:space="0" w:color="BFBFBF"/>
            </w:tcBorders>
          </w:tcPr>
          <w:p w14:paraId="7DF8D0DD" w14:textId="77777777" w:rsidR="00D80A0F" w:rsidRDefault="00000000">
            <w:pPr>
              <w:spacing w:after="0" w:line="240" w:lineRule="auto"/>
            </w:pPr>
            <w:r>
              <w:rPr>
                <w:sz w:val="16"/>
              </w:rPr>
              <w:t>Enables patient selection and payer segmentation.</w:t>
            </w:r>
          </w:p>
        </w:tc>
      </w:tr>
      <w:tr w:rsidR="00D80A0F" w14:paraId="08189EC4"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1CAA49E2" w14:textId="77777777" w:rsidR="00D80A0F" w:rsidRDefault="00000000">
            <w:pPr>
              <w:spacing w:after="0" w:line="240" w:lineRule="auto"/>
            </w:pPr>
            <w:r>
              <w:rPr>
                <w:sz w:val="16"/>
              </w:rPr>
              <w:t>Data sources</w:t>
            </w:r>
          </w:p>
        </w:tc>
        <w:tc>
          <w:tcPr>
            <w:tcW w:w="4896" w:type="dxa"/>
            <w:tcBorders>
              <w:top w:val="single" w:sz="4" w:space="0" w:color="BFBFBF"/>
              <w:left w:val="single" w:sz="4" w:space="0" w:color="BFBFBF"/>
              <w:bottom w:val="single" w:sz="4" w:space="0" w:color="BFBFBF"/>
              <w:right w:val="single" w:sz="4" w:space="0" w:color="BFBFBF"/>
            </w:tcBorders>
          </w:tcPr>
          <w:p w14:paraId="4BE13393" w14:textId="77777777" w:rsidR="00D80A0F" w:rsidRDefault="00000000">
            <w:pPr>
              <w:spacing w:after="0" w:line="240" w:lineRule="auto"/>
            </w:pPr>
            <w:r>
              <w:rPr>
                <w:sz w:val="16"/>
              </w:rPr>
              <w:t>ODYSSEY individual patient data, Phase 3 eCRF/OCT, central reading center outputs, site logs, patient/caregiver ePROs, registry data.</w:t>
            </w:r>
          </w:p>
        </w:tc>
        <w:tc>
          <w:tcPr>
            <w:tcW w:w="3384" w:type="dxa"/>
            <w:tcBorders>
              <w:top w:val="single" w:sz="4" w:space="0" w:color="BFBFBF"/>
              <w:left w:val="single" w:sz="4" w:space="0" w:color="BFBFBF"/>
              <w:bottom w:val="single" w:sz="4" w:space="0" w:color="BFBFBF"/>
              <w:right w:val="single" w:sz="4" w:space="0" w:color="BFBFBF"/>
            </w:tcBorders>
          </w:tcPr>
          <w:p w14:paraId="19846B64" w14:textId="77777777" w:rsidR="00D80A0F" w:rsidRDefault="00000000">
            <w:pPr>
              <w:spacing w:after="0" w:line="240" w:lineRule="auto"/>
            </w:pPr>
            <w:r>
              <w:rPr>
                <w:sz w:val="16"/>
              </w:rPr>
              <w:t>Creates a bridge from trial evidence to RWE.</w:t>
            </w:r>
          </w:p>
        </w:tc>
      </w:tr>
    </w:tbl>
    <w:p w14:paraId="338F8AF6" w14:textId="77777777" w:rsidR="00D80A0F" w:rsidRDefault="00000000">
      <w:pPr>
        <w:pStyle w:val="Heading2"/>
        <w:spacing w:before="160" w:after="100"/>
      </w:pPr>
      <w:r>
        <w:t>4.6 Project 6 - OCT-enabled registry and RWE architecture</w:t>
      </w:r>
    </w:p>
    <w:p w14:paraId="24D2DD54" w14:textId="77777777" w:rsidR="00D80A0F" w:rsidRDefault="00000000">
      <w:r>
        <w:t xml:space="preserve">The RWE plan should be designed now but launched later, once pivotal evidence and product positioning are clearer. The design principle is: </w:t>
      </w:r>
      <w:r>
        <w:rPr>
          <w:b/>
        </w:rPr>
        <w:t>do not rely on claims alone.</w:t>
      </w:r>
      <w:r>
        <w:t xml:space="preserve"> Claims are useful for visits, procedures, costs, and persistence, but not for nuanced disease control, fluid recurrence, or rescue rationale. </w:t>
      </w:r>
      <w:hyperlink r:id="rId90">
        <w:r>
          <w:rPr>
            <w:color w:val="0563C1"/>
            <w:u w:val="single"/>
          </w:rPr>
          <w:t>[21]</w:t>
        </w:r>
      </w:hyperlink>
      <w:r>
        <w:t xml:space="preserve"> </w:t>
      </w:r>
      <w:hyperlink r:id="rId91">
        <w:r>
          <w:rPr>
            <w:color w:val="0563C1"/>
            <w:u w:val="single"/>
          </w:rPr>
          <w:t>[22]</w:t>
        </w:r>
      </w:hyperlink>
    </w:p>
    <w:p w14:paraId="4881B0D0" w14:textId="77777777" w:rsidR="00D80A0F" w:rsidRDefault="00000000">
      <w:pPr>
        <w:spacing w:before="80" w:after="60"/>
      </w:pPr>
      <w:r>
        <w:rPr>
          <w:b/>
          <w:color w:val="1F4E79"/>
        </w:rPr>
        <w:t>Table 10. RWE architecture</w:t>
      </w:r>
    </w:p>
    <w:tbl>
      <w:tblPr>
        <w:tblStyle w:val="TableGrid"/>
        <w:tblW w:w="0" w:type="auto"/>
        <w:jc w:val="center"/>
        <w:tblLayout w:type="fixed"/>
        <w:tblLook w:val="04A0" w:firstRow="1" w:lastRow="0" w:firstColumn="1" w:lastColumn="0" w:noHBand="0" w:noVBand="1"/>
      </w:tblPr>
      <w:tblGrid>
        <w:gridCol w:w="1944"/>
        <w:gridCol w:w="4896"/>
        <w:gridCol w:w="3384"/>
      </w:tblGrid>
      <w:tr w:rsidR="00D80A0F" w14:paraId="711056ED" w14:textId="77777777">
        <w:trPr>
          <w:cantSplit/>
          <w:tblHeader/>
          <w:jc w:val="center"/>
        </w:trPr>
        <w:tc>
          <w:tcPr>
            <w:tcW w:w="194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268F87A" w14:textId="77777777" w:rsidR="00D80A0F" w:rsidRDefault="00000000">
            <w:pPr>
              <w:spacing w:after="0"/>
            </w:pPr>
            <w:r>
              <w:rPr>
                <w:b/>
                <w:color w:val="FFFFFF"/>
                <w:sz w:val="17"/>
              </w:rPr>
              <w:t>Registry component</w:t>
            </w:r>
          </w:p>
        </w:tc>
        <w:tc>
          <w:tcPr>
            <w:tcW w:w="489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0111CCB" w14:textId="77777777" w:rsidR="00D80A0F" w:rsidRDefault="00000000">
            <w:pPr>
              <w:spacing w:after="0"/>
            </w:pPr>
            <w:r>
              <w:rPr>
                <w:b/>
                <w:color w:val="FFFFFF"/>
                <w:sz w:val="17"/>
              </w:rPr>
              <w:t>Recommendation</w:t>
            </w:r>
          </w:p>
        </w:tc>
        <w:tc>
          <w:tcPr>
            <w:tcW w:w="33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B8A3B44" w14:textId="77777777" w:rsidR="00D80A0F" w:rsidRDefault="00000000">
            <w:pPr>
              <w:spacing w:after="0"/>
            </w:pPr>
            <w:r>
              <w:rPr>
                <w:b/>
                <w:color w:val="FFFFFF"/>
                <w:sz w:val="17"/>
              </w:rPr>
              <w:t>Rationale</w:t>
            </w:r>
          </w:p>
        </w:tc>
      </w:tr>
      <w:tr w:rsidR="00D80A0F" w14:paraId="708ACE9A"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1AE3A48E" w14:textId="77777777" w:rsidR="00D80A0F" w:rsidRDefault="00000000">
            <w:pPr>
              <w:spacing w:after="0" w:line="240" w:lineRule="auto"/>
            </w:pPr>
            <w:r>
              <w:rPr>
                <w:sz w:val="16"/>
              </w:rPr>
              <w:t>Minimum dataset</w:t>
            </w:r>
          </w:p>
        </w:tc>
        <w:tc>
          <w:tcPr>
            <w:tcW w:w="4896" w:type="dxa"/>
            <w:tcBorders>
              <w:top w:val="single" w:sz="4" w:space="0" w:color="BFBFBF"/>
              <w:left w:val="single" w:sz="4" w:space="0" w:color="BFBFBF"/>
              <w:bottom w:val="single" w:sz="4" w:space="0" w:color="BFBFBF"/>
              <w:right w:val="single" w:sz="4" w:space="0" w:color="BFBFBF"/>
            </w:tcBorders>
          </w:tcPr>
          <w:p w14:paraId="2A2CA8FD" w14:textId="77777777" w:rsidR="00D80A0F" w:rsidRDefault="00000000">
            <w:pPr>
              <w:spacing w:after="0" w:line="240" w:lineRule="auto"/>
            </w:pPr>
            <w:r>
              <w:rPr>
                <w:sz w:val="16"/>
              </w:rPr>
              <w:t>Treatment dates; drug/procedure; indication eye; BCVA; OCT/CST/fluid; rescue criteria; adverse events; bilateral treatment; appointment schedule; missed visits; patient/caregiver time module.</w:t>
            </w:r>
          </w:p>
        </w:tc>
        <w:tc>
          <w:tcPr>
            <w:tcW w:w="3384" w:type="dxa"/>
            <w:tcBorders>
              <w:top w:val="single" w:sz="4" w:space="0" w:color="BFBFBF"/>
              <w:left w:val="single" w:sz="4" w:space="0" w:color="BFBFBF"/>
              <w:bottom w:val="single" w:sz="4" w:space="0" w:color="BFBFBF"/>
              <w:right w:val="single" w:sz="4" w:space="0" w:color="BFBFBF"/>
            </w:tcBorders>
          </w:tcPr>
          <w:p w14:paraId="0E5BBDBE" w14:textId="77777777" w:rsidR="00D80A0F" w:rsidRDefault="00000000">
            <w:pPr>
              <w:spacing w:after="0" w:line="240" w:lineRule="auto"/>
            </w:pPr>
            <w:r>
              <w:rPr>
                <w:sz w:val="16"/>
              </w:rPr>
              <w:t>Supports product-specific effectiveness and burden evidence.</w:t>
            </w:r>
          </w:p>
        </w:tc>
      </w:tr>
      <w:tr w:rsidR="00D80A0F" w14:paraId="6BC5B63F"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1824ED13" w14:textId="77777777" w:rsidR="00D80A0F" w:rsidRDefault="00000000">
            <w:pPr>
              <w:spacing w:after="0" w:line="240" w:lineRule="auto"/>
            </w:pPr>
            <w:r>
              <w:rPr>
                <w:sz w:val="16"/>
              </w:rPr>
              <w:t>Data partners</w:t>
            </w:r>
          </w:p>
        </w:tc>
        <w:tc>
          <w:tcPr>
            <w:tcW w:w="4896" w:type="dxa"/>
            <w:tcBorders>
              <w:top w:val="single" w:sz="4" w:space="0" w:color="BFBFBF"/>
              <w:left w:val="single" w:sz="4" w:space="0" w:color="BFBFBF"/>
              <w:bottom w:val="single" w:sz="4" w:space="0" w:color="BFBFBF"/>
              <w:right w:val="single" w:sz="4" w:space="0" w:color="BFBFBF"/>
            </w:tcBorders>
          </w:tcPr>
          <w:p w14:paraId="5BA7A06E" w14:textId="77777777" w:rsidR="00D80A0F" w:rsidRDefault="00000000">
            <w:pPr>
              <w:spacing w:after="0" w:line="240" w:lineRule="auto"/>
            </w:pPr>
            <w:r>
              <w:rPr>
                <w:sz w:val="16"/>
              </w:rPr>
              <w:t>Retina EHR networks, central OCT repositories, site scheduling systems, claims vendors, patient advocacy organizations, and selected home OCT/digital-monitoring partners.</w:t>
            </w:r>
          </w:p>
        </w:tc>
        <w:tc>
          <w:tcPr>
            <w:tcW w:w="3384" w:type="dxa"/>
            <w:tcBorders>
              <w:top w:val="single" w:sz="4" w:space="0" w:color="BFBFBF"/>
              <w:left w:val="single" w:sz="4" w:space="0" w:color="BFBFBF"/>
              <w:bottom w:val="single" w:sz="4" w:space="0" w:color="BFBFBF"/>
              <w:right w:val="single" w:sz="4" w:space="0" w:color="BFBFBF"/>
            </w:tcBorders>
          </w:tcPr>
          <w:p w14:paraId="48C29472" w14:textId="77777777" w:rsidR="00D80A0F" w:rsidRDefault="00000000">
            <w:pPr>
              <w:spacing w:after="0" w:line="240" w:lineRule="auto"/>
            </w:pPr>
            <w:r>
              <w:rPr>
                <w:sz w:val="16"/>
              </w:rPr>
              <w:t>Allows triangulation across clinical, economic, and patient-centered data.</w:t>
            </w:r>
          </w:p>
        </w:tc>
      </w:tr>
      <w:tr w:rsidR="00D80A0F" w14:paraId="519C7486"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Pr>
          <w:p w14:paraId="1AED911D" w14:textId="77777777" w:rsidR="00D80A0F" w:rsidRDefault="00000000">
            <w:pPr>
              <w:spacing w:after="0" w:line="240" w:lineRule="auto"/>
            </w:pPr>
            <w:r>
              <w:rPr>
                <w:sz w:val="16"/>
              </w:rPr>
              <w:t>Near-term deliverable</w:t>
            </w:r>
          </w:p>
        </w:tc>
        <w:tc>
          <w:tcPr>
            <w:tcW w:w="4896" w:type="dxa"/>
            <w:tcBorders>
              <w:top w:val="single" w:sz="4" w:space="0" w:color="BFBFBF"/>
              <w:left w:val="single" w:sz="4" w:space="0" w:color="BFBFBF"/>
              <w:bottom w:val="single" w:sz="4" w:space="0" w:color="BFBFBF"/>
              <w:right w:val="single" w:sz="4" w:space="0" w:color="BFBFBF"/>
            </w:tcBorders>
          </w:tcPr>
          <w:p w14:paraId="26E4D38A" w14:textId="77777777" w:rsidR="00D80A0F" w:rsidRDefault="00000000">
            <w:pPr>
              <w:spacing w:after="0" w:line="240" w:lineRule="auto"/>
            </w:pPr>
            <w:r>
              <w:rPr>
                <w:sz w:val="16"/>
              </w:rPr>
              <w:t>Registry protocol, data dictionary, feasibility assessment, vendor shortlist, and publication plan.</w:t>
            </w:r>
          </w:p>
        </w:tc>
        <w:tc>
          <w:tcPr>
            <w:tcW w:w="3384" w:type="dxa"/>
            <w:tcBorders>
              <w:top w:val="single" w:sz="4" w:space="0" w:color="BFBFBF"/>
              <w:left w:val="single" w:sz="4" w:space="0" w:color="BFBFBF"/>
              <w:bottom w:val="single" w:sz="4" w:space="0" w:color="BFBFBF"/>
              <w:right w:val="single" w:sz="4" w:space="0" w:color="BFBFBF"/>
            </w:tcBorders>
          </w:tcPr>
          <w:p w14:paraId="33940BFB" w14:textId="77777777" w:rsidR="00D80A0F" w:rsidRDefault="00000000">
            <w:pPr>
              <w:spacing w:after="0" w:line="240" w:lineRule="auto"/>
            </w:pPr>
            <w:r>
              <w:rPr>
                <w:sz w:val="16"/>
              </w:rPr>
              <w:t>Keeps optionality during asset sale/partnering and avoids launch-time scramble.</w:t>
            </w:r>
          </w:p>
        </w:tc>
      </w:tr>
    </w:tbl>
    <w:p w14:paraId="7A2F186F" w14:textId="77777777" w:rsidR="00D80A0F" w:rsidRDefault="00000000">
      <w:pPr>
        <w:pStyle w:val="Heading1"/>
        <w:spacing w:before="240" w:after="100"/>
      </w:pPr>
      <w:r>
        <w:t>5. Projects to deprioritize or redesign</w:t>
      </w:r>
    </w:p>
    <w:p w14:paraId="7BC95FC5" w14:textId="3924FCFB" w:rsidR="00D80A0F" w:rsidRDefault="00000000">
      <w:r>
        <w:t xml:space="preserve">The following activities </w:t>
      </w:r>
      <w:r w:rsidR="007D215C" w:rsidRPr="007D215C">
        <w:t>are commonly included</w:t>
      </w:r>
      <w:r>
        <w:t xml:space="preserve"> in HEOR </w:t>
      </w:r>
      <w:r w:rsidR="007D215C" w:rsidRPr="007D215C">
        <w:t>plans for assets in this space</w:t>
      </w:r>
      <w:r>
        <w:t xml:space="preserve"> but have lower incremental value </w:t>
      </w:r>
      <w:r w:rsidR="007D215C">
        <w:t xml:space="preserve">for CLS-AX </w:t>
      </w:r>
      <w:r>
        <w:t>after accounting for existing and imminent competitor evidence.</w:t>
      </w:r>
    </w:p>
    <w:p w14:paraId="776BF5BC" w14:textId="77777777" w:rsidR="00D80A0F" w:rsidRDefault="00000000">
      <w:pPr>
        <w:spacing w:before="80" w:after="60"/>
      </w:pPr>
      <w:r>
        <w:rPr>
          <w:b/>
          <w:color w:val="1F4E79"/>
        </w:rPr>
        <w:t>Table 11. Lower-value projects under the updated screen</w:t>
      </w:r>
    </w:p>
    <w:tbl>
      <w:tblPr>
        <w:tblStyle w:val="TableGrid"/>
        <w:tblW w:w="0" w:type="auto"/>
        <w:jc w:val="center"/>
        <w:tblLayout w:type="fixed"/>
        <w:tblLook w:val="04A0" w:firstRow="1" w:lastRow="0" w:firstColumn="1" w:lastColumn="0" w:noHBand="0" w:noVBand="1"/>
      </w:tblPr>
      <w:tblGrid>
        <w:gridCol w:w="2448"/>
        <w:gridCol w:w="3671"/>
        <w:gridCol w:w="4104"/>
      </w:tblGrid>
      <w:tr w:rsidR="00D80A0F" w14:paraId="682BC4E5" w14:textId="77777777">
        <w:trPr>
          <w:cantSplit/>
          <w:tblHeade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3BF202A" w14:textId="77777777" w:rsidR="00D80A0F" w:rsidRDefault="00000000">
            <w:pPr>
              <w:spacing w:after="0"/>
            </w:pPr>
            <w:r>
              <w:rPr>
                <w:b/>
                <w:color w:val="FFFFFF"/>
                <w:sz w:val="17"/>
              </w:rPr>
              <w:t>Deprioritize / redesign</w:t>
            </w:r>
          </w:p>
        </w:tc>
        <w:tc>
          <w:tcPr>
            <w:tcW w:w="367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641B044" w14:textId="77777777" w:rsidR="00D80A0F" w:rsidRDefault="00000000">
            <w:pPr>
              <w:spacing w:after="0"/>
            </w:pPr>
            <w:r>
              <w:rPr>
                <w:b/>
                <w:color w:val="FFFFFF"/>
                <w:sz w:val="17"/>
              </w:rPr>
              <w:t>Reason</w:t>
            </w:r>
          </w:p>
        </w:tc>
        <w:tc>
          <w:tcPr>
            <w:tcW w:w="410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11405B5" w14:textId="77777777" w:rsidR="00D80A0F" w:rsidRDefault="00000000">
            <w:pPr>
              <w:spacing w:after="0"/>
            </w:pPr>
            <w:r>
              <w:rPr>
                <w:b/>
                <w:color w:val="FFFFFF"/>
                <w:sz w:val="17"/>
              </w:rPr>
              <w:t>Better alternative</w:t>
            </w:r>
          </w:p>
        </w:tc>
      </w:tr>
      <w:tr w:rsidR="00D80A0F" w14:paraId="31DACC9F" w14:textId="77777777">
        <w:trPr>
          <w:cantSplit/>
          <w:jc w:val="center"/>
        </w:trPr>
        <w:tc>
          <w:tcPr>
            <w:tcW w:w="2448" w:type="dxa"/>
            <w:tcBorders>
              <w:top w:val="single" w:sz="4" w:space="0" w:color="BFBFBF"/>
              <w:left w:val="single" w:sz="4" w:space="0" w:color="BFBFBF"/>
              <w:bottom w:val="single" w:sz="4" w:space="0" w:color="BFBFBF"/>
              <w:right w:val="single" w:sz="4" w:space="0" w:color="BFBFBF"/>
            </w:tcBorders>
          </w:tcPr>
          <w:p w14:paraId="722D84B7" w14:textId="77777777" w:rsidR="00D80A0F" w:rsidRDefault="00000000">
            <w:pPr>
              <w:spacing w:after="0" w:line="240" w:lineRule="auto"/>
            </w:pPr>
            <w:r>
              <w:rPr>
                <w:sz w:val="16"/>
              </w:rPr>
              <w:t>Generic patient/caregiver burden survey</w:t>
            </w:r>
          </w:p>
        </w:tc>
        <w:tc>
          <w:tcPr>
            <w:tcW w:w="3671" w:type="dxa"/>
            <w:tcBorders>
              <w:top w:val="single" w:sz="4" w:space="0" w:color="BFBFBF"/>
              <w:left w:val="single" w:sz="4" w:space="0" w:color="BFBFBF"/>
              <w:bottom w:val="single" w:sz="4" w:space="0" w:color="BFBFBF"/>
              <w:right w:val="single" w:sz="4" w:space="0" w:color="BFBFBF"/>
            </w:tcBorders>
          </w:tcPr>
          <w:p w14:paraId="57496687" w14:textId="77777777" w:rsidR="00D80A0F" w:rsidRDefault="00000000">
            <w:pPr>
              <w:spacing w:after="0" w:line="240" w:lineRule="auto"/>
            </w:pPr>
            <w:r>
              <w:rPr>
                <w:sz w:val="16"/>
              </w:rPr>
              <w:t>Burden from frequent anti-VEGF treatment has already been documented.</w:t>
            </w:r>
            <w:r>
              <w:t xml:space="preserve"> </w:t>
            </w:r>
            <w:hyperlink r:id="rId92">
              <w:r>
                <w:rPr>
                  <w:color w:val="0563C1"/>
                  <w:u w:val="single"/>
                </w:rPr>
                <w:t>[24]</w:t>
              </w:r>
            </w:hyperlink>
            <w:r>
              <w:t xml:space="preserve"> </w:t>
            </w:r>
            <w:hyperlink r:id="rId93">
              <w:r>
                <w:rPr>
                  <w:color w:val="0563C1"/>
                  <w:u w:val="single"/>
                </w:rPr>
                <w:t>[25]</w:t>
              </w:r>
            </w:hyperlink>
          </w:p>
        </w:tc>
        <w:tc>
          <w:tcPr>
            <w:tcW w:w="4104" w:type="dxa"/>
            <w:tcBorders>
              <w:top w:val="single" w:sz="4" w:space="0" w:color="BFBFBF"/>
              <w:left w:val="single" w:sz="4" w:space="0" w:color="BFBFBF"/>
              <w:bottom w:val="single" w:sz="4" w:space="0" w:color="BFBFBF"/>
              <w:right w:val="single" w:sz="4" w:space="0" w:color="BFBFBF"/>
            </w:tcBorders>
          </w:tcPr>
          <w:p w14:paraId="35EF213C" w14:textId="77777777" w:rsidR="00D80A0F" w:rsidRDefault="00000000">
            <w:pPr>
              <w:spacing w:after="0" w:line="240" w:lineRule="auto"/>
            </w:pPr>
            <w:r>
              <w:rPr>
                <w:sz w:val="16"/>
              </w:rPr>
              <w:t>Redesign as trial-linked burden substudy with actual CLS-AX dosing, visit, care-partner, and disease-control data.</w:t>
            </w:r>
          </w:p>
        </w:tc>
      </w:tr>
      <w:tr w:rsidR="00D80A0F" w14:paraId="482F784A" w14:textId="77777777">
        <w:trPr>
          <w:cantSplit/>
          <w:jc w:val="center"/>
        </w:trPr>
        <w:tc>
          <w:tcPr>
            <w:tcW w:w="2448" w:type="dxa"/>
            <w:tcBorders>
              <w:top w:val="single" w:sz="4" w:space="0" w:color="BFBFBF"/>
              <w:left w:val="single" w:sz="4" w:space="0" w:color="BFBFBF"/>
              <w:bottom w:val="single" w:sz="4" w:space="0" w:color="BFBFBF"/>
              <w:right w:val="single" w:sz="4" w:space="0" w:color="BFBFBF"/>
            </w:tcBorders>
          </w:tcPr>
          <w:p w14:paraId="31E8B0BA" w14:textId="77777777" w:rsidR="00D80A0F" w:rsidRDefault="00000000">
            <w:pPr>
              <w:spacing w:after="0" w:line="240" w:lineRule="auto"/>
            </w:pPr>
            <w:r>
              <w:rPr>
                <w:sz w:val="16"/>
              </w:rPr>
              <w:t>Standalone cost-effectiveness analysis now</w:t>
            </w:r>
          </w:p>
        </w:tc>
        <w:tc>
          <w:tcPr>
            <w:tcW w:w="3671" w:type="dxa"/>
            <w:tcBorders>
              <w:top w:val="single" w:sz="4" w:space="0" w:color="BFBFBF"/>
              <w:left w:val="single" w:sz="4" w:space="0" w:color="BFBFBF"/>
              <w:bottom w:val="single" w:sz="4" w:space="0" w:color="BFBFBF"/>
              <w:right w:val="single" w:sz="4" w:space="0" w:color="BFBFBF"/>
            </w:tcBorders>
          </w:tcPr>
          <w:p w14:paraId="46D0958E" w14:textId="77777777" w:rsidR="00D80A0F" w:rsidRDefault="00000000">
            <w:pPr>
              <w:spacing w:after="0" w:line="240" w:lineRule="auto"/>
            </w:pPr>
            <w:r>
              <w:rPr>
                <w:sz w:val="16"/>
              </w:rPr>
              <w:t>Price, label, Phase 3 outcomes, and competitor positioning remain uncertain.</w:t>
            </w:r>
          </w:p>
        </w:tc>
        <w:tc>
          <w:tcPr>
            <w:tcW w:w="4104" w:type="dxa"/>
            <w:tcBorders>
              <w:top w:val="single" w:sz="4" w:space="0" w:color="BFBFBF"/>
              <w:left w:val="single" w:sz="4" w:space="0" w:color="BFBFBF"/>
              <w:bottom w:val="single" w:sz="4" w:space="0" w:color="BFBFBF"/>
              <w:right w:val="single" w:sz="4" w:space="0" w:color="BFBFBF"/>
            </w:tcBorders>
          </w:tcPr>
          <w:p w14:paraId="4B063516" w14:textId="77777777" w:rsidR="00D80A0F" w:rsidRDefault="00000000">
            <w:pPr>
              <w:spacing w:after="0" w:line="240" w:lineRule="auto"/>
            </w:pPr>
            <w:r>
              <w:rPr>
                <w:sz w:val="16"/>
              </w:rPr>
              <w:t>Build a model shell and scenario budget-impact model; defer full CEA until pivotal data and pricing assumptions are credible.</w:t>
            </w:r>
          </w:p>
        </w:tc>
      </w:tr>
      <w:tr w:rsidR="00D80A0F" w14:paraId="66EAFA91" w14:textId="77777777">
        <w:trPr>
          <w:cantSplit/>
          <w:jc w:val="center"/>
        </w:trPr>
        <w:tc>
          <w:tcPr>
            <w:tcW w:w="2448" w:type="dxa"/>
            <w:tcBorders>
              <w:top w:val="single" w:sz="4" w:space="0" w:color="BFBFBF"/>
              <w:left w:val="single" w:sz="4" w:space="0" w:color="BFBFBF"/>
              <w:bottom w:val="single" w:sz="4" w:space="0" w:color="BFBFBF"/>
              <w:right w:val="single" w:sz="4" w:space="0" w:color="BFBFBF"/>
            </w:tcBorders>
          </w:tcPr>
          <w:p w14:paraId="60268CEB" w14:textId="77777777" w:rsidR="00D80A0F" w:rsidRDefault="00000000">
            <w:pPr>
              <w:spacing w:after="0" w:line="240" w:lineRule="auto"/>
            </w:pPr>
            <w:r>
              <w:rPr>
                <w:sz w:val="16"/>
              </w:rPr>
              <w:t>Broad SLR that is not maintained</w:t>
            </w:r>
          </w:p>
        </w:tc>
        <w:tc>
          <w:tcPr>
            <w:tcW w:w="3671" w:type="dxa"/>
            <w:tcBorders>
              <w:top w:val="single" w:sz="4" w:space="0" w:color="BFBFBF"/>
              <w:left w:val="single" w:sz="4" w:space="0" w:color="BFBFBF"/>
              <w:bottom w:val="single" w:sz="4" w:space="0" w:color="BFBFBF"/>
              <w:right w:val="single" w:sz="4" w:space="0" w:color="BFBFBF"/>
            </w:tcBorders>
          </w:tcPr>
          <w:p w14:paraId="41F8EBA3" w14:textId="77777777" w:rsidR="00D80A0F" w:rsidRDefault="00000000">
            <w:pPr>
              <w:spacing w:after="0" w:line="240" w:lineRule="auto"/>
            </w:pPr>
            <w:r>
              <w:rPr>
                <w:sz w:val="16"/>
              </w:rPr>
              <w:t>The landscape will change quickly with AXPAXLI, DURAVYU, and gene therapy readouts.</w:t>
            </w:r>
            <w:r>
              <w:t xml:space="preserve"> </w:t>
            </w:r>
            <w:hyperlink r:id="rId94">
              <w:r>
                <w:rPr>
                  <w:color w:val="0563C1"/>
                  <w:u w:val="single"/>
                </w:rPr>
                <w:t>[11]</w:t>
              </w:r>
            </w:hyperlink>
            <w:r>
              <w:t xml:space="preserve"> </w:t>
            </w:r>
            <w:hyperlink r:id="rId95">
              <w:r>
                <w:rPr>
                  <w:color w:val="0563C1"/>
                  <w:u w:val="single"/>
                </w:rPr>
                <w:t>[14]</w:t>
              </w:r>
            </w:hyperlink>
            <w:r>
              <w:t xml:space="preserve"> </w:t>
            </w:r>
            <w:hyperlink r:id="rId96">
              <w:r>
                <w:rPr>
                  <w:color w:val="0563C1"/>
                  <w:u w:val="single"/>
                </w:rPr>
                <w:t>[18]</w:t>
              </w:r>
            </w:hyperlink>
            <w:r>
              <w:t xml:space="preserve"> </w:t>
            </w:r>
            <w:hyperlink r:id="rId97">
              <w:r>
                <w:rPr>
                  <w:color w:val="0563C1"/>
                  <w:u w:val="single"/>
                </w:rPr>
                <w:t>[19]</w:t>
              </w:r>
            </w:hyperlink>
          </w:p>
        </w:tc>
        <w:tc>
          <w:tcPr>
            <w:tcW w:w="4104" w:type="dxa"/>
            <w:tcBorders>
              <w:top w:val="single" w:sz="4" w:space="0" w:color="BFBFBF"/>
              <w:left w:val="single" w:sz="4" w:space="0" w:color="BFBFBF"/>
              <w:bottom w:val="single" w:sz="4" w:space="0" w:color="BFBFBF"/>
              <w:right w:val="single" w:sz="4" w:space="0" w:color="BFBFBF"/>
            </w:tcBorders>
          </w:tcPr>
          <w:p w14:paraId="0574A502" w14:textId="77777777" w:rsidR="00D80A0F" w:rsidRDefault="00000000">
            <w:pPr>
              <w:spacing w:after="0" w:line="240" w:lineRule="auto"/>
            </w:pPr>
            <w:r>
              <w:rPr>
                <w:sz w:val="16"/>
              </w:rPr>
              <w:t>Use a living evidence synthesis with update triggers and pre-specified claims boundaries.</w:t>
            </w:r>
          </w:p>
        </w:tc>
      </w:tr>
      <w:tr w:rsidR="00D80A0F" w14:paraId="0A384F47" w14:textId="77777777">
        <w:trPr>
          <w:cantSplit/>
          <w:jc w:val="center"/>
        </w:trPr>
        <w:tc>
          <w:tcPr>
            <w:tcW w:w="2448" w:type="dxa"/>
            <w:tcBorders>
              <w:top w:val="single" w:sz="4" w:space="0" w:color="BFBFBF"/>
              <w:left w:val="single" w:sz="4" w:space="0" w:color="BFBFBF"/>
              <w:bottom w:val="single" w:sz="4" w:space="0" w:color="BFBFBF"/>
              <w:right w:val="single" w:sz="4" w:space="0" w:color="BFBFBF"/>
            </w:tcBorders>
          </w:tcPr>
          <w:p w14:paraId="5F9B7965" w14:textId="77777777" w:rsidR="00D80A0F" w:rsidRDefault="00000000">
            <w:pPr>
              <w:spacing w:after="0" w:line="240" w:lineRule="auto"/>
            </w:pPr>
            <w:r>
              <w:rPr>
                <w:sz w:val="16"/>
              </w:rPr>
              <w:t>Claims-only pre-launch burden study</w:t>
            </w:r>
          </w:p>
        </w:tc>
        <w:tc>
          <w:tcPr>
            <w:tcW w:w="3671" w:type="dxa"/>
            <w:tcBorders>
              <w:top w:val="single" w:sz="4" w:space="0" w:color="BFBFBF"/>
              <w:left w:val="single" w:sz="4" w:space="0" w:color="BFBFBF"/>
              <w:bottom w:val="single" w:sz="4" w:space="0" w:color="BFBFBF"/>
              <w:right w:val="single" w:sz="4" w:space="0" w:color="BFBFBF"/>
            </w:tcBorders>
          </w:tcPr>
          <w:p w14:paraId="6A8D0708" w14:textId="77777777" w:rsidR="00D80A0F" w:rsidRDefault="00000000">
            <w:pPr>
              <w:spacing w:after="0" w:line="240" w:lineRule="auto"/>
            </w:pPr>
            <w:r>
              <w:rPr>
                <w:sz w:val="16"/>
              </w:rPr>
              <w:t>Claims miss visual acuity, OCT, fluid, rescue rationale, patient time, and physician decision-making.</w:t>
            </w:r>
            <w:r>
              <w:t xml:space="preserve"> </w:t>
            </w:r>
            <w:hyperlink r:id="rId98">
              <w:r>
                <w:rPr>
                  <w:color w:val="0563C1"/>
                  <w:u w:val="single"/>
                </w:rPr>
                <w:t>[21]</w:t>
              </w:r>
            </w:hyperlink>
            <w:r>
              <w:t xml:space="preserve"> </w:t>
            </w:r>
            <w:hyperlink r:id="rId99">
              <w:r>
                <w:rPr>
                  <w:color w:val="0563C1"/>
                  <w:u w:val="single"/>
                </w:rPr>
                <w:t>[22]</w:t>
              </w:r>
            </w:hyperlink>
          </w:p>
        </w:tc>
        <w:tc>
          <w:tcPr>
            <w:tcW w:w="4104" w:type="dxa"/>
            <w:tcBorders>
              <w:top w:val="single" w:sz="4" w:space="0" w:color="BFBFBF"/>
              <w:left w:val="single" w:sz="4" w:space="0" w:color="BFBFBF"/>
              <w:bottom w:val="single" w:sz="4" w:space="0" w:color="BFBFBF"/>
              <w:right w:val="single" w:sz="4" w:space="0" w:color="BFBFBF"/>
            </w:tcBorders>
          </w:tcPr>
          <w:p w14:paraId="3F53BAF6" w14:textId="77777777" w:rsidR="00D80A0F" w:rsidRDefault="00000000">
            <w:pPr>
              <w:spacing w:after="0" w:line="240" w:lineRule="auto"/>
            </w:pPr>
            <w:r>
              <w:rPr>
                <w:sz w:val="16"/>
              </w:rPr>
              <w:t>Use claims only as one linked component of an EHR/OCT/registry design.</w:t>
            </w:r>
          </w:p>
        </w:tc>
      </w:tr>
      <w:tr w:rsidR="00D80A0F" w14:paraId="6FC08AEE" w14:textId="77777777">
        <w:trPr>
          <w:cantSplit/>
          <w:jc w:val="center"/>
        </w:trPr>
        <w:tc>
          <w:tcPr>
            <w:tcW w:w="2448" w:type="dxa"/>
            <w:tcBorders>
              <w:top w:val="single" w:sz="4" w:space="0" w:color="BFBFBF"/>
              <w:left w:val="single" w:sz="4" w:space="0" w:color="BFBFBF"/>
              <w:bottom w:val="single" w:sz="4" w:space="0" w:color="BFBFBF"/>
              <w:right w:val="single" w:sz="4" w:space="0" w:color="BFBFBF"/>
            </w:tcBorders>
          </w:tcPr>
          <w:p w14:paraId="2D461D74" w14:textId="77777777" w:rsidR="00D80A0F" w:rsidRDefault="00000000">
            <w:pPr>
              <w:spacing w:after="0" w:line="240" w:lineRule="auto"/>
            </w:pPr>
            <w:r>
              <w:rPr>
                <w:sz w:val="16"/>
              </w:rPr>
              <w:t>Unanchored indirect comparisons as payer proof</w:t>
            </w:r>
          </w:p>
        </w:tc>
        <w:tc>
          <w:tcPr>
            <w:tcW w:w="3671" w:type="dxa"/>
            <w:tcBorders>
              <w:top w:val="single" w:sz="4" w:space="0" w:color="BFBFBF"/>
              <w:left w:val="single" w:sz="4" w:space="0" w:color="BFBFBF"/>
              <w:bottom w:val="single" w:sz="4" w:space="0" w:color="BFBFBF"/>
              <w:right w:val="single" w:sz="4" w:space="0" w:color="BFBFBF"/>
            </w:tcBorders>
          </w:tcPr>
          <w:p w14:paraId="75E4A9A1" w14:textId="77777777" w:rsidR="00D80A0F" w:rsidRDefault="00000000">
            <w:pPr>
              <w:spacing w:after="0" w:line="240" w:lineRule="auto"/>
            </w:pPr>
            <w:r>
              <w:rPr>
                <w:sz w:val="16"/>
              </w:rPr>
              <w:t>Cross-trial differences in treatment history, loading, rescue criteria, and endpoint definitions are likely substantial.</w:t>
            </w:r>
          </w:p>
        </w:tc>
        <w:tc>
          <w:tcPr>
            <w:tcW w:w="4104" w:type="dxa"/>
            <w:tcBorders>
              <w:top w:val="single" w:sz="4" w:space="0" w:color="BFBFBF"/>
              <w:left w:val="single" w:sz="4" w:space="0" w:color="BFBFBF"/>
              <w:bottom w:val="single" w:sz="4" w:space="0" w:color="BFBFBF"/>
              <w:right w:val="single" w:sz="4" w:space="0" w:color="BFBFBF"/>
            </w:tcBorders>
          </w:tcPr>
          <w:p w14:paraId="604C720F" w14:textId="77777777" w:rsidR="00D80A0F" w:rsidRDefault="00000000">
            <w:pPr>
              <w:spacing w:after="0" w:line="240" w:lineRule="auto"/>
            </w:pPr>
            <w:r>
              <w:rPr>
                <w:sz w:val="16"/>
              </w:rPr>
              <w:t>Perform feasibility first; use NMA/MAIC only where defensible, and otherwise present scenario ranges.</w:t>
            </w:r>
          </w:p>
        </w:tc>
      </w:tr>
      <w:tr w:rsidR="00D80A0F" w14:paraId="73A813BF" w14:textId="77777777">
        <w:trPr>
          <w:cantSplit/>
          <w:jc w:val="center"/>
        </w:trPr>
        <w:tc>
          <w:tcPr>
            <w:tcW w:w="2448" w:type="dxa"/>
            <w:tcBorders>
              <w:top w:val="single" w:sz="4" w:space="0" w:color="BFBFBF"/>
              <w:left w:val="single" w:sz="4" w:space="0" w:color="BFBFBF"/>
              <w:bottom w:val="single" w:sz="4" w:space="0" w:color="BFBFBF"/>
              <w:right w:val="single" w:sz="4" w:space="0" w:color="BFBFBF"/>
            </w:tcBorders>
          </w:tcPr>
          <w:p w14:paraId="489EB25D" w14:textId="77777777" w:rsidR="00D80A0F" w:rsidRDefault="00000000">
            <w:pPr>
              <w:spacing w:after="0" w:line="240" w:lineRule="auto"/>
            </w:pPr>
            <w:r>
              <w:rPr>
                <w:sz w:val="16"/>
              </w:rPr>
              <w:lastRenderedPageBreak/>
              <w:t>Large DCE before competitor profiles stabilize</w:t>
            </w:r>
          </w:p>
        </w:tc>
        <w:tc>
          <w:tcPr>
            <w:tcW w:w="3671" w:type="dxa"/>
            <w:tcBorders>
              <w:top w:val="single" w:sz="4" w:space="0" w:color="BFBFBF"/>
              <w:left w:val="single" w:sz="4" w:space="0" w:color="BFBFBF"/>
              <w:bottom w:val="single" w:sz="4" w:space="0" w:color="BFBFBF"/>
              <w:right w:val="single" w:sz="4" w:space="0" w:color="BFBFBF"/>
            </w:tcBorders>
          </w:tcPr>
          <w:p w14:paraId="0B2D74D4" w14:textId="77777777" w:rsidR="00D80A0F" w:rsidRDefault="00000000">
            <w:pPr>
              <w:spacing w:after="0" w:line="240" w:lineRule="auto"/>
            </w:pPr>
            <w:r>
              <w:rPr>
                <w:sz w:val="16"/>
              </w:rPr>
              <w:t>Near-term profiles for AXPAXLI, DURAVYU, and gene therapy may change with readouts and labels.</w:t>
            </w:r>
          </w:p>
        </w:tc>
        <w:tc>
          <w:tcPr>
            <w:tcW w:w="4104" w:type="dxa"/>
            <w:tcBorders>
              <w:top w:val="single" w:sz="4" w:space="0" w:color="BFBFBF"/>
              <w:left w:val="single" w:sz="4" w:space="0" w:color="BFBFBF"/>
              <w:bottom w:val="single" w:sz="4" w:space="0" w:color="BFBFBF"/>
              <w:right w:val="single" w:sz="4" w:space="0" w:color="BFBFBF"/>
            </w:tcBorders>
          </w:tcPr>
          <w:p w14:paraId="69E790BA" w14:textId="77777777" w:rsidR="00D80A0F" w:rsidRDefault="00000000">
            <w:pPr>
              <w:spacing w:after="0" w:line="240" w:lineRule="auto"/>
            </w:pPr>
            <w:r>
              <w:rPr>
                <w:sz w:val="16"/>
              </w:rPr>
              <w:t>Wait or conduct a small qualitative pilot to refine attributes, then run DCE after competitor profiles become clearer.</w:t>
            </w:r>
          </w:p>
        </w:tc>
      </w:tr>
    </w:tbl>
    <w:p w14:paraId="120A80F9" w14:textId="77777777" w:rsidR="00D80A0F" w:rsidRDefault="00000000">
      <w:pPr>
        <w:pStyle w:val="Heading1"/>
        <w:spacing w:before="240" w:after="100"/>
      </w:pPr>
      <w:r>
        <w:t>6. Near-term implementation plan</w:t>
      </w:r>
    </w:p>
    <w:p w14:paraId="38028A3A" w14:textId="77777777" w:rsidR="00D80A0F" w:rsidRDefault="00000000">
      <w:r>
        <w:t>The implementation plan assumes the asset is Phase 3-ready and that trial timing, ownership, and financing may create operational constraints. It therefore favors small, high-yield additions that can survive partner diligence and protocol finalization.</w:t>
      </w:r>
    </w:p>
    <w:p w14:paraId="547DAEA2" w14:textId="77777777" w:rsidR="00D80A0F" w:rsidRDefault="00000000">
      <w:pPr>
        <w:spacing w:before="80" w:after="60"/>
      </w:pPr>
      <w:r>
        <w:rPr>
          <w:b/>
          <w:color w:val="1F4E79"/>
        </w:rPr>
        <w:t>Table 12. Action plan</w:t>
      </w:r>
    </w:p>
    <w:tbl>
      <w:tblPr>
        <w:tblStyle w:val="TableGrid"/>
        <w:tblW w:w="0" w:type="auto"/>
        <w:jc w:val="center"/>
        <w:tblLayout w:type="fixed"/>
        <w:tblLook w:val="04A0" w:firstRow="1" w:lastRow="0" w:firstColumn="1" w:lastColumn="0" w:noHBand="0" w:noVBand="1"/>
      </w:tblPr>
      <w:tblGrid>
        <w:gridCol w:w="1296"/>
        <w:gridCol w:w="2232"/>
        <w:gridCol w:w="4608"/>
        <w:gridCol w:w="2088"/>
      </w:tblGrid>
      <w:tr w:rsidR="00D80A0F" w14:paraId="1141076F" w14:textId="77777777">
        <w:trPr>
          <w:cantSplit/>
          <w:tblHeader/>
          <w:jc w:val="center"/>
        </w:trPr>
        <w:tc>
          <w:tcPr>
            <w:tcW w:w="129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4A15557" w14:textId="77777777" w:rsidR="00D80A0F" w:rsidRDefault="00000000">
            <w:pPr>
              <w:spacing w:after="0"/>
            </w:pPr>
            <w:r>
              <w:rPr>
                <w:b/>
                <w:color w:val="FFFFFF"/>
                <w:sz w:val="17"/>
              </w:rPr>
              <w:t>Timing</w:t>
            </w:r>
          </w:p>
        </w:tc>
        <w:tc>
          <w:tcPr>
            <w:tcW w:w="223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C53D84C" w14:textId="77777777" w:rsidR="00D80A0F" w:rsidRDefault="00000000">
            <w:pPr>
              <w:spacing w:after="0"/>
            </w:pPr>
            <w:r>
              <w:rPr>
                <w:b/>
                <w:color w:val="FFFFFF"/>
                <w:sz w:val="17"/>
              </w:rPr>
              <w:t>Action</w:t>
            </w:r>
          </w:p>
        </w:tc>
        <w:tc>
          <w:tcPr>
            <w:tcW w:w="460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79DD8D0" w14:textId="77777777" w:rsidR="00D80A0F" w:rsidRDefault="00000000">
            <w:pPr>
              <w:spacing w:after="0"/>
            </w:pPr>
            <w:r>
              <w:rPr>
                <w:b/>
                <w:color w:val="FFFFFF"/>
                <w:sz w:val="17"/>
              </w:rPr>
              <w:t>Deliverable</w:t>
            </w:r>
          </w:p>
        </w:tc>
        <w:tc>
          <w:tcPr>
            <w:tcW w:w="208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D93917C" w14:textId="77777777" w:rsidR="00D80A0F" w:rsidRDefault="00000000">
            <w:pPr>
              <w:spacing w:after="0"/>
            </w:pPr>
            <w:r>
              <w:rPr>
                <w:b/>
                <w:color w:val="FFFFFF"/>
                <w:sz w:val="17"/>
              </w:rPr>
              <w:t>Owners</w:t>
            </w:r>
          </w:p>
        </w:tc>
      </w:tr>
      <w:tr w:rsidR="00D80A0F" w14:paraId="095A20B4" w14:textId="77777777">
        <w:trPr>
          <w:cantSplit/>
          <w:jc w:val="center"/>
        </w:trPr>
        <w:tc>
          <w:tcPr>
            <w:tcW w:w="1296" w:type="dxa"/>
            <w:tcBorders>
              <w:top w:val="single" w:sz="4" w:space="0" w:color="BFBFBF"/>
              <w:left w:val="single" w:sz="4" w:space="0" w:color="BFBFBF"/>
              <w:bottom w:val="single" w:sz="4" w:space="0" w:color="BFBFBF"/>
              <w:right w:val="single" w:sz="4" w:space="0" w:color="BFBFBF"/>
            </w:tcBorders>
          </w:tcPr>
          <w:p w14:paraId="06C6E872" w14:textId="77777777" w:rsidR="00D80A0F" w:rsidRDefault="00000000">
            <w:pPr>
              <w:spacing w:after="0" w:line="240" w:lineRule="auto"/>
            </w:pPr>
            <w:r>
              <w:rPr>
                <w:sz w:val="16"/>
              </w:rPr>
              <w:t>0-30 days</w:t>
            </w:r>
          </w:p>
        </w:tc>
        <w:tc>
          <w:tcPr>
            <w:tcW w:w="2232" w:type="dxa"/>
            <w:tcBorders>
              <w:top w:val="single" w:sz="4" w:space="0" w:color="BFBFBF"/>
              <w:left w:val="single" w:sz="4" w:space="0" w:color="BFBFBF"/>
              <w:bottom w:val="single" w:sz="4" w:space="0" w:color="BFBFBF"/>
              <w:right w:val="single" w:sz="4" w:space="0" w:color="BFBFBF"/>
            </w:tcBorders>
          </w:tcPr>
          <w:p w14:paraId="17D01CF5" w14:textId="77777777" w:rsidR="00D80A0F" w:rsidRDefault="00000000">
            <w:pPr>
              <w:spacing w:after="0" w:line="240" w:lineRule="auto"/>
            </w:pPr>
            <w:r>
              <w:rPr>
                <w:sz w:val="16"/>
              </w:rPr>
              <w:t>Endpoint lock workshop</w:t>
            </w:r>
          </w:p>
        </w:tc>
        <w:tc>
          <w:tcPr>
            <w:tcW w:w="4608" w:type="dxa"/>
            <w:tcBorders>
              <w:top w:val="single" w:sz="4" w:space="0" w:color="BFBFBF"/>
              <w:left w:val="single" w:sz="4" w:space="0" w:color="BFBFBF"/>
              <w:bottom w:val="single" w:sz="4" w:space="0" w:color="BFBFBF"/>
              <w:right w:val="single" w:sz="4" w:space="0" w:color="BFBFBF"/>
            </w:tcBorders>
          </w:tcPr>
          <w:p w14:paraId="25F397AE" w14:textId="77777777" w:rsidR="00D80A0F" w:rsidRDefault="00000000">
            <w:pPr>
              <w:spacing w:after="0" w:line="240" w:lineRule="auto"/>
            </w:pPr>
            <w:r>
              <w:rPr>
                <w:sz w:val="16"/>
              </w:rPr>
              <w:t>Finalize stakeholder endpoint charter; align definitions for rescue, treatment-free interval, visit categories, HCRU, patient/caregiver time, and procedure experience.</w:t>
            </w:r>
          </w:p>
        </w:tc>
        <w:tc>
          <w:tcPr>
            <w:tcW w:w="2088" w:type="dxa"/>
            <w:tcBorders>
              <w:top w:val="single" w:sz="4" w:space="0" w:color="BFBFBF"/>
              <w:left w:val="single" w:sz="4" w:space="0" w:color="BFBFBF"/>
              <w:bottom w:val="single" w:sz="4" w:space="0" w:color="BFBFBF"/>
              <w:right w:val="single" w:sz="4" w:space="0" w:color="BFBFBF"/>
            </w:tcBorders>
          </w:tcPr>
          <w:p w14:paraId="0D0EBC4A" w14:textId="77777777" w:rsidR="00D80A0F" w:rsidRDefault="00000000">
            <w:pPr>
              <w:spacing w:after="0" w:line="240" w:lineRule="auto"/>
            </w:pPr>
            <w:r>
              <w:rPr>
                <w:sz w:val="16"/>
              </w:rPr>
              <w:t>Clinical, medical affairs, HEOR, biostats, retina KOLs, trial ops</w:t>
            </w:r>
          </w:p>
        </w:tc>
      </w:tr>
      <w:tr w:rsidR="00D80A0F" w14:paraId="43D64957" w14:textId="77777777">
        <w:trPr>
          <w:cantSplit/>
          <w:jc w:val="center"/>
        </w:trPr>
        <w:tc>
          <w:tcPr>
            <w:tcW w:w="1296" w:type="dxa"/>
            <w:tcBorders>
              <w:top w:val="single" w:sz="4" w:space="0" w:color="BFBFBF"/>
              <w:left w:val="single" w:sz="4" w:space="0" w:color="BFBFBF"/>
              <w:bottom w:val="single" w:sz="4" w:space="0" w:color="BFBFBF"/>
              <w:right w:val="single" w:sz="4" w:space="0" w:color="BFBFBF"/>
            </w:tcBorders>
          </w:tcPr>
          <w:p w14:paraId="61A5473F" w14:textId="77777777" w:rsidR="00D80A0F" w:rsidRDefault="00000000">
            <w:pPr>
              <w:spacing w:after="0" w:line="240" w:lineRule="auto"/>
            </w:pPr>
            <w:r>
              <w:rPr>
                <w:sz w:val="16"/>
              </w:rPr>
              <w:t>0-60 days</w:t>
            </w:r>
          </w:p>
        </w:tc>
        <w:tc>
          <w:tcPr>
            <w:tcW w:w="2232" w:type="dxa"/>
            <w:tcBorders>
              <w:top w:val="single" w:sz="4" w:space="0" w:color="BFBFBF"/>
              <w:left w:val="single" w:sz="4" w:space="0" w:color="BFBFBF"/>
              <w:bottom w:val="single" w:sz="4" w:space="0" w:color="BFBFBF"/>
              <w:right w:val="single" w:sz="4" w:space="0" w:color="BFBFBF"/>
            </w:tcBorders>
          </w:tcPr>
          <w:p w14:paraId="1CAB1C06" w14:textId="77777777" w:rsidR="00D80A0F" w:rsidRDefault="00000000">
            <w:pPr>
              <w:spacing w:after="0" w:line="240" w:lineRule="auto"/>
            </w:pPr>
            <w:r>
              <w:rPr>
                <w:sz w:val="16"/>
              </w:rPr>
              <w:t>Phase 3 protocol/SAP addendum</w:t>
            </w:r>
          </w:p>
        </w:tc>
        <w:tc>
          <w:tcPr>
            <w:tcW w:w="4608" w:type="dxa"/>
            <w:tcBorders>
              <w:top w:val="single" w:sz="4" w:space="0" w:color="BFBFBF"/>
              <w:left w:val="single" w:sz="4" w:space="0" w:color="BFBFBF"/>
              <w:bottom w:val="single" w:sz="4" w:space="0" w:color="BFBFBF"/>
              <w:right w:val="single" w:sz="4" w:space="0" w:color="BFBFBF"/>
            </w:tcBorders>
          </w:tcPr>
          <w:p w14:paraId="6B5EC760" w14:textId="77777777" w:rsidR="00D80A0F" w:rsidRDefault="00000000">
            <w:pPr>
              <w:spacing w:after="0" w:line="240" w:lineRule="auto"/>
            </w:pPr>
            <w:r>
              <w:rPr>
                <w:sz w:val="16"/>
              </w:rPr>
              <w:t>Embed top endpoints with minimal burden; build eCRF fields, ePRO schedule, site logs, and central OCT outputs.</w:t>
            </w:r>
          </w:p>
        </w:tc>
        <w:tc>
          <w:tcPr>
            <w:tcW w:w="2088" w:type="dxa"/>
            <w:tcBorders>
              <w:top w:val="single" w:sz="4" w:space="0" w:color="BFBFBF"/>
              <w:left w:val="single" w:sz="4" w:space="0" w:color="BFBFBF"/>
              <w:bottom w:val="single" w:sz="4" w:space="0" w:color="BFBFBF"/>
              <w:right w:val="single" w:sz="4" w:space="0" w:color="BFBFBF"/>
            </w:tcBorders>
          </w:tcPr>
          <w:p w14:paraId="2E13ACBB" w14:textId="77777777" w:rsidR="00D80A0F" w:rsidRDefault="00000000">
            <w:pPr>
              <w:spacing w:after="0" w:line="240" w:lineRule="auto"/>
            </w:pPr>
            <w:r>
              <w:rPr>
                <w:sz w:val="16"/>
              </w:rPr>
              <w:t>Clinical, biostats, HEOR, CRO</w:t>
            </w:r>
          </w:p>
        </w:tc>
      </w:tr>
      <w:tr w:rsidR="00D80A0F" w14:paraId="2A840854" w14:textId="77777777">
        <w:trPr>
          <w:cantSplit/>
          <w:jc w:val="center"/>
        </w:trPr>
        <w:tc>
          <w:tcPr>
            <w:tcW w:w="1296" w:type="dxa"/>
            <w:tcBorders>
              <w:top w:val="single" w:sz="4" w:space="0" w:color="BFBFBF"/>
              <w:left w:val="single" w:sz="4" w:space="0" w:color="BFBFBF"/>
              <w:bottom w:val="single" w:sz="4" w:space="0" w:color="BFBFBF"/>
              <w:right w:val="single" w:sz="4" w:space="0" w:color="BFBFBF"/>
            </w:tcBorders>
          </w:tcPr>
          <w:p w14:paraId="0EC86C6B" w14:textId="77777777" w:rsidR="00D80A0F" w:rsidRDefault="00000000">
            <w:pPr>
              <w:spacing w:after="0" w:line="240" w:lineRule="auto"/>
            </w:pPr>
            <w:r>
              <w:rPr>
                <w:sz w:val="16"/>
              </w:rPr>
              <w:t>0-90 days</w:t>
            </w:r>
          </w:p>
        </w:tc>
        <w:tc>
          <w:tcPr>
            <w:tcW w:w="2232" w:type="dxa"/>
            <w:tcBorders>
              <w:top w:val="single" w:sz="4" w:space="0" w:color="BFBFBF"/>
              <w:left w:val="single" w:sz="4" w:space="0" w:color="BFBFBF"/>
              <w:bottom w:val="single" w:sz="4" w:space="0" w:color="BFBFBF"/>
              <w:right w:val="single" w:sz="4" w:space="0" w:color="BFBFBF"/>
            </w:tcBorders>
          </w:tcPr>
          <w:p w14:paraId="39F4083B" w14:textId="77777777" w:rsidR="00D80A0F" w:rsidRDefault="00000000">
            <w:pPr>
              <w:spacing w:after="0" w:line="240" w:lineRule="auto"/>
            </w:pPr>
            <w:r>
              <w:rPr>
                <w:sz w:val="16"/>
              </w:rPr>
              <w:t>Living competitor evidence map</w:t>
            </w:r>
          </w:p>
        </w:tc>
        <w:tc>
          <w:tcPr>
            <w:tcW w:w="4608" w:type="dxa"/>
            <w:tcBorders>
              <w:top w:val="single" w:sz="4" w:space="0" w:color="BFBFBF"/>
              <w:left w:val="single" w:sz="4" w:space="0" w:color="BFBFBF"/>
              <w:bottom w:val="single" w:sz="4" w:space="0" w:color="BFBFBF"/>
              <w:right w:val="single" w:sz="4" w:space="0" w:color="BFBFBF"/>
            </w:tcBorders>
          </w:tcPr>
          <w:p w14:paraId="61ECA496" w14:textId="77777777" w:rsidR="00D80A0F" w:rsidRDefault="00000000">
            <w:pPr>
              <w:spacing w:after="0" w:line="240" w:lineRule="auto"/>
            </w:pPr>
            <w:r>
              <w:rPr>
                <w:sz w:val="16"/>
              </w:rPr>
              <w:t>Create data-abstraction template and scenario model; set update triggers for AXPAXLI, DURAVYU, EYLEA HD, 4D-150, sura-vec, and ixo-vec.</w:t>
            </w:r>
          </w:p>
        </w:tc>
        <w:tc>
          <w:tcPr>
            <w:tcW w:w="2088" w:type="dxa"/>
            <w:tcBorders>
              <w:top w:val="single" w:sz="4" w:space="0" w:color="BFBFBF"/>
              <w:left w:val="single" w:sz="4" w:space="0" w:color="BFBFBF"/>
              <w:bottom w:val="single" w:sz="4" w:space="0" w:color="BFBFBF"/>
              <w:right w:val="single" w:sz="4" w:space="0" w:color="BFBFBF"/>
            </w:tcBorders>
          </w:tcPr>
          <w:p w14:paraId="4E72F093" w14:textId="77777777" w:rsidR="00D80A0F" w:rsidRDefault="00000000">
            <w:pPr>
              <w:spacing w:after="0" w:line="240" w:lineRule="auto"/>
            </w:pPr>
            <w:r>
              <w:rPr>
                <w:sz w:val="16"/>
              </w:rPr>
              <w:t>HEOR, competitive intelligence, medical strategy, BD</w:t>
            </w:r>
          </w:p>
        </w:tc>
      </w:tr>
      <w:tr w:rsidR="00D80A0F" w14:paraId="04E4598A" w14:textId="77777777">
        <w:trPr>
          <w:cantSplit/>
          <w:jc w:val="center"/>
        </w:trPr>
        <w:tc>
          <w:tcPr>
            <w:tcW w:w="1296" w:type="dxa"/>
            <w:tcBorders>
              <w:top w:val="single" w:sz="4" w:space="0" w:color="BFBFBF"/>
              <w:left w:val="single" w:sz="4" w:space="0" w:color="BFBFBF"/>
              <w:bottom w:val="single" w:sz="4" w:space="0" w:color="BFBFBF"/>
              <w:right w:val="single" w:sz="4" w:space="0" w:color="BFBFBF"/>
            </w:tcBorders>
          </w:tcPr>
          <w:p w14:paraId="26403896" w14:textId="77777777" w:rsidR="00D80A0F" w:rsidRDefault="00000000">
            <w:pPr>
              <w:spacing w:after="0" w:line="240" w:lineRule="auto"/>
            </w:pPr>
            <w:r>
              <w:rPr>
                <w:sz w:val="16"/>
              </w:rPr>
              <w:t>60-180 days</w:t>
            </w:r>
          </w:p>
        </w:tc>
        <w:tc>
          <w:tcPr>
            <w:tcW w:w="2232" w:type="dxa"/>
            <w:tcBorders>
              <w:top w:val="single" w:sz="4" w:space="0" w:color="BFBFBF"/>
              <w:left w:val="single" w:sz="4" w:space="0" w:color="BFBFBF"/>
              <w:bottom w:val="single" w:sz="4" w:space="0" w:color="BFBFBF"/>
              <w:right w:val="single" w:sz="4" w:space="0" w:color="BFBFBF"/>
            </w:tcBorders>
          </w:tcPr>
          <w:p w14:paraId="08C7A391" w14:textId="77777777" w:rsidR="00D80A0F" w:rsidRDefault="00000000">
            <w:pPr>
              <w:spacing w:after="0" w:line="240" w:lineRule="auto"/>
            </w:pPr>
            <w:r>
              <w:rPr>
                <w:sz w:val="16"/>
              </w:rPr>
              <w:t>Burden/workflow substudy pilot</w:t>
            </w:r>
          </w:p>
        </w:tc>
        <w:tc>
          <w:tcPr>
            <w:tcW w:w="4608" w:type="dxa"/>
            <w:tcBorders>
              <w:top w:val="single" w:sz="4" w:space="0" w:color="BFBFBF"/>
              <w:left w:val="single" w:sz="4" w:space="0" w:color="BFBFBF"/>
              <w:bottom w:val="single" w:sz="4" w:space="0" w:color="BFBFBF"/>
              <w:right w:val="single" w:sz="4" w:space="0" w:color="BFBFBF"/>
            </w:tcBorders>
          </w:tcPr>
          <w:p w14:paraId="6DDAB9AE" w14:textId="77777777" w:rsidR="00D80A0F" w:rsidRDefault="00000000">
            <w:pPr>
              <w:spacing w:after="0" w:line="240" w:lineRule="auto"/>
            </w:pPr>
            <w:r>
              <w:rPr>
                <w:sz w:val="16"/>
              </w:rPr>
              <w:t>Pilot at high-volume sites; confirm feasibility and burden of ePRO/site workflow capture before scaling.</w:t>
            </w:r>
          </w:p>
        </w:tc>
        <w:tc>
          <w:tcPr>
            <w:tcW w:w="2088" w:type="dxa"/>
            <w:tcBorders>
              <w:top w:val="single" w:sz="4" w:space="0" w:color="BFBFBF"/>
              <w:left w:val="single" w:sz="4" w:space="0" w:color="BFBFBF"/>
              <w:bottom w:val="single" w:sz="4" w:space="0" w:color="BFBFBF"/>
              <w:right w:val="single" w:sz="4" w:space="0" w:color="BFBFBF"/>
            </w:tcBorders>
          </w:tcPr>
          <w:p w14:paraId="7B123767" w14:textId="77777777" w:rsidR="00D80A0F" w:rsidRDefault="00000000">
            <w:pPr>
              <w:spacing w:after="0" w:line="240" w:lineRule="auto"/>
            </w:pPr>
            <w:r>
              <w:rPr>
                <w:sz w:val="16"/>
              </w:rPr>
              <w:t>Trial ops, sites, HEOR, patient engagement</w:t>
            </w:r>
          </w:p>
        </w:tc>
      </w:tr>
      <w:tr w:rsidR="00D80A0F" w14:paraId="05BEAEE9" w14:textId="77777777">
        <w:trPr>
          <w:cantSplit/>
          <w:jc w:val="center"/>
        </w:trPr>
        <w:tc>
          <w:tcPr>
            <w:tcW w:w="1296" w:type="dxa"/>
            <w:tcBorders>
              <w:top w:val="single" w:sz="4" w:space="0" w:color="BFBFBF"/>
              <w:left w:val="single" w:sz="4" w:space="0" w:color="BFBFBF"/>
              <w:bottom w:val="single" w:sz="4" w:space="0" w:color="BFBFBF"/>
              <w:right w:val="single" w:sz="4" w:space="0" w:color="BFBFBF"/>
            </w:tcBorders>
          </w:tcPr>
          <w:p w14:paraId="474BC4FF" w14:textId="77777777" w:rsidR="00D80A0F" w:rsidRDefault="00000000">
            <w:pPr>
              <w:spacing w:after="0" w:line="240" w:lineRule="auto"/>
            </w:pPr>
            <w:r>
              <w:rPr>
                <w:sz w:val="16"/>
              </w:rPr>
              <w:t>60-180 days</w:t>
            </w:r>
          </w:p>
        </w:tc>
        <w:tc>
          <w:tcPr>
            <w:tcW w:w="2232" w:type="dxa"/>
            <w:tcBorders>
              <w:top w:val="single" w:sz="4" w:space="0" w:color="BFBFBF"/>
              <w:left w:val="single" w:sz="4" w:space="0" w:color="BFBFBF"/>
              <w:bottom w:val="single" w:sz="4" w:space="0" w:color="BFBFBF"/>
              <w:right w:val="single" w:sz="4" w:space="0" w:color="BFBFBF"/>
            </w:tcBorders>
          </w:tcPr>
          <w:p w14:paraId="40D13783" w14:textId="77777777" w:rsidR="00D80A0F" w:rsidRDefault="00000000">
            <w:pPr>
              <w:spacing w:after="0" w:line="240" w:lineRule="auto"/>
            </w:pPr>
            <w:r>
              <w:rPr>
                <w:sz w:val="16"/>
              </w:rPr>
              <w:t>Payer and physician evidence thresholds</w:t>
            </w:r>
          </w:p>
        </w:tc>
        <w:tc>
          <w:tcPr>
            <w:tcW w:w="4608" w:type="dxa"/>
            <w:tcBorders>
              <w:top w:val="single" w:sz="4" w:space="0" w:color="BFBFBF"/>
              <w:left w:val="single" w:sz="4" w:space="0" w:color="BFBFBF"/>
              <w:bottom w:val="single" w:sz="4" w:space="0" w:color="BFBFBF"/>
              <w:right w:val="single" w:sz="4" w:space="0" w:color="BFBFBF"/>
            </w:tcBorders>
          </w:tcPr>
          <w:p w14:paraId="354B845E" w14:textId="77777777" w:rsidR="00D80A0F" w:rsidRDefault="00000000">
            <w:pPr>
              <w:spacing w:after="0" w:line="240" w:lineRule="auto"/>
            </w:pPr>
            <w:r>
              <w:rPr>
                <w:sz w:val="16"/>
              </w:rPr>
              <w:t>Use blinded scenarios to test what magnitude of visit reduction, rescue-free durability, safety, and price offsets matter.</w:t>
            </w:r>
          </w:p>
        </w:tc>
        <w:tc>
          <w:tcPr>
            <w:tcW w:w="2088" w:type="dxa"/>
            <w:tcBorders>
              <w:top w:val="single" w:sz="4" w:space="0" w:color="BFBFBF"/>
              <w:left w:val="single" w:sz="4" w:space="0" w:color="BFBFBF"/>
              <w:bottom w:val="single" w:sz="4" w:space="0" w:color="BFBFBF"/>
              <w:right w:val="single" w:sz="4" w:space="0" w:color="BFBFBF"/>
            </w:tcBorders>
          </w:tcPr>
          <w:p w14:paraId="2D21D394" w14:textId="77777777" w:rsidR="00D80A0F" w:rsidRDefault="00000000">
            <w:pPr>
              <w:spacing w:after="0" w:line="240" w:lineRule="auto"/>
            </w:pPr>
            <w:r>
              <w:rPr>
                <w:sz w:val="16"/>
              </w:rPr>
              <w:t>Market access, HEOR, medical affairs</w:t>
            </w:r>
          </w:p>
        </w:tc>
      </w:tr>
      <w:tr w:rsidR="00D80A0F" w14:paraId="4F56E404" w14:textId="77777777">
        <w:trPr>
          <w:cantSplit/>
          <w:jc w:val="center"/>
        </w:trPr>
        <w:tc>
          <w:tcPr>
            <w:tcW w:w="1296" w:type="dxa"/>
            <w:tcBorders>
              <w:top w:val="single" w:sz="4" w:space="0" w:color="BFBFBF"/>
              <w:left w:val="single" w:sz="4" w:space="0" w:color="BFBFBF"/>
              <w:bottom w:val="single" w:sz="4" w:space="0" w:color="BFBFBF"/>
              <w:right w:val="single" w:sz="4" w:space="0" w:color="BFBFBF"/>
            </w:tcBorders>
          </w:tcPr>
          <w:p w14:paraId="7F48C176" w14:textId="77777777" w:rsidR="00D80A0F" w:rsidRDefault="00000000">
            <w:pPr>
              <w:spacing w:after="0" w:line="240" w:lineRule="auto"/>
            </w:pPr>
            <w:r>
              <w:rPr>
                <w:sz w:val="16"/>
              </w:rPr>
              <w:t>Phase 3 first patient through Week 52</w:t>
            </w:r>
          </w:p>
        </w:tc>
        <w:tc>
          <w:tcPr>
            <w:tcW w:w="2232" w:type="dxa"/>
            <w:tcBorders>
              <w:top w:val="single" w:sz="4" w:space="0" w:color="BFBFBF"/>
              <w:left w:val="single" w:sz="4" w:space="0" w:color="BFBFBF"/>
              <w:bottom w:val="single" w:sz="4" w:space="0" w:color="BFBFBF"/>
              <w:right w:val="single" w:sz="4" w:space="0" w:color="BFBFBF"/>
            </w:tcBorders>
          </w:tcPr>
          <w:p w14:paraId="2532BB23" w14:textId="77777777" w:rsidR="00D80A0F" w:rsidRDefault="00000000">
            <w:pPr>
              <w:spacing w:after="0" w:line="240" w:lineRule="auto"/>
            </w:pPr>
            <w:r>
              <w:rPr>
                <w:sz w:val="16"/>
              </w:rPr>
              <w:t>Evidence quality dashboard</w:t>
            </w:r>
          </w:p>
        </w:tc>
        <w:tc>
          <w:tcPr>
            <w:tcW w:w="4608" w:type="dxa"/>
            <w:tcBorders>
              <w:top w:val="single" w:sz="4" w:space="0" w:color="BFBFBF"/>
              <w:left w:val="single" w:sz="4" w:space="0" w:color="BFBFBF"/>
              <w:bottom w:val="single" w:sz="4" w:space="0" w:color="BFBFBF"/>
              <w:right w:val="single" w:sz="4" w:space="0" w:color="BFBFBF"/>
            </w:tcBorders>
          </w:tcPr>
          <w:p w14:paraId="2641FD84" w14:textId="77777777" w:rsidR="00D80A0F" w:rsidRDefault="00000000">
            <w:pPr>
              <w:spacing w:after="0" w:line="240" w:lineRule="auto"/>
            </w:pPr>
            <w:r>
              <w:rPr>
                <w:sz w:val="16"/>
              </w:rPr>
              <w:t>Monitor missingness, site compliance, rescue-code completeness, and patient/caregiver module completion.</w:t>
            </w:r>
          </w:p>
        </w:tc>
        <w:tc>
          <w:tcPr>
            <w:tcW w:w="2088" w:type="dxa"/>
            <w:tcBorders>
              <w:top w:val="single" w:sz="4" w:space="0" w:color="BFBFBF"/>
              <w:left w:val="single" w:sz="4" w:space="0" w:color="BFBFBF"/>
              <w:bottom w:val="single" w:sz="4" w:space="0" w:color="BFBFBF"/>
              <w:right w:val="single" w:sz="4" w:space="0" w:color="BFBFBF"/>
            </w:tcBorders>
          </w:tcPr>
          <w:p w14:paraId="4CA77596" w14:textId="77777777" w:rsidR="00D80A0F" w:rsidRDefault="00000000">
            <w:pPr>
              <w:spacing w:after="0" w:line="240" w:lineRule="auto"/>
            </w:pPr>
            <w:r>
              <w:rPr>
                <w:sz w:val="16"/>
              </w:rPr>
              <w:t>HEOR, CRO, data management, biostats</w:t>
            </w:r>
          </w:p>
        </w:tc>
      </w:tr>
      <w:tr w:rsidR="00D80A0F" w14:paraId="187B1A5C" w14:textId="77777777">
        <w:trPr>
          <w:cantSplit/>
          <w:jc w:val="center"/>
        </w:trPr>
        <w:tc>
          <w:tcPr>
            <w:tcW w:w="1296" w:type="dxa"/>
            <w:tcBorders>
              <w:top w:val="single" w:sz="4" w:space="0" w:color="BFBFBF"/>
              <w:left w:val="single" w:sz="4" w:space="0" w:color="BFBFBF"/>
              <w:bottom w:val="single" w:sz="4" w:space="0" w:color="BFBFBF"/>
              <w:right w:val="single" w:sz="4" w:space="0" w:color="BFBFBF"/>
            </w:tcBorders>
          </w:tcPr>
          <w:p w14:paraId="53765634" w14:textId="77777777" w:rsidR="00D80A0F" w:rsidRDefault="00000000">
            <w:pPr>
              <w:spacing w:after="0" w:line="240" w:lineRule="auto"/>
            </w:pPr>
            <w:r>
              <w:rPr>
                <w:sz w:val="16"/>
              </w:rPr>
              <w:t>Pre-readout / pre-launch</w:t>
            </w:r>
          </w:p>
        </w:tc>
        <w:tc>
          <w:tcPr>
            <w:tcW w:w="2232" w:type="dxa"/>
            <w:tcBorders>
              <w:top w:val="single" w:sz="4" w:space="0" w:color="BFBFBF"/>
              <w:left w:val="single" w:sz="4" w:space="0" w:color="BFBFBF"/>
              <w:bottom w:val="single" w:sz="4" w:space="0" w:color="BFBFBF"/>
              <w:right w:val="single" w:sz="4" w:space="0" w:color="BFBFBF"/>
            </w:tcBorders>
          </w:tcPr>
          <w:p w14:paraId="7DD5E02E" w14:textId="77777777" w:rsidR="00D80A0F" w:rsidRDefault="00000000">
            <w:pPr>
              <w:spacing w:after="0" w:line="240" w:lineRule="auto"/>
            </w:pPr>
            <w:r>
              <w:rPr>
                <w:sz w:val="16"/>
              </w:rPr>
              <w:t>AMCP and launch evidence package</w:t>
            </w:r>
          </w:p>
        </w:tc>
        <w:tc>
          <w:tcPr>
            <w:tcW w:w="4608" w:type="dxa"/>
            <w:tcBorders>
              <w:top w:val="single" w:sz="4" w:space="0" w:color="BFBFBF"/>
              <w:left w:val="single" w:sz="4" w:space="0" w:color="BFBFBF"/>
              <w:bottom w:val="single" w:sz="4" w:space="0" w:color="BFBFBF"/>
              <w:right w:val="single" w:sz="4" w:space="0" w:color="BFBFBF"/>
            </w:tcBorders>
          </w:tcPr>
          <w:p w14:paraId="11063601" w14:textId="77777777" w:rsidR="00D80A0F" w:rsidRDefault="00000000">
            <w:pPr>
              <w:spacing w:after="0" w:line="240" w:lineRule="auto"/>
            </w:pPr>
            <w:r>
              <w:rPr>
                <w:sz w:val="16"/>
              </w:rPr>
              <w:t>Populate budget-impact and cost-consequence model; prepare payer-ready evidence summaries and publication plan.</w:t>
            </w:r>
          </w:p>
        </w:tc>
        <w:tc>
          <w:tcPr>
            <w:tcW w:w="2088" w:type="dxa"/>
            <w:tcBorders>
              <w:top w:val="single" w:sz="4" w:space="0" w:color="BFBFBF"/>
              <w:left w:val="single" w:sz="4" w:space="0" w:color="BFBFBF"/>
              <w:bottom w:val="single" w:sz="4" w:space="0" w:color="BFBFBF"/>
              <w:right w:val="single" w:sz="4" w:space="0" w:color="BFBFBF"/>
            </w:tcBorders>
          </w:tcPr>
          <w:p w14:paraId="3652906B" w14:textId="77777777" w:rsidR="00D80A0F" w:rsidRDefault="00000000">
            <w:pPr>
              <w:spacing w:after="0" w:line="240" w:lineRule="auto"/>
            </w:pPr>
            <w:r>
              <w:rPr>
                <w:sz w:val="16"/>
              </w:rPr>
              <w:t>Market access, HEOR, medical affairs</w:t>
            </w:r>
          </w:p>
        </w:tc>
      </w:tr>
    </w:tbl>
    <w:p w14:paraId="45AF0BD2" w14:textId="56BA70A7" w:rsidR="00D80A0F" w:rsidRDefault="00000000">
      <w:pPr>
        <w:pStyle w:val="Heading2"/>
        <w:spacing w:before="160" w:after="100"/>
      </w:pPr>
      <w:r>
        <w:t>Stakeholder-specific value story</w:t>
      </w:r>
    </w:p>
    <w:p w14:paraId="67654D4E" w14:textId="77777777" w:rsidR="00D80A0F" w:rsidRDefault="00000000">
      <w:pPr>
        <w:spacing w:before="80" w:after="60"/>
      </w:pPr>
      <w:r>
        <w:rPr>
          <w:b/>
          <w:color w:val="1F4E79"/>
        </w:rPr>
        <w:t>Table 13. Stakeholder proof map</w:t>
      </w:r>
    </w:p>
    <w:tbl>
      <w:tblPr>
        <w:tblStyle w:val="TableGrid"/>
        <w:tblW w:w="0" w:type="auto"/>
        <w:jc w:val="center"/>
        <w:tblLayout w:type="fixed"/>
        <w:tblLook w:val="04A0" w:firstRow="1" w:lastRow="0" w:firstColumn="1" w:lastColumn="0" w:noHBand="0" w:noVBand="1"/>
      </w:tblPr>
      <w:tblGrid>
        <w:gridCol w:w="1655"/>
        <w:gridCol w:w="4896"/>
        <w:gridCol w:w="3671"/>
      </w:tblGrid>
      <w:tr w:rsidR="00D80A0F" w14:paraId="4844E9D2" w14:textId="77777777">
        <w:trPr>
          <w:cantSplit/>
          <w:tblHeader/>
          <w:jc w:val="center"/>
        </w:trPr>
        <w:tc>
          <w:tcPr>
            <w:tcW w:w="1655"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4539742" w14:textId="77777777" w:rsidR="00D80A0F" w:rsidRDefault="00000000">
            <w:pPr>
              <w:spacing w:after="0"/>
            </w:pPr>
            <w:r>
              <w:rPr>
                <w:b/>
                <w:color w:val="FFFFFF"/>
                <w:sz w:val="17"/>
              </w:rPr>
              <w:t>Stakeholder</w:t>
            </w:r>
          </w:p>
        </w:tc>
        <w:tc>
          <w:tcPr>
            <w:tcW w:w="489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5DE845D" w14:textId="77777777" w:rsidR="00D80A0F" w:rsidRDefault="00000000">
            <w:pPr>
              <w:spacing w:after="0"/>
            </w:pPr>
            <w:r>
              <w:rPr>
                <w:b/>
                <w:color w:val="FFFFFF"/>
                <w:sz w:val="17"/>
              </w:rPr>
              <w:t>Updated evidence need</w:t>
            </w:r>
          </w:p>
        </w:tc>
        <w:tc>
          <w:tcPr>
            <w:tcW w:w="367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4889EE7" w14:textId="77777777" w:rsidR="00D80A0F" w:rsidRDefault="00000000">
            <w:pPr>
              <w:spacing w:after="0"/>
            </w:pPr>
            <w:r>
              <w:rPr>
                <w:b/>
                <w:color w:val="FFFFFF"/>
                <w:sz w:val="17"/>
              </w:rPr>
              <w:t>Recommended deliverables</w:t>
            </w:r>
          </w:p>
        </w:tc>
      </w:tr>
      <w:tr w:rsidR="00D80A0F" w14:paraId="4A2DDA7D" w14:textId="77777777">
        <w:trPr>
          <w:cantSplit/>
          <w:jc w:val="center"/>
        </w:trPr>
        <w:tc>
          <w:tcPr>
            <w:tcW w:w="1655" w:type="dxa"/>
            <w:tcBorders>
              <w:top w:val="single" w:sz="4" w:space="0" w:color="BFBFBF"/>
              <w:left w:val="single" w:sz="4" w:space="0" w:color="BFBFBF"/>
              <w:bottom w:val="single" w:sz="4" w:space="0" w:color="BFBFBF"/>
              <w:right w:val="single" w:sz="4" w:space="0" w:color="BFBFBF"/>
            </w:tcBorders>
          </w:tcPr>
          <w:p w14:paraId="16CAF854" w14:textId="77777777" w:rsidR="00D80A0F" w:rsidRDefault="00000000">
            <w:pPr>
              <w:spacing w:after="0" w:line="240" w:lineRule="auto"/>
            </w:pPr>
            <w:r>
              <w:rPr>
                <w:sz w:val="16"/>
              </w:rPr>
              <w:t>Payers</w:t>
            </w:r>
          </w:p>
        </w:tc>
        <w:tc>
          <w:tcPr>
            <w:tcW w:w="4896" w:type="dxa"/>
            <w:tcBorders>
              <w:top w:val="single" w:sz="4" w:space="0" w:color="BFBFBF"/>
              <w:left w:val="single" w:sz="4" w:space="0" w:color="BFBFBF"/>
              <w:bottom w:val="single" w:sz="4" w:space="0" w:color="BFBFBF"/>
              <w:right w:val="single" w:sz="4" w:space="0" w:color="BFBFBF"/>
            </w:tcBorders>
          </w:tcPr>
          <w:p w14:paraId="03A57C98" w14:textId="77777777" w:rsidR="00D80A0F" w:rsidRDefault="00000000">
            <w:pPr>
              <w:spacing w:after="0" w:line="240" w:lineRule="auto"/>
            </w:pPr>
            <w:r>
              <w:rPr>
                <w:sz w:val="16"/>
              </w:rPr>
              <w:t>Not: 'fewer injections' alone. Yes: predictable budget impact, lower total visit burden, defined rescue rules, safety/resource-use profile, and evidence of which patients benefit most.</w:t>
            </w:r>
          </w:p>
        </w:tc>
        <w:tc>
          <w:tcPr>
            <w:tcW w:w="3671" w:type="dxa"/>
            <w:tcBorders>
              <w:top w:val="single" w:sz="4" w:space="0" w:color="BFBFBF"/>
              <w:left w:val="single" w:sz="4" w:space="0" w:color="BFBFBF"/>
              <w:bottom w:val="single" w:sz="4" w:space="0" w:color="BFBFBF"/>
              <w:right w:val="single" w:sz="4" w:space="0" w:color="BFBFBF"/>
            </w:tcBorders>
          </w:tcPr>
          <w:p w14:paraId="7EA99108" w14:textId="77777777" w:rsidR="00D80A0F" w:rsidRDefault="00000000">
            <w:pPr>
              <w:spacing w:after="0" w:line="240" w:lineRule="auto"/>
            </w:pPr>
            <w:r>
              <w:rPr>
                <w:sz w:val="16"/>
              </w:rPr>
              <w:t>Budget-impact model; rescue-free controlled patient-year; subgroup evidence; AMCP dossier.</w:t>
            </w:r>
          </w:p>
        </w:tc>
      </w:tr>
      <w:tr w:rsidR="00D80A0F" w14:paraId="655470E1" w14:textId="77777777">
        <w:trPr>
          <w:cantSplit/>
          <w:jc w:val="center"/>
        </w:trPr>
        <w:tc>
          <w:tcPr>
            <w:tcW w:w="1655" w:type="dxa"/>
            <w:tcBorders>
              <w:top w:val="single" w:sz="4" w:space="0" w:color="BFBFBF"/>
              <w:left w:val="single" w:sz="4" w:space="0" w:color="BFBFBF"/>
              <w:bottom w:val="single" w:sz="4" w:space="0" w:color="BFBFBF"/>
              <w:right w:val="single" w:sz="4" w:space="0" w:color="BFBFBF"/>
            </w:tcBorders>
          </w:tcPr>
          <w:p w14:paraId="5C23CD8B" w14:textId="77777777" w:rsidR="00D80A0F" w:rsidRDefault="00000000">
            <w:pPr>
              <w:spacing w:after="0" w:line="240" w:lineRule="auto"/>
            </w:pPr>
            <w:r>
              <w:rPr>
                <w:sz w:val="16"/>
              </w:rPr>
              <w:t>Retina specialists</w:t>
            </w:r>
          </w:p>
        </w:tc>
        <w:tc>
          <w:tcPr>
            <w:tcW w:w="4896" w:type="dxa"/>
            <w:tcBorders>
              <w:top w:val="single" w:sz="4" w:space="0" w:color="BFBFBF"/>
              <w:left w:val="single" w:sz="4" w:space="0" w:color="BFBFBF"/>
              <w:bottom w:val="single" w:sz="4" w:space="0" w:color="BFBFBF"/>
              <w:right w:val="single" w:sz="4" w:space="0" w:color="BFBFBF"/>
            </w:tcBorders>
          </w:tcPr>
          <w:p w14:paraId="6491290E" w14:textId="77777777" w:rsidR="00D80A0F" w:rsidRDefault="00000000">
            <w:pPr>
              <w:spacing w:after="0" w:line="240" w:lineRule="auto"/>
            </w:pPr>
            <w:r>
              <w:rPr>
                <w:sz w:val="16"/>
              </w:rPr>
              <w:t>Not: generic durability. Yes: confidence that disease control is maintained, rescue is simple, re-dosing is safe, and the procedure fits clinic flow.</w:t>
            </w:r>
          </w:p>
        </w:tc>
        <w:tc>
          <w:tcPr>
            <w:tcW w:w="3671" w:type="dxa"/>
            <w:tcBorders>
              <w:top w:val="single" w:sz="4" w:space="0" w:color="BFBFBF"/>
              <w:left w:val="single" w:sz="4" w:space="0" w:color="BFBFBF"/>
              <w:bottom w:val="single" w:sz="4" w:space="0" w:color="BFBFBF"/>
              <w:right w:val="single" w:sz="4" w:space="0" w:color="BFBFBF"/>
            </w:tcBorders>
          </w:tcPr>
          <w:p w14:paraId="2FE0FCF1" w14:textId="77777777" w:rsidR="00D80A0F" w:rsidRDefault="00000000">
            <w:pPr>
              <w:spacing w:after="0" w:line="240" w:lineRule="auto"/>
            </w:pPr>
            <w:r>
              <w:rPr>
                <w:sz w:val="16"/>
              </w:rPr>
              <w:t>Central OCT outcomes; procedure module; physician workflow; patient-selection tool.</w:t>
            </w:r>
          </w:p>
        </w:tc>
      </w:tr>
      <w:tr w:rsidR="00D80A0F" w14:paraId="74810332" w14:textId="77777777">
        <w:trPr>
          <w:cantSplit/>
          <w:jc w:val="center"/>
        </w:trPr>
        <w:tc>
          <w:tcPr>
            <w:tcW w:w="1655" w:type="dxa"/>
            <w:tcBorders>
              <w:top w:val="single" w:sz="4" w:space="0" w:color="BFBFBF"/>
              <w:left w:val="single" w:sz="4" w:space="0" w:color="BFBFBF"/>
              <w:bottom w:val="single" w:sz="4" w:space="0" w:color="BFBFBF"/>
              <w:right w:val="single" w:sz="4" w:space="0" w:color="BFBFBF"/>
            </w:tcBorders>
          </w:tcPr>
          <w:p w14:paraId="737B64F1" w14:textId="77777777" w:rsidR="00D80A0F" w:rsidRDefault="00000000">
            <w:pPr>
              <w:spacing w:after="0" w:line="240" w:lineRule="auto"/>
            </w:pPr>
            <w:r>
              <w:rPr>
                <w:sz w:val="16"/>
              </w:rPr>
              <w:t>Patients and caregivers</w:t>
            </w:r>
          </w:p>
        </w:tc>
        <w:tc>
          <w:tcPr>
            <w:tcW w:w="4896" w:type="dxa"/>
            <w:tcBorders>
              <w:top w:val="single" w:sz="4" w:space="0" w:color="BFBFBF"/>
              <w:left w:val="single" w:sz="4" w:space="0" w:color="BFBFBF"/>
              <w:bottom w:val="single" w:sz="4" w:space="0" w:color="BFBFBF"/>
              <w:right w:val="single" w:sz="4" w:space="0" w:color="BFBFBF"/>
            </w:tcBorders>
          </w:tcPr>
          <w:p w14:paraId="5FDC5F65" w14:textId="77777777" w:rsidR="00D80A0F" w:rsidRDefault="00000000">
            <w:pPr>
              <w:spacing w:after="0" w:line="240" w:lineRule="auto"/>
            </w:pPr>
            <w:r>
              <w:rPr>
                <w:sz w:val="16"/>
              </w:rPr>
              <w:t>Not: abstract injection counts. Yes: fewer days in clinic, less reliance on care partners, procedure confidence, and maintenance of vision.</w:t>
            </w:r>
          </w:p>
        </w:tc>
        <w:tc>
          <w:tcPr>
            <w:tcW w:w="3671" w:type="dxa"/>
            <w:tcBorders>
              <w:top w:val="single" w:sz="4" w:space="0" w:color="BFBFBF"/>
              <w:left w:val="single" w:sz="4" w:space="0" w:color="BFBFBF"/>
              <w:bottom w:val="single" w:sz="4" w:space="0" w:color="BFBFBF"/>
              <w:right w:val="single" w:sz="4" w:space="0" w:color="BFBFBF"/>
            </w:tcBorders>
          </w:tcPr>
          <w:p w14:paraId="24448A79" w14:textId="77777777" w:rsidR="00D80A0F" w:rsidRDefault="00000000">
            <w:pPr>
              <w:spacing w:after="0" w:line="240" w:lineRule="auto"/>
            </w:pPr>
            <w:r>
              <w:rPr>
                <w:sz w:val="16"/>
              </w:rPr>
              <w:t>Patient/caregiver burden module; treatment-confidence and willingness-to-repeat endpoints.</w:t>
            </w:r>
          </w:p>
        </w:tc>
      </w:tr>
      <w:tr w:rsidR="00D80A0F" w14:paraId="2D767825" w14:textId="77777777">
        <w:trPr>
          <w:cantSplit/>
          <w:jc w:val="center"/>
        </w:trPr>
        <w:tc>
          <w:tcPr>
            <w:tcW w:w="1655" w:type="dxa"/>
            <w:tcBorders>
              <w:top w:val="single" w:sz="4" w:space="0" w:color="BFBFBF"/>
              <w:left w:val="single" w:sz="4" w:space="0" w:color="BFBFBF"/>
              <w:bottom w:val="single" w:sz="4" w:space="0" w:color="BFBFBF"/>
              <w:right w:val="single" w:sz="4" w:space="0" w:color="BFBFBF"/>
            </w:tcBorders>
          </w:tcPr>
          <w:p w14:paraId="14647AB2" w14:textId="77777777" w:rsidR="00D80A0F" w:rsidRDefault="00000000">
            <w:pPr>
              <w:spacing w:after="0" w:line="240" w:lineRule="auto"/>
            </w:pPr>
            <w:r>
              <w:rPr>
                <w:sz w:val="16"/>
              </w:rPr>
              <w:t>Retina practices</w:t>
            </w:r>
          </w:p>
        </w:tc>
        <w:tc>
          <w:tcPr>
            <w:tcW w:w="4896" w:type="dxa"/>
            <w:tcBorders>
              <w:top w:val="single" w:sz="4" w:space="0" w:color="BFBFBF"/>
              <w:left w:val="single" w:sz="4" w:space="0" w:color="BFBFBF"/>
              <w:bottom w:val="single" w:sz="4" w:space="0" w:color="BFBFBF"/>
              <w:right w:val="single" w:sz="4" w:space="0" w:color="BFBFBF"/>
            </w:tcBorders>
          </w:tcPr>
          <w:p w14:paraId="6DC3B6EF" w14:textId="77777777" w:rsidR="00D80A0F" w:rsidRDefault="00000000">
            <w:pPr>
              <w:spacing w:after="0" w:line="240" w:lineRule="auto"/>
            </w:pPr>
            <w:r>
              <w:rPr>
                <w:sz w:val="16"/>
              </w:rPr>
              <w:t>Not: assumed efficiency. Yes: measured capacity release, chair time, imaging load, inventory burden, and staff workflow.</w:t>
            </w:r>
          </w:p>
        </w:tc>
        <w:tc>
          <w:tcPr>
            <w:tcW w:w="3671" w:type="dxa"/>
            <w:tcBorders>
              <w:top w:val="single" w:sz="4" w:space="0" w:color="BFBFBF"/>
              <w:left w:val="single" w:sz="4" w:space="0" w:color="BFBFBF"/>
              <w:bottom w:val="single" w:sz="4" w:space="0" w:color="BFBFBF"/>
              <w:right w:val="single" w:sz="4" w:space="0" w:color="BFBFBF"/>
            </w:tcBorders>
          </w:tcPr>
          <w:p w14:paraId="084DD87A" w14:textId="77777777" w:rsidR="00D80A0F" w:rsidRDefault="00000000">
            <w:pPr>
              <w:spacing w:after="0" w:line="240" w:lineRule="auto"/>
            </w:pPr>
            <w:r>
              <w:rPr>
                <w:sz w:val="16"/>
              </w:rPr>
              <w:t>Time-motion/site log; capacity model per 100 treated eyes.</w:t>
            </w:r>
          </w:p>
        </w:tc>
      </w:tr>
      <w:tr w:rsidR="00D80A0F" w14:paraId="6690B7A5" w14:textId="77777777">
        <w:trPr>
          <w:cantSplit/>
          <w:jc w:val="center"/>
        </w:trPr>
        <w:tc>
          <w:tcPr>
            <w:tcW w:w="1655" w:type="dxa"/>
            <w:tcBorders>
              <w:top w:val="single" w:sz="4" w:space="0" w:color="BFBFBF"/>
              <w:left w:val="single" w:sz="4" w:space="0" w:color="BFBFBF"/>
              <w:bottom w:val="single" w:sz="4" w:space="0" w:color="BFBFBF"/>
              <w:right w:val="single" w:sz="4" w:space="0" w:color="BFBFBF"/>
            </w:tcBorders>
          </w:tcPr>
          <w:p w14:paraId="34EBE348" w14:textId="77777777" w:rsidR="00D80A0F" w:rsidRDefault="00000000">
            <w:pPr>
              <w:spacing w:after="0" w:line="240" w:lineRule="auto"/>
            </w:pPr>
            <w:r>
              <w:rPr>
                <w:sz w:val="16"/>
              </w:rPr>
              <w:t>Strategic partners/acquirers</w:t>
            </w:r>
          </w:p>
        </w:tc>
        <w:tc>
          <w:tcPr>
            <w:tcW w:w="4896" w:type="dxa"/>
            <w:tcBorders>
              <w:top w:val="single" w:sz="4" w:space="0" w:color="BFBFBF"/>
              <w:left w:val="single" w:sz="4" w:space="0" w:color="BFBFBF"/>
              <w:bottom w:val="single" w:sz="4" w:space="0" w:color="BFBFBF"/>
              <w:right w:val="single" w:sz="4" w:space="0" w:color="BFBFBF"/>
            </w:tcBorders>
          </w:tcPr>
          <w:p w14:paraId="587B11B4" w14:textId="77777777" w:rsidR="00D80A0F" w:rsidRDefault="00000000">
            <w:pPr>
              <w:spacing w:after="0" w:line="240" w:lineRule="auto"/>
            </w:pPr>
            <w:r>
              <w:rPr>
                <w:sz w:val="16"/>
              </w:rPr>
              <w:t>Not: generic market-size story. Yes: portable evidence plan that anticipates competitor readouts and de-risks adoption.</w:t>
            </w:r>
          </w:p>
        </w:tc>
        <w:tc>
          <w:tcPr>
            <w:tcW w:w="3671" w:type="dxa"/>
            <w:tcBorders>
              <w:top w:val="single" w:sz="4" w:space="0" w:color="BFBFBF"/>
              <w:left w:val="single" w:sz="4" w:space="0" w:color="BFBFBF"/>
              <w:bottom w:val="single" w:sz="4" w:space="0" w:color="BFBFBF"/>
              <w:right w:val="single" w:sz="4" w:space="0" w:color="BFBFBF"/>
            </w:tcBorders>
          </w:tcPr>
          <w:p w14:paraId="04630A59" w14:textId="77777777" w:rsidR="00D80A0F" w:rsidRDefault="00000000">
            <w:pPr>
              <w:spacing w:after="0" w:line="240" w:lineRule="auto"/>
            </w:pPr>
            <w:r>
              <w:rPr>
                <w:sz w:val="16"/>
              </w:rPr>
              <w:t>Competitor scenario model; protocol addendum; data dictionary; publication plan.</w:t>
            </w:r>
          </w:p>
        </w:tc>
      </w:tr>
    </w:tbl>
    <w:p w14:paraId="1CECF18A" w14:textId="77777777" w:rsidR="00C0283A" w:rsidRPr="00C0283A" w:rsidRDefault="00C0283A" w:rsidP="00C0283A">
      <w:pPr>
        <w:rPr>
          <w:sz w:val="24"/>
        </w:rPr>
      </w:pPr>
    </w:p>
    <w:tbl>
      <w:tblPr>
        <w:tblW w:w="0" w:type="auto"/>
        <w:jc w:val="center"/>
        <w:tblLook w:val="04A0" w:firstRow="1" w:lastRow="0" w:firstColumn="1" w:lastColumn="0" w:noHBand="0" w:noVBand="1"/>
      </w:tblPr>
      <w:tblGrid>
        <w:gridCol w:w="10454"/>
      </w:tblGrid>
      <w:tr w:rsidR="00D80A0F" w14:paraId="35F0CEAE" w14:textId="77777777">
        <w:trPr>
          <w:jc w:val="center"/>
        </w:trPr>
        <w:tc>
          <w:tcPr>
            <w:tcW w:w="10454" w:type="dxa"/>
            <w:tcBorders>
              <w:top w:val="single" w:sz="8" w:space="0" w:color="5B9BD5"/>
              <w:left w:val="single" w:sz="8" w:space="0" w:color="5B9BD5"/>
              <w:bottom w:val="single" w:sz="8" w:space="0" w:color="5B9BD5"/>
              <w:right w:val="single" w:sz="8" w:space="0" w:color="5B9BD5"/>
            </w:tcBorders>
            <w:shd w:val="clear" w:color="auto" w:fill="EAF2F8"/>
          </w:tcPr>
          <w:p w14:paraId="58E22170" w14:textId="77777777" w:rsidR="00D80A0F" w:rsidRDefault="00000000">
            <w:pPr>
              <w:spacing w:after="80"/>
            </w:pPr>
            <w:r>
              <w:rPr>
                <w:b/>
                <w:color w:val="1F4E79"/>
                <w:sz w:val="20"/>
              </w:rPr>
              <w:t>Final prioritization</w:t>
            </w:r>
          </w:p>
          <w:p w14:paraId="7629A01F" w14:textId="77777777" w:rsidR="00D80A0F" w:rsidRDefault="00000000">
            <w:pPr>
              <w:spacing w:after="0" w:line="252" w:lineRule="auto"/>
            </w:pPr>
            <w:r>
              <w:t>The top four projects should be treated as essential: (1) Phase 3 endpoint/SAP addendum, (2) trial-embedded burden and practice-capacity substudy, (3) living competitor evidence synthesis with scenario model, and (4) suprachoroidal procedure safety/acceptability module. Projects outside these four should proceed only if they directly support patient selection, payer thresholds, or the registry architecture.</w:t>
            </w:r>
          </w:p>
        </w:tc>
      </w:tr>
    </w:tbl>
    <w:p w14:paraId="7235C7FE" w14:textId="77777777" w:rsidR="00D80A0F" w:rsidRDefault="00D80A0F">
      <w:pPr>
        <w:spacing w:after="40"/>
      </w:pPr>
    </w:p>
    <w:p w14:paraId="144652DD" w14:textId="77777777" w:rsidR="00D80A0F" w:rsidRDefault="00000000">
      <w:r>
        <w:br w:type="page"/>
      </w:r>
    </w:p>
    <w:p w14:paraId="68E597DD" w14:textId="77777777" w:rsidR="00D80A0F" w:rsidRDefault="00000000">
      <w:pPr>
        <w:pStyle w:val="Heading1"/>
        <w:spacing w:before="240" w:after="100"/>
      </w:pPr>
      <w:r>
        <w:lastRenderedPageBreak/>
        <w:t>7. Source appendix</w:t>
      </w:r>
    </w:p>
    <w:p w14:paraId="4AFFE03C" w14:textId="77777777" w:rsidR="00D80A0F" w:rsidRDefault="00000000">
      <w:r>
        <w:t>Inline bracketed citations in this document are hyperlinked to the corresponding source URLs. The appendix below lists the citation key and purpose for use.</w:t>
      </w:r>
    </w:p>
    <w:p w14:paraId="554A4DAA" w14:textId="77777777" w:rsidR="00D80A0F" w:rsidRDefault="00000000">
      <w:pPr>
        <w:spacing w:before="80" w:after="60"/>
      </w:pPr>
      <w:r>
        <w:rPr>
          <w:b/>
          <w:color w:val="1F4E79"/>
        </w:rPr>
        <w:t>Table 14. Hyperlinked source key</w:t>
      </w:r>
    </w:p>
    <w:tbl>
      <w:tblPr>
        <w:tblStyle w:val="TableGrid"/>
        <w:tblW w:w="0" w:type="auto"/>
        <w:jc w:val="center"/>
        <w:tblLayout w:type="fixed"/>
        <w:tblLook w:val="04A0" w:firstRow="1" w:lastRow="0" w:firstColumn="1" w:lastColumn="0" w:noHBand="0" w:noVBand="1"/>
      </w:tblPr>
      <w:tblGrid>
        <w:gridCol w:w="864"/>
        <w:gridCol w:w="4464"/>
        <w:gridCol w:w="4896"/>
      </w:tblGrid>
      <w:tr w:rsidR="00D80A0F" w14:paraId="48E5A642" w14:textId="77777777">
        <w:trPr>
          <w:cantSplit/>
          <w:tblHeader/>
          <w:jc w:val="center"/>
        </w:trPr>
        <w:tc>
          <w:tcPr>
            <w:tcW w:w="86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E9253DE" w14:textId="77777777" w:rsidR="00D80A0F" w:rsidRDefault="00000000">
            <w:pPr>
              <w:spacing w:after="0"/>
            </w:pPr>
            <w:r>
              <w:rPr>
                <w:b/>
                <w:color w:val="FFFFFF"/>
                <w:sz w:val="17"/>
              </w:rPr>
              <w:t>Citation</w:t>
            </w:r>
          </w:p>
        </w:tc>
        <w:tc>
          <w:tcPr>
            <w:tcW w:w="446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EA82EB5" w14:textId="77777777" w:rsidR="00D80A0F" w:rsidRDefault="00000000">
            <w:pPr>
              <w:spacing w:after="0"/>
            </w:pPr>
            <w:r>
              <w:rPr>
                <w:b/>
                <w:color w:val="FFFFFF"/>
                <w:sz w:val="17"/>
              </w:rPr>
              <w:t>Source</w:t>
            </w:r>
          </w:p>
        </w:tc>
        <w:tc>
          <w:tcPr>
            <w:tcW w:w="489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514C566" w14:textId="77777777" w:rsidR="00D80A0F" w:rsidRDefault="00000000">
            <w:pPr>
              <w:spacing w:after="0"/>
            </w:pPr>
            <w:r>
              <w:rPr>
                <w:b/>
                <w:color w:val="FFFFFF"/>
                <w:sz w:val="17"/>
              </w:rPr>
              <w:t>Use in roadmap</w:t>
            </w:r>
          </w:p>
        </w:tc>
      </w:tr>
      <w:tr w:rsidR="00D80A0F" w14:paraId="4004327F"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2D280167" w14:textId="77777777" w:rsidR="00D80A0F" w:rsidRDefault="00000000">
            <w:pPr>
              <w:spacing w:after="0"/>
            </w:pPr>
            <w:hyperlink r:id="rId100">
              <w:r>
                <w:rPr>
                  <w:color w:val="0563C1"/>
                  <w:u w:val="single"/>
                </w:rPr>
                <w:t>[1]</w:t>
              </w:r>
            </w:hyperlink>
          </w:p>
        </w:tc>
        <w:tc>
          <w:tcPr>
            <w:tcW w:w="4464" w:type="dxa"/>
            <w:tcBorders>
              <w:top w:val="single" w:sz="4" w:space="0" w:color="BFBFBF"/>
              <w:left w:val="single" w:sz="4" w:space="0" w:color="BFBFBF"/>
              <w:bottom w:val="single" w:sz="4" w:space="0" w:color="BFBFBF"/>
              <w:right w:val="single" w:sz="4" w:space="0" w:color="BFBFBF"/>
            </w:tcBorders>
          </w:tcPr>
          <w:p w14:paraId="72CA9492" w14:textId="77777777" w:rsidR="00D80A0F" w:rsidRDefault="00000000">
            <w:pPr>
              <w:spacing w:after="0"/>
            </w:pPr>
            <w:hyperlink r:id="rId101">
              <w:r>
                <w:rPr>
                  <w:color w:val="0563C1"/>
                  <w:u w:val="single"/>
                </w:rPr>
                <w:t>Clearside Biomedical, CLS-AX pipeline page</w:t>
              </w:r>
            </w:hyperlink>
          </w:p>
        </w:tc>
        <w:tc>
          <w:tcPr>
            <w:tcW w:w="4896" w:type="dxa"/>
            <w:tcBorders>
              <w:top w:val="single" w:sz="4" w:space="0" w:color="BFBFBF"/>
              <w:left w:val="single" w:sz="4" w:space="0" w:color="BFBFBF"/>
              <w:bottom w:val="single" w:sz="4" w:space="0" w:color="BFBFBF"/>
              <w:right w:val="single" w:sz="4" w:space="0" w:color="BFBFBF"/>
            </w:tcBorders>
          </w:tcPr>
          <w:p w14:paraId="60B2A22B" w14:textId="77777777" w:rsidR="00D80A0F" w:rsidRDefault="00000000">
            <w:pPr>
              <w:spacing w:after="0" w:line="240" w:lineRule="auto"/>
            </w:pPr>
            <w:r>
              <w:rPr>
                <w:sz w:val="16"/>
              </w:rPr>
              <w:t>CLS-AX product description, suprachoroidal route, compartmentalization, ODYSSEY highlights.</w:t>
            </w:r>
          </w:p>
        </w:tc>
      </w:tr>
      <w:tr w:rsidR="00D80A0F" w14:paraId="09DEA01D"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7C121B08" w14:textId="77777777" w:rsidR="00D80A0F" w:rsidRDefault="00000000">
            <w:pPr>
              <w:spacing w:after="0"/>
            </w:pPr>
            <w:hyperlink r:id="rId102">
              <w:r>
                <w:rPr>
                  <w:color w:val="0563C1"/>
                  <w:u w:val="single"/>
                </w:rPr>
                <w:t>[2]</w:t>
              </w:r>
            </w:hyperlink>
          </w:p>
        </w:tc>
        <w:tc>
          <w:tcPr>
            <w:tcW w:w="4464" w:type="dxa"/>
            <w:tcBorders>
              <w:top w:val="single" w:sz="4" w:space="0" w:color="BFBFBF"/>
              <w:left w:val="single" w:sz="4" w:space="0" w:color="BFBFBF"/>
              <w:bottom w:val="single" w:sz="4" w:space="0" w:color="BFBFBF"/>
              <w:right w:val="single" w:sz="4" w:space="0" w:color="BFBFBF"/>
            </w:tcBorders>
          </w:tcPr>
          <w:p w14:paraId="5DA40D7F" w14:textId="77777777" w:rsidR="00D80A0F" w:rsidRDefault="00000000">
            <w:pPr>
              <w:spacing w:after="0"/>
            </w:pPr>
            <w:hyperlink r:id="rId103">
              <w:r>
                <w:rPr>
                  <w:color w:val="0563C1"/>
                  <w:u w:val="single"/>
                </w:rPr>
                <w:t>Clearside Biomedical, additional ODYSSEY Phase 2b data</w:t>
              </w:r>
            </w:hyperlink>
          </w:p>
        </w:tc>
        <w:tc>
          <w:tcPr>
            <w:tcW w:w="4896" w:type="dxa"/>
            <w:tcBorders>
              <w:top w:val="single" w:sz="4" w:space="0" w:color="BFBFBF"/>
              <w:left w:val="single" w:sz="4" w:space="0" w:color="BFBFBF"/>
              <w:bottom w:val="single" w:sz="4" w:space="0" w:color="BFBFBF"/>
              <w:right w:val="single" w:sz="4" w:space="0" w:color="BFBFBF"/>
            </w:tcBorders>
          </w:tcPr>
          <w:p w14:paraId="79A6AA42" w14:textId="77777777" w:rsidR="00D80A0F" w:rsidRDefault="00000000">
            <w:pPr>
              <w:spacing w:after="0" w:line="240" w:lineRule="auto"/>
            </w:pPr>
            <w:r>
              <w:rPr>
                <w:sz w:val="16"/>
              </w:rPr>
              <w:t>ODYSSEY Phase 2b design and additional data.</w:t>
            </w:r>
          </w:p>
        </w:tc>
      </w:tr>
      <w:tr w:rsidR="00D80A0F" w14:paraId="57D25770"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3CB12EDC" w14:textId="77777777" w:rsidR="00D80A0F" w:rsidRDefault="00000000">
            <w:pPr>
              <w:spacing w:after="0"/>
            </w:pPr>
            <w:hyperlink r:id="rId104">
              <w:r>
                <w:rPr>
                  <w:color w:val="0563C1"/>
                  <w:u w:val="single"/>
                </w:rPr>
                <w:t>[3]</w:t>
              </w:r>
            </w:hyperlink>
          </w:p>
        </w:tc>
        <w:tc>
          <w:tcPr>
            <w:tcW w:w="4464" w:type="dxa"/>
            <w:tcBorders>
              <w:top w:val="single" w:sz="4" w:space="0" w:color="BFBFBF"/>
              <w:left w:val="single" w:sz="4" w:space="0" w:color="BFBFBF"/>
              <w:bottom w:val="single" w:sz="4" w:space="0" w:color="BFBFBF"/>
              <w:right w:val="single" w:sz="4" w:space="0" w:color="BFBFBF"/>
            </w:tcBorders>
          </w:tcPr>
          <w:p w14:paraId="745F7BD8" w14:textId="77777777" w:rsidR="00D80A0F" w:rsidRDefault="00000000">
            <w:pPr>
              <w:spacing w:after="0"/>
            </w:pPr>
            <w:hyperlink r:id="rId105">
              <w:r>
                <w:rPr>
                  <w:color w:val="0563C1"/>
                  <w:u w:val="single"/>
                </w:rPr>
                <w:t>Clearside Biomedical, FDA End-of-Phase 2 alignment and Phase 3 design</w:t>
              </w:r>
            </w:hyperlink>
          </w:p>
        </w:tc>
        <w:tc>
          <w:tcPr>
            <w:tcW w:w="4896" w:type="dxa"/>
            <w:tcBorders>
              <w:top w:val="single" w:sz="4" w:space="0" w:color="BFBFBF"/>
              <w:left w:val="single" w:sz="4" w:space="0" w:color="BFBFBF"/>
              <w:bottom w:val="single" w:sz="4" w:space="0" w:color="BFBFBF"/>
              <w:right w:val="single" w:sz="4" w:space="0" w:color="BFBFBF"/>
            </w:tcBorders>
          </w:tcPr>
          <w:p w14:paraId="0E1F0A14" w14:textId="77777777" w:rsidR="00D80A0F" w:rsidRDefault="00000000">
            <w:pPr>
              <w:spacing w:after="0" w:line="240" w:lineRule="auto"/>
            </w:pPr>
            <w:r>
              <w:rPr>
                <w:sz w:val="16"/>
              </w:rPr>
              <w:t>FDA-aligned Phase 3 design and endpoints.</w:t>
            </w:r>
          </w:p>
        </w:tc>
      </w:tr>
      <w:tr w:rsidR="00D80A0F" w14:paraId="2882391A"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3B714A0A" w14:textId="77777777" w:rsidR="00D80A0F" w:rsidRDefault="00000000">
            <w:pPr>
              <w:spacing w:after="0"/>
            </w:pPr>
            <w:hyperlink r:id="rId106">
              <w:r>
                <w:rPr>
                  <w:color w:val="0563C1"/>
                  <w:u w:val="single"/>
                </w:rPr>
                <w:t>[4]</w:t>
              </w:r>
            </w:hyperlink>
          </w:p>
        </w:tc>
        <w:tc>
          <w:tcPr>
            <w:tcW w:w="4464" w:type="dxa"/>
            <w:tcBorders>
              <w:top w:val="single" w:sz="4" w:space="0" w:color="BFBFBF"/>
              <w:left w:val="single" w:sz="4" w:space="0" w:color="BFBFBF"/>
              <w:bottom w:val="single" w:sz="4" w:space="0" w:color="BFBFBF"/>
              <w:right w:val="single" w:sz="4" w:space="0" w:color="BFBFBF"/>
            </w:tcBorders>
          </w:tcPr>
          <w:p w14:paraId="0432401F" w14:textId="77777777" w:rsidR="00D80A0F" w:rsidRDefault="00000000">
            <w:pPr>
              <w:spacing w:after="0"/>
            </w:pPr>
            <w:hyperlink r:id="rId107">
              <w:r>
                <w:rPr>
                  <w:color w:val="0563C1"/>
                  <w:u w:val="single"/>
                </w:rPr>
                <w:t>Clearside Biomedical, strategic sale through voluntary Chapter 11 process</w:t>
              </w:r>
            </w:hyperlink>
          </w:p>
        </w:tc>
        <w:tc>
          <w:tcPr>
            <w:tcW w:w="4896" w:type="dxa"/>
            <w:tcBorders>
              <w:top w:val="single" w:sz="4" w:space="0" w:color="BFBFBF"/>
              <w:left w:val="single" w:sz="4" w:space="0" w:color="BFBFBF"/>
              <w:bottom w:val="single" w:sz="4" w:space="0" w:color="BFBFBF"/>
              <w:right w:val="single" w:sz="4" w:space="0" w:color="BFBFBF"/>
            </w:tcBorders>
          </w:tcPr>
          <w:p w14:paraId="16D29A9D" w14:textId="77777777" w:rsidR="00D80A0F" w:rsidRDefault="00000000">
            <w:pPr>
              <w:spacing w:after="0" w:line="240" w:lineRule="auto"/>
            </w:pPr>
            <w:r>
              <w:rPr>
                <w:sz w:val="16"/>
              </w:rPr>
              <w:t>Asset status, strategic sale/Chapter 11 context, and SCS platform details.</w:t>
            </w:r>
          </w:p>
        </w:tc>
      </w:tr>
      <w:tr w:rsidR="00D80A0F" w14:paraId="05F0B0A4"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26D55989" w14:textId="77777777" w:rsidR="00D80A0F" w:rsidRDefault="00000000">
            <w:pPr>
              <w:spacing w:after="0"/>
            </w:pPr>
            <w:hyperlink r:id="rId108">
              <w:r>
                <w:rPr>
                  <w:color w:val="0563C1"/>
                  <w:u w:val="single"/>
                </w:rPr>
                <w:t>[5]</w:t>
              </w:r>
            </w:hyperlink>
          </w:p>
        </w:tc>
        <w:tc>
          <w:tcPr>
            <w:tcW w:w="4464" w:type="dxa"/>
            <w:tcBorders>
              <w:top w:val="single" w:sz="4" w:space="0" w:color="BFBFBF"/>
              <w:left w:val="single" w:sz="4" w:space="0" w:color="BFBFBF"/>
              <w:bottom w:val="single" w:sz="4" w:space="0" w:color="BFBFBF"/>
              <w:right w:val="single" w:sz="4" w:space="0" w:color="BFBFBF"/>
            </w:tcBorders>
          </w:tcPr>
          <w:p w14:paraId="61D8B45C" w14:textId="77777777" w:rsidR="00D80A0F" w:rsidRDefault="00000000">
            <w:pPr>
              <w:spacing w:after="0"/>
            </w:pPr>
            <w:hyperlink r:id="rId109">
              <w:r>
                <w:rPr>
                  <w:color w:val="0563C1"/>
                  <w:u w:val="single"/>
                </w:rPr>
                <w:t>Regeneron, EYLEA HD approval for extended intervals up to every 20 weeks</w:t>
              </w:r>
            </w:hyperlink>
          </w:p>
        </w:tc>
        <w:tc>
          <w:tcPr>
            <w:tcW w:w="4896" w:type="dxa"/>
            <w:tcBorders>
              <w:top w:val="single" w:sz="4" w:space="0" w:color="BFBFBF"/>
              <w:left w:val="single" w:sz="4" w:space="0" w:color="BFBFBF"/>
              <w:bottom w:val="single" w:sz="4" w:space="0" w:color="BFBFBF"/>
              <w:right w:val="single" w:sz="4" w:space="0" w:color="BFBFBF"/>
            </w:tcBorders>
          </w:tcPr>
          <w:p w14:paraId="518C1439" w14:textId="77777777" w:rsidR="00D80A0F" w:rsidRDefault="00000000">
            <w:pPr>
              <w:spacing w:after="0" w:line="240" w:lineRule="auto"/>
            </w:pPr>
            <w:r>
              <w:rPr>
                <w:sz w:val="16"/>
              </w:rPr>
              <w:t>Approved q20 EYLEA HD interval and 96-week durability data.</w:t>
            </w:r>
          </w:p>
        </w:tc>
      </w:tr>
      <w:tr w:rsidR="00D80A0F" w14:paraId="10FBF8B8"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7DB54690" w14:textId="77777777" w:rsidR="00D80A0F" w:rsidRDefault="00000000">
            <w:pPr>
              <w:spacing w:after="0"/>
            </w:pPr>
            <w:hyperlink r:id="rId110">
              <w:r>
                <w:rPr>
                  <w:color w:val="0563C1"/>
                  <w:u w:val="single"/>
                </w:rPr>
                <w:t>[6]</w:t>
              </w:r>
            </w:hyperlink>
          </w:p>
        </w:tc>
        <w:tc>
          <w:tcPr>
            <w:tcW w:w="4464" w:type="dxa"/>
            <w:tcBorders>
              <w:top w:val="single" w:sz="4" w:space="0" w:color="BFBFBF"/>
              <w:left w:val="single" w:sz="4" w:space="0" w:color="BFBFBF"/>
              <w:bottom w:val="single" w:sz="4" w:space="0" w:color="BFBFBF"/>
              <w:right w:val="single" w:sz="4" w:space="0" w:color="BFBFBF"/>
            </w:tcBorders>
          </w:tcPr>
          <w:p w14:paraId="2E60EAFD" w14:textId="77777777" w:rsidR="00D80A0F" w:rsidRDefault="00000000">
            <w:pPr>
              <w:spacing w:after="0"/>
            </w:pPr>
            <w:hyperlink r:id="rId111">
              <w:r>
                <w:rPr>
                  <w:color w:val="0563C1"/>
                  <w:u w:val="single"/>
                </w:rPr>
                <w:t>Genentech/Roche, Vabysmo nAMD dosing and administration</w:t>
              </w:r>
            </w:hyperlink>
          </w:p>
        </w:tc>
        <w:tc>
          <w:tcPr>
            <w:tcW w:w="4896" w:type="dxa"/>
            <w:tcBorders>
              <w:top w:val="single" w:sz="4" w:space="0" w:color="BFBFBF"/>
              <w:left w:val="single" w:sz="4" w:space="0" w:color="BFBFBF"/>
              <w:bottom w:val="single" w:sz="4" w:space="0" w:color="BFBFBF"/>
              <w:right w:val="single" w:sz="4" w:space="0" w:color="BFBFBF"/>
            </w:tcBorders>
          </w:tcPr>
          <w:p w14:paraId="5723BC4F" w14:textId="77777777" w:rsidR="00D80A0F" w:rsidRDefault="00000000">
            <w:pPr>
              <w:spacing w:after="0" w:line="240" w:lineRule="auto"/>
            </w:pPr>
            <w:r>
              <w:rPr>
                <w:sz w:val="16"/>
              </w:rPr>
              <w:t>Vabysmo flexible dosing framework in nAMD.</w:t>
            </w:r>
          </w:p>
        </w:tc>
      </w:tr>
      <w:tr w:rsidR="00D80A0F" w14:paraId="54DE198B"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2D817267" w14:textId="77777777" w:rsidR="00D80A0F" w:rsidRDefault="00000000">
            <w:pPr>
              <w:spacing w:after="0"/>
            </w:pPr>
            <w:hyperlink r:id="rId112">
              <w:r>
                <w:rPr>
                  <w:color w:val="0563C1"/>
                  <w:u w:val="single"/>
                </w:rPr>
                <w:t>[7]</w:t>
              </w:r>
            </w:hyperlink>
          </w:p>
        </w:tc>
        <w:tc>
          <w:tcPr>
            <w:tcW w:w="4464" w:type="dxa"/>
            <w:tcBorders>
              <w:top w:val="single" w:sz="4" w:space="0" w:color="BFBFBF"/>
              <w:left w:val="single" w:sz="4" w:space="0" w:color="BFBFBF"/>
              <w:bottom w:val="single" w:sz="4" w:space="0" w:color="BFBFBF"/>
              <w:right w:val="single" w:sz="4" w:space="0" w:color="BFBFBF"/>
            </w:tcBorders>
          </w:tcPr>
          <w:p w14:paraId="5A0E9ECD" w14:textId="77777777" w:rsidR="00D80A0F" w:rsidRDefault="00000000">
            <w:pPr>
              <w:spacing w:after="0"/>
            </w:pPr>
            <w:hyperlink r:id="rId113">
              <w:r>
                <w:rPr>
                  <w:color w:val="0563C1"/>
                  <w:u w:val="single"/>
                </w:rPr>
                <w:t>Heier et al., two-year TENAYA/LUCERNE faricimab data</w:t>
              </w:r>
            </w:hyperlink>
          </w:p>
        </w:tc>
        <w:tc>
          <w:tcPr>
            <w:tcW w:w="4896" w:type="dxa"/>
            <w:tcBorders>
              <w:top w:val="single" w:sz="4" w:space="0" w:color="BFBFBF"/>
              <w:left w:val="single" w:sz="4" w:space="0" w:color="BFBFBF"/>
              <w:bottom w:val="single" w:sz="4" w:space="0" w:color="BFBFBF"/>
              <w:right w:val="single" w:sz="4" w:space="0" w:color="BFBFBF"/>
            </w:tcBorders>
          </w:tcPr>
          <w:p w14:paraId="7DEEFFF3" w14:textId="77777777" w:rsidR="00D80A0F" w:rsidRDefault="00000000">
            <w:pPr>
              <w:spacing w:after="0" w:line="240" w:lineRule="auto"/>
            </w:pPr>
            <w:r>
              <w:rPr>
                <w:sz w:val="16"/>
              </w:rPr>
              <w:t>Two-year faricimab TENAYA/LUCERNE interval data.</w:t>
            </w:r>
          </w:p>
        </w:tc>
      </w:tr>
      <w:tr w:rsidR="00D80A0F" w14:paraId="61113F86"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6786C488" w14:textId="77777777" w:rsidR="00D80A0F" w:rsidRDefault="00000000">
            <w:pPr>
              <w:spacing w:after="0"/>
            </w:pPr>
            <w:hyperlink r:id="rId114">
              <w:r>
                <w:rPr>
                  <w:color w:val="0563C1"/>
                  <w:u w:val="single"/>
                </w:rPr>
                <w:t>[8]</w:t>
              </w:r>
            </w:hyperlink>
          </w:p>
        </w:tc>
        <w:tc>
          <w:tcPr>
            <w:tcW w:w="4464" w:type="dxa"/>
            <w:tcBorders>
              <w:top w:val="single" w:sz="4" w:space="0" w:color="BFBFBF"/>
              <w:left w:val="single" w:sz="4" w:space="0" w:color="BFBFBF"/>
              <w:bottom w:val="single" w:sz="4" w:space="0" w:color="BFBFBF"/>
              <w:right w:val="single" w:sz="4" w:space="0" w:color="BFBFBF"/>
            </w:tcBorders>
          </w:tcPr>
          <w:p w14:paraId="382E89D8" w14:textId="77777777" w:rsidR="00D80A0F" w:rsidRDefault="00000000">
            <w:pPr>
              <w:spacing w:after="0"/>
            </w:pPr>
            <w:hyperlink r:id="rId115">
              <w:r>
                <w:rPr>
                  <w:color w:val="0563C1"/>
                  <w:u w:val="single"/>
                </w:rPr>
                <w:t>FARWIDE-nAMD real-world faricimab study</w:t>
              </w:r>
            </w:hyperlink>
          </w:p>
        </w:tc>
        <w:tc>
          <w:tcPr>
            <w:tcW w:w="4896" w:type="dxa"/>
            <w:tcBorders>
              <w:top w:val="single" w:sz="4" w:space="0" w:color="BFBFBF"/>
              <w:left w:val="single" w:sz="4" w:space="0" w:color="BFBFBF"/>
              <w:bottom w:val="single" w:sz="4" w:space="0" w:color="BFBFBF"/>
              <w:right w:val="single" w:sz="4" w:space="0" w:color="BFBFBF"/>
            </w:tcBorders>
          </w:tcPr>
          <w:p w14:paraId="6C6B07A5" w14:textId="77777777" w:rsidR="00D80A0F" w:rsidRDefault="00000000">
            <w:pPr>
              <w:spacing w:after="0" w:line="240" w:lineRule="auto"/>
            </w:pPr>
            <w:r>
              <w:rPr>
                <w:sz w:val="16"/>
              </w:rPr>
              <w:t>Real-world faricimab outcomes.</w:t>
            </w:r>
          </w:p>
        </w:tc>
      </w:tr>
      <w:tr w:rsidR="00D80A0F" w14:paraId="10408C3C"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6DBED7CF" w14:textId="77777777" w:rsidR="00D80A0F" w:rsidRDefault="00000000">
            <w:pPr>
              <w:spacing w:after="0"/>
            </w:pPr>
            <w:hyperlink r:id="rId116">
              <w:r>
                <w:rPr>
                  <w:color w:val="0563C1"/>
                  <w:u w:val="single"/>
                </w:rPr>
                <w:t>[9]</w:t>
              </w:r>
            </w:hyperlink>
          </w:p>
        </w:tc>
        <w:tc>
          <w:tcPr>
            <w:tcW w:w="4464" w:type="dxa"/>
            <w:tcBorders>
              <w:top w:val="single" w:sz="4" w:space="0" w:color="BFBFBF"/>
              <w:left w:val="single" w:sz="4" w:space="0" w:color="BFBFBF"/>
              <w:bottom w:val="single" w:sz="4" w:space="0" w:color="BFBFBF"/>
              <w:right w:val="single" w:sz="4" w:space="0" w:color="BFBFBF"/>
            </w:tcBorders>
          </w:tcPr>
          <w:p w14:paraId="4D6A2220" w14:textId="77777777" w:rsidR="00D80A0F" w:rsidRDefault="00000000">
            <w:pPr>
              <w:spacing w:after="0"/>
            </w:pPr>
            <w:hyperlink r:id="rId117">
              <w:r>
                <w:rPr>
                  <w:color w:val="0563C1"/>
                  <w:u w:val="single"/>
                </w:rPr>
                <w:t>Scoping review of real-world faricimab evidence in retinal vascular disease</w:t>
              </w:r>
            </w:hyperlink>
          </w:p>
        </w:tc>
        <w:tc>
          <w:tcPr>
            <w:tcW w:w="4896" w:type="dxa"/>
            <w:tcBorders>
              <w:top w:val="single" w:sz="4" w:space="0" w:color="BFBFBF"/>
              <w:left w:val="single" w:sz="4" w:space="0" w:color="BFBFBF"/>
              <w:bottom w:val="single" w:sz="4" w:space="0" w:color="BFBFBF"/>
              <w:right w:val="single" w:sz="4" w:space="0" w:color="BFBFBF"/>
            </w:tcBorders>
          </w:tcPr>
          <w:p w14:paraId="7BABFE1D" w14:textId="77777777" w:rsidR="00D80A0F" w:rsidRDefault="00000000">
            <w:pPr>
              <w:spacing w:after="0" w:line="240" w:lineRule="auto"/>
            </w:pPr>
            <w:r>
              <w:rPr>
                <w:sz w:val="16"/>
              </w:rPr>
              <w:t>Breadth of faricimab RWE literature.</w:t>
            </w:r>
          </w:p>
        </w:tc>
      </w:tr>
      <w:tr w:rsidR="00D80A0F" w14:paraId="6DE425DB"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17508A47" w14:textId="77777777" w:rsidR="00D80A0F" w:rsidRDefault="00000000">
            <w:pPr>
              <w:spacing w:after="0"/>
            </w:pPr>
            <w:hyperlink r:id="rId118">
              <w:r>
                <w:rPr>
                  <w:color w:val="0563C1"/>
                  <w:u w:val="single"/>
                </w:rPr>
                <w:t>[10]</w:t>
              </w:r>
            </w:hyperlink>
          </w:p>
        </w:tc>
        <w:tc>
          <w:tcPr>
            <w:tcW w:w="4464" w:type="dxa"/>
            <w:tcBorders>
              <w:top w:val="single" w:sz="4" w:space="0" w:color="BFBFBF"/>
              <w:left w:val="single" w:sz="4" w:space="0" w:color="BFBFBF"/>
              <w:bottom w:val="single" w:sz="4" w:space="0" w:color="BFBFBF"/>
              <w:right w:val="single" w:sz="4" w:space="0" w:color="BFBFBF"/>
            </w:tcBorders>
          </w:tcPr>
          <w:p w14:paraId="07D58D47" w14:textId="77777777" w:rsidR="00D80A0F" w:rsidRDefault="00000000">
            <w:pPr>
              <w:spacing w:after="0"/>
            </w:pPr>
            <w:hyperlink r:id="rId119">
              <w:r>
                <w:rPr>
                  <w:color w:val="0563C1"/>
                  <w:u w:val="single"/>
                </w:rPr>
                <w:t>Genentech, Susvimo important safety information</w:t>
              </w:r>
            </w:hyperlink>
          </w:p>
        </w:tc>
        <w:tc>
          <w:tcPr>
            <w:tcW w:w="4896" w:type="dxa"/>
            <w:tcBorders>
              <w:top w:val="single" w:sz="4" w:space="0" w:color="BFBFBF"/>
              <w:left w:val="single" w:sz="4" w:space="0" w:color="BFBFBF"/>
              <w:bottom w:val="single" w:sz="4" w:space="0" w:color="BFBFBF"/>
              <w:right w:val="single" w:sz="4" w:space="0" w:color="BFBFBF"/>
            </w:tcBorders>
          </w:tcPr>
          <w:p w14:paraId="26999B36" w14:textId="77777777" w:rsidR="00D80A0F" w:rsidRDefault="00000000">
            <w:pPr>
              <w:spacing w:after="0" w:line="240" w:lineRule="auto"/>
            </w:pPr>
            <w:r>
              <w:rPr>
                <w:sz w:val="16"/>
              </w:rPr>
              <w:t>Susvimo procedure/implant safety framing.</w:t>
            </w:r>
          </w:p>
        </w:tc>
      </w:tr>
      <w:tr w:rsidR="00D80A0F" w14:paraId="2BF7C31E"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648D2816" w14:textId="77777777" w:rsidR="00D80A0F" w:rsidRDefault="00000000">
            <w:pPr>
              <w:spacing w:after="0"/>
            </w:pPr>
            <w:hyperlink r:id="rId120">
              <w:r>
                <w:rPr>
                  <w:color w:val="0563C1"/>
                  <w:u w:val="single"/>
                </w:rPr>
                <w:t>[11]</w:t>
              </w:r>
            </w:hyperlink>
          </w:p>
        </w:tc>
        <w:tc>
          <w:tcPr>
            <w:tcW w:w="4464" w:type="dxa"/>
            <w:tcBorders>
              <w:top w:val="single" w:sz="4" w:space="0" w:color="BFBFBF"/>
              <w:left w:val="single" w:sz="4" w:space="0" w:color="BFBFBF"/>
              <w:bottom w:val="single" w:sz="4" w:space="0" w:color="BFBFBF"/>
              <w:right w:val="single" w:sz="4" w:space="0" w:color="BFBFBF"/>
            </w:tcBorders>
          </w:tcPr>
          <w:p w14:paraId="1647B2A1" w14:textId="77777777" w:rsidR="00D80A0F" w:rsidRDefault="00000000">
            <w:pPr>
              <w:spacing w:after="0"/>
            </w:pPr>
            <w:hyperlink r:id="rId121">
              <w:r>
                <w:rPr>
                  <w:color w:val="0563C1"/>
                  <w:u w:val="single"/>
                </w:rPr>
                <w:t>Ocular Therapeutix, additional Week 52 SOL-1 AXPAXLI data</w:t>
              </w:r>
            </w:hyperlink>
          </w:p>
        </w:tc>
        <w:tc>
          <w:tcPr>
            <w:tcW w:w="4896" w:type="dxa"/>
            <w:tcBorders>
              <w:top w:val="single" w:sz="4" w:space="0" w:color="BFBFBF"/>
              <w:left w:val="single" w:sz="4" w:space="0" w:color="BFBFBF"/>
              <w:bottom w:val="single" w:sz="4" w:space="0" w:color="BFBFBF"/>
              <w:right w:val="single" w:sz="4" w:space="0" w:color="BFBFBF"/>
            </w:tcBorders>
          </w:tcPr>
          <w:p w14:paraId="579C8DC6" w14:textId="77777777" w:rsidR="00D80A0F" w:rsidRDefault="00000000">
            <w:pPr>
              <w:spacing w:after="0" w:line="240" w:lineRule="auto"/>
            </w:pPr>
            <w:r>
              <w:rPr>
                <w:sz w:val="16"/>
              </w:rPr>
              <w:t>AXPAXLI SOL-1 Week 52 data update.</w:t>
            </w:r>
          </w:p>
        </w:tc>
      </w:tr>
      <w:tr w:rsidR="00D80A0F" w14:paraId="66E91BEE"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5B0515BC" w14:textId="77777777" w:rsidR="00D80A0F" w:rsidRDefault="00000000">
            <w:pPr>
              <w:spacing w:after="0"/>
            </w:pPr>
            <w:hyperlink r:id="rId122">
              <w:r>
                <w:rPr>
                  <w:color w:val="0563C1"/>
                  <w:u w:val="single"/>
                </w:rPr>
                <w:t>[12]</w:t>
              </w:r>
            </w:hyperlink>
          </w:p>
        </w:tc>
        <w:tc>
          <w:tcPr>
            <w:tcW w:w="4464" w:type="dxa"/>
            <w:tcBorders>
              <w:top w:val="single" w:sz="4" w:space="0" w:color="BFBFBF"/>
              <w:left w:val="single" w:sz="4" w:space="0" w:color="BFBFBF"/>
              <w:bottom w:val="single" w:sz="4" w:space="0" w:color="BFBFBF"/>
              <w:right w:val="single" w:sz="4" w:space="0" w:color="BFBFBF"/>
            </w:tcBorders>
          </w:tcPr>
          <w:p w14:paraId="6D1FC435" w14:textId="77777777" w:rsidR="00D80A0F" w:rsidRDefault="00000000">
            <w:pPr>
              <w:spacing w:after="0"/>
            </w:pPr>
            <w:hyperlink r:id="rId123">
              <w:r>
                <w:rPr>
                  <w:color w:val="0563C1"/>
                  <w:u w:val="single"/>
                </w:rPr>
                <w:t>Ocular Therapeutix, positive SOL-1 Phase 3 AXPAXLI results</w:t>
              </w:r>
            </w:hyperlink>
          </w:p>
        </w:tc>
        <w:tc>
          <w:tcPr>
            <w:tcW w:w="4896" w:type="dxa"/>
            <w:tcBorders>
              <w:top w:val="single" w:sz="4" w:space="0" w:color="BFBFBF"/>
              <w:left w:val="single" w:sz="4" w:space="0" w:color="BFBFBF"/>
              <w:bottom w:val="single" w:sz="4" w:space="0" w:color="BFBFBF"/>
              <w:right w:val="single" w:sz="4" w:space="0" w:color="BFBFBF"/>
            </w:tcBorders>
          </w:tcPr>
          <w:p w14:paraId="76B70935" w14:textId="77777777" w:rsidR="00D80A0F" w:rsidRDefault="00000000">
            <w:pPr>
              <w:spacing w:after="0" w:line="240" w:lineRule="auto"/>
            </w:pPr>
            <w:r>
              <w:rPr>
                <w:sz w:val="16"/>
              </w:rPr>
              <w:t>AXPAXLI positive SOL-1 Phase 3 and SOL-R context.</w:t>
            </w:r>
          </w:p>
        </w:tc>
      </w:tr>
      <w:tr w:rsidR="00D80A0F" w14:paraId="53A556CB"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17E16609" w14:textId="77777777" w:rsidR="00D80A0F" w:rsidRDefault="00000000">
            <w:pPr>
              <w:spacing w:after="0"/>
            </w:pPr>
            <w:hyperlink r:id="rId124">
              <w:r>
                <w:rPr>
                  <w:color w:val="0563C1"/>
                  <w:u w:val="single"/>
                </w:rPr>
                <w:t>[13]</w:t>
              </w:r>
            </w:hyperlink>
          </w:p>
        </w:tc>
        <w:tc>
          <w:tcPr>
            <w:tcW w:w="4464" w:type="dxa"/>
            <w:tcBorders>
              <w:top w:val="single" w:sz="4" w:space="0" w:color="BFBFBF"/>
              <w:left w:val="single" w:sz="4" w:space="0" w:color="BFBFBF"/>
              <w:bottom w:val="single" w:sz="4" w:space="0" w:color="BFBFBF"/>
              <w:right w:val="single" w:sz="4" w:space="0" w:color="BFBFBF"/>
            </w:tcBorders>
          </w:tcPr>
          <w:p w14:paraId="3D142250" w14:textId="77777777" w:rsidR="00D80A0F" w:rsidRDefault="00000000">
            <w:pPr>
              <w:spacing w:after="0"/>
            </w:pPr>
            <w:hyperlink r:id="rId125">
              <w:r>
                <w:rPr>
                  <w:color w:val="0563C1"/>
                  <w:u w:val="single"/>
                </w:rPr>
                <w:t>Ocular Therapeutix, AXPAXLI pipeline page</w:t>
              </w:r>
            </w:hyperlink>
          </w:p>
        </w:tc>
        <w:tc>
          <w:tcPr>
            <w:tcW w:w="4896" w:type="dxa"/>
            <w:tcBorders>
              <w:top w:val="single" w:sz="4" w:space="0" w:color="BFBFBF"/>
              <w:left w:val="single" w:sz="4" w:space="0" w:color="BFBFBF"/>
              <w:bottom w:val="single" w:sz="4" w:space="0" w:color="BFBFBF"/>
              <w:right w:val="single" w:sz="4" w:space="0" w:color="BFBFBF"/>
            </w:tcBorders>
          </w:tcPr>
          <w:p w14:paraId="487535FF" w14:textId="77777777" w:rsidR="00D80A0F" w:rsidRDefault="00000000">
            <w:pPr>
              <w:spacing w:after="0" w:line="240" w:lineRule="auto"/>
            </w:pPr>
            <w:r>
              <w:rPr>
                <w:sz w:val="16"/>
              </w:rPr>
              <w:t>AXPAXLI product positioning and 1-2 injections/year narrative.</w:t>
            </w:r>
          </w:p>
        </w:tc>
      </w:tr>
      <w:tr w:rsidR="00D80A0F" w14:paraId="20EFA480"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08FF9DD0" w14:textId="77777777" w:rsidR="00D80A0F" w:rsidRDefault="00000000">
            <w:pPr>
              <w:spacing w:after="0"/>
            </w:pPr>
            <w:hyperlink r:id="rId126">
              <w:r>
                <w:rPr>
                  <w:color w:val="0563C1"/>
                  <w:u w:val="single"/>
                </w:rPr>
                <w:t>[14]</w:t>
              </w:r>
            </w:hyperlink>
          </w:p>
        </w:tc>
        <w:tc>
          <w:tcPr>
            <w:tcW w:w="4464" w:type="dxa"/>
            <w:tcBorders>
              <w:top w:val="single" w:sz="4" w:space="0" w:color="BFBFBF"/>
              <w:left w:val="single" w:sz="4" w:space="0" w:color="BFBFBF"/>
              <w:bottom w:val="single" w:sz="4" w:space="0" w:color="BFBFBF"/>
              <w:right w:val="single" w:sz="4" w:space="0" w:color="BFBFBF"/>
            </w:tcBorders>
          </w:tcPr>
          <w:p w14:paraId="5155F5E6" w14:textId="77777777" w:rsidR="00D80A0F" w:rsidRDefault="00000000">
            <w:pPr>
              <w:spacing w:after="0"/>
            </w:pPr>
            <w:hyperlink r:id="rId127">
              <w:r>
                <w:rPr>
                  <w:color w:val="0563C1"/>
                  <w:u w:val="single"/>
                </w:rPr>
                <w:t>EyePoint Pharmaceuticals, DURAVYU 2026 pivotal program update</w:t>
              </w:r>
            </w:hyperlink>
          </w:p>
        </w:tc>
        <w:tc>
          <w:tcPr>
            <w:tcW w:w="4896" w:type="dxa"/>
            <w:tcBorders>
              <w:top w:val="single" w:sz="4" w:space="0" w:color="BFBFBF"/>
              <w:left w:val="single" w:sz="4" w:space="0" w:color="BFBFBF"/>
              <w:bottom w:val="single" w:sz="4" w:space="0" w:color="BFBFBF"/>
              <w:right w:val="single" w:sz="4" w:space="0" w:color="BFBFBF"/>
            </w:tcBorders>
          </w:tcPr>
          <w:p w14:paraId="69C76161" w14:textId="77777777" w:rsidR="00D80A0F" w:rsidRDefault="00000000">
            <w:pPr>
              <w:spacing w:after="0" w:line="240" w:lineRule="auto"/>
            </w:pPr>
            <w:r>
              <w:rPr>
                <w:sz w:val="16"/>
              </w:rPr>
              <w:t>DURAVYU pivotal program timing and LUGANO/LUCIA enrollment.</w:t>
            </w:r>
          </w:p>
        </w:tc>
      </w:tr>
      <w:tr w:rsidR="00D80A0F" w14:paraId="60EFADCC"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2486894F" w14:textId="77777777" w:rsidR="00D80A0F" w:rsidRDefault="00000000">
            <w:pPr>
              <w:spacing w:after="0"/>
            </w:pPr>
            <w:hyperlink r:id="rId128">
              <w:r>
                <w:rPr>
                  <w:color w:val="0563C1"/>
                  <w:u w:val="single"/>
                </w:rPr>
                <w:t>[15]</w:t>
              </w:r>
            </w:hyperlink>
          </w:p>
        </w:tc>
        <w:tc>
          <w:tcPr>
            <w:tcW w:w="4464" w:type="dxa"/>
            <w:tcBorders>
              <w:top w:val="single" w:sz="4" w:space="0" w:color="BFBFBF"/>
              <w:left w:val="single" w:sz="4" w:space="0" w:color="BFBFBF"/>
              <w:bottom w:val="single" w:sz="4" w:space="0" w:color="BFBFBF"/>
              <w:right w:val="single" w:sz="4" w:space="0" w:color="BFBFBF"/>
            </w:tcBorders>
          </w:tcPr>
          <w:p w14:paraId="584E6820" w14:textId="77777777" w:rsidR="00D80A0F" w:rsidRDefault="00000000">
            <w:pPr>
              <w:spacing w:after="0"/>
            </w:pPr>
            <w:hyperlink r:id="rId129">
              <w:r>
                <w:rPr>
                  <w:color w:val="0563C1"/>
                  <w:u w:val="single"/>
                </w:rPr>
                <w:t>EyePoint Pharmaceuticals, DURAVYU Phase 3 DSMC update</w:t>
              </w:r>
            </w:hyperlink>
          </w:p>
        </w:tc>
        <w:tc>
          <w:tcPr>
            <w:tcW w:w="4896" w:type="dxa"/>
            <w:tcBorders>
              <w:top w:val="single" w:sz="4" w:space="0" w:color="BFBFBF"/>
              <w:left w:val="single" w:sz="4" w:space="0" w:color="BFBFBF"/>
              <w:bottom w:val="single" w:sz="4" w:space="0" w:color="BFBFBF"/>
              <w:right w:val="single" w:sz="4" w:space="0" w:color="BFBFBF"/>
            </w:tcBorders>
          </w:tcPr>
          <w:p w14:paraId="52FD77F4" w14:textId="77777777" w:rsidR="00D80A0F" w:rsidRDefault="00000000">
            <w:pPr>
              <w:spacing w:after="0" w:line="240" w:lineRule="auto"/>
            </w:pPr>
            <w:r>
              <w:rPr>
                <w:sz w:val="16"/>
              </w:rPr>
              <w:t>DURAVYU DSMC update and DAVIO 2 treatment-burden context.</w:t>
            </w:r>
          </w:p>
        </w:tc>
      </w:tr>
      <w:tr w:rsidR="00D80A0F" w14:paraId="042C4714"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65EB4300" w14:textId="77777777" w:rsidR="00D80A0F" w:rsidRDefault="00000000">
            <w:pPr>
              <w:spacing w:after="0"/>
            </w:pPr>
            <w:hyperlink r:id="rId130">
              <w:r>
                <w:rPr>
                  <w:color w:val="0563C1"/>
                  <w:u w:val="single"/>
                </w:rPr>
                <w:t>[16]</w:t>
              </w:r>
            </w:hyperlink>
          </w:p>
        </w:tc>
        <w:tc>
          <w:tcPr>
            <w:tcW w:w="4464" w:type="dxa"/>
            <w:tcBorders>
              <w:top w:val="single" w:sz="4" w:space="0" w:color="BFBFBF"/>
              <w:left w:val="single" w:sz="4" w:space="0" w:color="BFBFBF"/>
              <w:bottom w:val="single" w:sz="4" w:space="0" w:color="BFBFBF"/>
              <w:right w:val="single" w:sz="4" w:space="0" w:color="BFBFBF"/>
            </w:tcBorders>
          </w:tcPr>
          <w:p w14:paraId="0D763351" w14:textId="77777777" w:rsidR="00D80A0F" w:rsidRDefault="00000000">
            <w:pPr>
              <w:spacing w:after="0"/>
            </w:pPr>
            <w:hyperlink r:id="rId131">
              <w:r>
                <w:rPr>
                  <w:color w:val="0563C1"/>
                  <w:u w:val="single"/>
                </w:rPr>
                <w:t>4DMT, 4FRONT-1 Phase 3 enrollment completion for 4D-150</w:t>
              </w:r>
            </w:hyperlink>
          </w:p>
        </w:tc>
        <w:tc>
          <w:tcPr>
            <w:tcW w:w="4896" w:type="dxa"/>
            <w:tcBorders>
              <w:top w:val="single" w:sz="4" w:space="0" w:color="BFBFBF"/>
              <w:left w:val="single" w:sz="4" w:space="0" w:color="BFBFBF"/>
              <w:bottom w:val="single" w:sz="4" w:space="0" w:color="BFBFBF"/>
              <w:right w:val="single" w:sz="4" w:space="0" w:color="BFBFBF"/>
            </w:tcBorders>
          </w:tcPr>
          <w:p w14:paraId="0A9B5583" w14:textId="77777777" w:rsidR="00D80A0F" w:rsidRDefault="00000000">
            <w:pPr>
              <w:spacing w:after="0" w:line="240" w:lineRule="auto"/>
            </w:pPr>
            <w:r>
              <w:rPr>
                <w:sz w:val="16"/>
              </w:rPr>
              <w:t>4D-150 Phase 3 enrollment completion and H1 2027 expected readout.</w:t>
            </w:r>
          </w:p>
        </w:tc>
      </w:tr>
      <w:tr w:rsidR="00D80A0F" w14:paraId="156C4257"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31AF7E7E" w14:textId="77777777" w:rsidR="00D80A0F" w:rsidRDefault="00000000">
            <w:pPr>
              <w:spacing w:after="0"/>
            </w:pPr>
            <w:hyperlink r:id="rId132">
              <w:r>
                <w:rPr>
                  <w:color w:val="0563C1"/>
                  <w:u w:val="single"/>
                </w:rPr>
                <w:t>[17]</w:t>
              </w:r>
            </w:hyperlink>
          </w:p>
        </w:tc>
        <w:tc>
          <w:tcPr>
            <w:tcW w:w="4464" w:type="dxa"/>
            <w:tcBorders>
              <w:top w:val="single" w:sz="4" w:space="0" w:color="BFBFBF"/>
              <w:left w:val="single" w:sz="4" w:space="0" w:color="BFBFBF"/>
              <w:bottom w:val="single" w:sz="4" w:space="0" w:color="BFBFBF"/>
              <w:right w:val="single" w:sz="4" w:space="0" w:color="BFBFBF"/>
            </w:tcBorders>
          </w:tcPr>
          <w:p w14:paraId="34947267" w14:textId="77777777" w:rsidR="00D80A0F" w:rsidRDefault="00000000">
            <w:pPr>
              <w:spacing w:after="0"/>
            </w:pPr>
            <w:hyperlink r:id="rId133">
              <w:r>
                <w:rPr>
                  <w:color w:val="0563C1"/>
                  <w:u w:val="single"/>
                </w:rPr>
                <w:t>4DMT, anticipated 4D-150 development milestones</w:t>
              </w:r>
            </w:hyperlink>
          </w:p>
        </w:tc>
        <w:tc>
          <w:tcPr>
            <w:tcW w:w="4896" w:type="dxa"/>
            <w:tcBorders>
              <w:top w:val="single" w:sz="4" w:space="0" w:color="BFBFBF"/>
              <w:left w:val="single" w:sz="4" w:space="0" w:color="BFBFBF"/>
              <w:bottom w:val="single" w:sz="4" w:space="0" w:color="BFBFBF"/>
              <w:right w:val="single" w:sz="4" w:space="0" w:color="BFBFBF"/>
            </w:tcBorders>
          </w:tcPr>
          <w:p w14:paraId="3DF5AFF6" w14:textId="77777777" w:rsidR="00D80A0F" w:rsidRDefault="00000000">
            <w:pPr>
              <w:spacing w:after="0" w:line="240" w:lineRule="auto"/>
            </w:pPr>
            <w:r>
              <w:rPr>
                <w:sz w:val="16"/>
              </w:rPr>
              <w:t>4D-150 anticipated milestones and PRISM data timing.</w:t>
            </w:r>
          </w:p>
        </w:tc>
      </w:tr>
      <w:tr w:rsidR="00D80A0F" w14:paraId="50BFE139"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7539D281" w14:textId="77777777" w:rsidR="00D80A0F" w:rsidRDefault="00000000">
            <w:pPr>
              <w:spacing w:after="0"/>
            </w:pPr>
            <w:hyperlink r:id="rId134">
              <w:r>
                <w:rPr>
                  <w:color w:val="0563C1"/>
                  <w:u w:val="single"/>
                </w:rPr>
                <w:t>[18]</w:t>
              </w:r>
            </w:hyperlink>
          </w:p>
        </w:tc>
        <w:tc>
          <w:tcPr>
            <w:tcW w:w="4464" w:type="dxa"/>
            <w:tcBorders>
              <w:top w:val="single" w:sz="4" w:space="0" w:color="BFBFBF"/>
              <w:left w:val="single" w:sz="4" w:space="0" w:color="BFBFBF"/>
              <w:bottom w:val="single" w:sz="4" w:space="0" w:color="BFBFBF"/>
              <w:right w:val="single" w:sz="4" w:space="0" w:color="BFBFBF"/>
            </w:tcBorders>
          </w:tcPr>
          <w:p w14:paraId="464D82F8" w14:textId="77777777" w:rsidR="00D80A0F" w:rsidRDefault="00000000">
            <w:pPr>
              <w:spacing w:after="0"/>
            </w:pPr>
            <w:hyperlink r:id="rId135">
              <w:r>
                <w:rPr>
                  <w:color w:val="0563C1"/>
                  <w:u w:val="single"/>
                </w:rPr>
                <w:t>REGENXBIO, pivotal enrollment complete for subretinal sura-vec/ABBV-RGX-314</w:t>
              </w:r>
            </w:hyperlink>
          </w:p>
        </w:tc>
        <w:tc>
          <w:tcPr>
            <w:tcW w:w="4896" w:type="dxa"/>
            <w:tcBorders>
              <w:top w:val="single" w:sz="4" w:space="0" w:color="BFBFBF"/>
              <w:left w:val="single" w:sz="4" w:space="0" w:color="BFBFBF"/>
              <w:bottom w:val="single" w:sz="4" w:space="0" w:color="BFBFBF"/>
              <w:right w:val="single" w:sz="4" w:space="0" w:color="BFBFBF"/>
            </w:tcBorders>
          </w:tcPr>
          <w:p w14:paraId="26A63159" w14:textId="77777777" w:rsidR="00D80A0F" w:rsidRDefault="00000000">
            <w:pPr>
              <w:spacing w:after="0" w:line="240" w:lineRule="auto"/>
            </w:pPr>
            <w:r>
              <w:rPr>
                <w:sz w:val="16"/>
              </w:rPr>
              <w:t>Sura-vec pivotal enrollment and Q4 2026 readout expectation.</w:t>
            </w:r>
          </w:p>
        </w:tc>
      </w:tr>
      <w:tr w:rsidR="00D80A0F" w14:paraId="7F14E6FB"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6C3022E4" w14:textId="77777777" w:rsidR="00D80A0F" w:rsidRDefault="00000000">
            <w:pPr>
              <w:spacing w:after="0"/>
            </w:pPr>
            <w:hyperlink r:id="rId136">
              <w:r>
                <w:rPr>
                  <w:color w:val="0563C1"/>
                  <w:u w:val="single"/>
                </w:rPr>
                <w:t>[19]</w:t>
              </w:r>
            </w:hyperlink>
          </w:p>
        </w:tc>
        <w:tc>
          <w:tcPr>
            <w:tcW w:w="4464" w:type="dxa"/>
            <w:tcBorders>
              <w:top w:val="single" w:sz="4" w:space="0" w:color="BFBFBF"/>
              <w:left w:val="single" w:sz="4" w:space="0" w:color="BFBFBF"/>
              <w:bottom w:val="single" w:sz="4" w:space="0" w:color="BFBFBF"/>
              <w:right w:val="single" w:sz="4" w:space="0" w:color="BFBFBF"/>
            </w:tcBorders>
          </w:tcPr>
          <w:p w14:paraId="0DB78735" w14:textId="77777777" w:rsidR="00D80A0F" w:rsidRDefault="00000000">
            <w:pPr>
              <w:spacing w:after="0"/>
            </w:pPr>
            <w:hyperlink r:id="rId137">
              <w:r>
                <w:rPr>
                  <w:color w:val="0563C1"/>
                  <w:u w:val="single"/>
                </w:rPr>
                <w:t>Adverum, ARTEMIS Phase 3 screening completion and accelerated readout</w:t>
              </w:r>
            </w:hyperlink>
          </w:p>
        </w:tc>
        <w:tc>
          <w:tcPr>
            <w:tcW w:w="4896" w:type="dxa"/>
            <w:tcBorders>
              <w:top w:val="single" w:sz="4" w:space="0" w:color="BFBFBF"/>
              <w:left w:val="single" w:sz="4" w:space="0" w:color="BFBFBF"/>
              <w:bottom w:val="single" w:sz="4" w:space="0" w:color="BFBFBF"/>
              <w:right w:val="single" w:sz="4" w:space="0" w:color="BFBFBF"/>
            </w:tcBorders>
          </w:tcPr>
          <w:p w14:paraId="54CAB1D4" w14:textId="77777777" w:rsidR="00D80A0F" w:rsidRDefault="00000000">
            <w:pPr>
              <w:spacing w:after="0" w:line="240" w:lineRule="auto"/>
            </w:pPr>
            <w:r>
              <w:rPr>
                <w:sz w:val="16"/>
              </w:rPr>
              <w:t>Ixo-vec ARTEMIS Phase 3 timing.</w:t>
            </w:r>
          </w:p>
        </w:tc>
      </w:tr>
      <w:tr w:rsidR="00D80A0F" w14:paraId="7B9DB465"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5FEE2AA3" w14:textId="77777777" w:rsidR="00D80A0F" w:rsidRDefault="00000000">
            <w:pPr>
              <w:spacing w:after="0"/>
            </w:pPr>
            <w:hyperlink r:id="rId138">
              <w:r>
                <w:rPr>
                  <w:color w:val="0563C1"/>
                  <w:u w:val="single"/>
                </w:rPr>
                <w:t>[20]</w:t>
              </w:r>
            </w:hyperlink>
          </w:p>
        </w:tc>
        <w:tc>
          <w:tcPr>
            <w:tcW w:w="4464" w:type="dxa"/>
            <w:tcBorders>
              <w:top w:val="single" w:sz="4" w:space="0" w:color="BFBFBF"/>
              <w:left w:val="single" w:sz="4" w:space="0" w:color="BFBFBF"/>
              <w:bottom w:val="single" w:sz="4" w:space="0" w:color="BFBFBF"/>
              <w:right w:val="single" w:sz="4" w:space="0" w:color="BFBFBF"/>
            </w:tcBorders>
          </w:tcPr>
          <w:p w14:paraId="4EE68801" w14:textId="77777777" w:rsidR="00D80A0F" w:rsidRDefault="00000000">
            <w:pPr>
              <w:spacing w:after="0"/>
            </w:pPr>
            <w:hyperlink r:id="rId139">
              <w:r>
                <w:rPr>
                  <w:color w:val="0563C1"/>
                  <w:u w:val="single"/>
                </w:rPr>
                <w:t>Adverum, LUNA 52-week and OPTIC 4-year ixo-vec data</w:t>
              </w:r>
            </w:hyperlink>
          </w:p>
        </w:tc>
        <w:tc>
          <w:tcPr>
            <w:tcW w:w="4896" w:type="dxa"/>
            <w:tcBorders>
              <w:top w:val="single" w:sz="4" w:space="0" w:color="BFBFBF"/>
              <w:left w:val="single" w:sz="4" w:space="0" w:color="BFBFBF"/>
              <w:bottom w:val="single" w:sz="4" w:space="0" w:color="BFBFBF"/>
              <w:right w:val="single" w:sz="4" w:space="0" w:color="BFBFBF"/>
            </w:tcBorders>
          </w:tcPr>
          <w:p w14:paraId="7CFC7191" w14:textId="77777777" w:rsidR="00D80A0F" w:rsidRDefault="00000000">
            <w:pPr>
              <w:spacing w:after="0" w:line="240" w:lineRule="auto"/>
            </w:pPr>
            <w:r>
              <w:rPr>
                <w:sz w:val="16"/>
              </w:rPr>
              <w:t>Ixo-vec LUNA/OPTIC durability and patient preference context.</w:t>
            </w:r>
          </w:p>
        </w:tc>
      </w:tr>
      <w:tr w:rsidR="00D80A0F" w14:paraId="426AE26A"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6C1E761B" w14:textId="77777777" w:rsidR="00D80A0F" w:rsidRDefault="00000000">
            <w:pPr>
              <w:spacing w:after="0"/>
            </w:pPr>
            <w:hyperlink r:id="rId140">
              <w:r>
                <w:rPr>
                  <w:color w:val="0563C1"/>
                  <w:u w:val="single"/>
                </w:rPr>
                <w:t>[21]</w:t>
              </w:r>
            </w:hyperlink>
          </w:p>
        </w:tc>
        <w:tc>
          <w:tcPr>
            <w:tcW w:w="4464" w:type="dxa"/>
            <w:tcBorders>
              <w:top w:val="single" w:sz="4" w:space="0" w:color="BFBFBF"/>
              <w:left w:val="single" w:sz="4" w:space="0" w:color="BFBFBF"/>
              <w:bottom w:val="single" w:sz="4" w:space="0" w:color="BFBFBF"/>
              <w:right w:val="single" w:sz="4" w:space="0" w:color="BFBFBF"/>
            </w:tcBorders>
          </w:tcPr>
          <w:p w14:paraId="67A5EDE8" w14:textId="77777777" w:rsidR="00D80A0F" w:rsidRDefault="00000000">
            <w:pPr>
              <w:spacing w:after="0"/>
            </w:pPr>
            <w:hyperlink r:id="rId141">
              <w:r>
                <w:rPr>
                  <w:color w:val="0563C1"/>
                  <w:u w:val="single"/>
                </w:rPr>
                <w:t>FDA, Real-World Evidence overview</w:t>
              </w:r>
            </w:hyperlink>
          </w:p>
        </w:tc>
        <w:tc>
          <w:tcPr>
            <w:tcW w:w="4896" w:type="dxa"/>
            <w:tcBorders>
              <w:top w:val="single" w:sz="4" w:space="0" w:color="BFBFBF"/>
              <w:left w:val="single" w:sz="4" w:space="0" w:color="BFBFBF"/>
              <w:bottom w:val="single" w:sz="4" w:space="0" w:color="BFBFBF"/>
              <w:right w:val="single" w:sz="4" w:space="0" w:color="BFBFBF"/>
            </w:tcBorders>
          </w:tcPr>
          <w:p w14:paraId="63A4C01C" w14:textId="77777777" w:rsidR="00D80A0F" w:rsidRDefault="00000000">
            <w:pPr>
              <w:spacing w:after="0" w:line="240" w:lineRule="auto"/>
            </w:pPr>
            <w:r>
              <w:rPr>
                <w:sz w:val="16"/>
              </w:rPr>
              <w:t>FDA overview of RWD/RWE sources.</w:t>
            </w:r>
          </w:p>
        </w:tc>
      </w:tr>
      <w:tr w:rsidR="00D80A0F" w14:paraId="59559D7A"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197CDA19" w14:textId="77777777" w:rsidR="00D80A0F" w:rsidRDefault="00000000">
            <w:pPr>
              <w:spacing w:after="0"/>
            </w:pPr>
            <w:hyperlink r:id="rId142">
              <w:r>
                <w:rPr>
                  <w:color w:val="0563C1"/>
                  <w:u w:val="single"/>
                </w:rPr>
                <w:t>[22]</w:t>
              </w:r>
            </w:hyperlink>
          </w:p>
        </w:tc>
        <w:tc>
          <w:tcPr>
            <w:tcW w:w="4464" w:type="dxa"/>
            <w:tcBorders>
              <w:top w:val="single" w:sz="4" w:space="0" w:color="BFBFBF"/>
              <w:left w:val="single" w:sz="4" w:space="0" w:color="BFBFBF"/>
              <w:bottom w:val="single" w:sz="4" w:space="0" w:color="BFBFBF"/>
              <w:right w:val="single" w:sz="4" w:space="0" w:color="BFBFBF"/>
            </w:tcBorders>
          </w:tcPr>
          <w:p w14:paraId="65C79F89" w14:textId="77777777" w:rsidR="00D80A0F" w:rsidRDefault="00000000">
            <w:pPr>
              <w:spacing w:after="0"/>
            </w:pPr>
            <w:hyperlink r:id="rId143">
              <w:r>
                <w:rPr>
                  <w:color w:val="0563C1"/>
                  <w:u w:val="single"/>
                </w:rPr>
                <w:t>FDA, Real-World Data: assessing EHRs and medical claims data</w:t>
              </w:r>
            </w:hyperlink>
          </w:p>
        </w:tc>
        <w:tc>
          <w:tcPr>
            <w:tcW w:w="4896" w:type="dxa"/>
            <w:tcBorders>
              <w:top w:val="single" w:sz="4" w:space="0" w:color="BFBFBF"/>
              <w:left w:val="single" w:sz="4" w:space="0" w:color="BFBFBF"/>
              <w:bottom w:val="single" w:sz="4" w:space="0" w:color="BFBFBF"/>
              <w:right w:val="single" w:sz="4" w:space="0" w:color="BFBFBF"/>
            </w:tcBorders>
          </w:tcPr>
          <w:p w14:paraId="36403C49" w14:textId="77777777" w:rsidR="00D80A0F" w:rsidRDefault="00000000">
            <w:pPr>
              <w:spacing w:after="0" w:line="240" w:lineRule="auto"/>
            </w:pPr>
            <w:r>
              <w:rPr>
                <w:sz w:val="16"/>
              </w:rPr>
              <w:t>FDA guidance on EHR and claims data for regulatory purposes.</w:t>
            </w:r>
          </w:p>
        </w:tc>
      </w:tr>
      <w:tr w:rsidR="00D80A0F" w14:paraId="0DE2FFDD"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44872CCF" w14:textId="77777777" w:rsidR="00D80A0F" w:rsidRDefault="00000000">
            <w:pPr>
              <w:spacing w:after="0"/>
            </w:pPr>
            <w:hyperlink r:id="rId144">
              <w:r>
                <w:rPr>
                  <w:color w:val="0563C1"/>
                  <w:u w:val="single"/>
                </w:rPr>
                <w:t>[23]</w:t>
              </w:r>
            </w:hyperlink>
          </w:p>
        </w:tc>
        <w:tc>
          <w:tcPr>
            <w:tcW w:w="4464" w:type="dxa"/>
            <w:tcBorders>
              <w:top w:val="single" w:sz="4" w:space="0" w:color="BFBFBF"/>
              <w:left w:val="single" w:sz="4" w:space="0" w:color="BFBFBF"/>
              <w:bottom w:val="single" w:sz="4" w:space="0" w:color="BFBFBF"/>
              <w:right w:val="single" w:sz="4" w:space="0" w:color="BFBFBF"/>
            </w:tcBorders>
          </w:tcPr>
          <w:p w14:paraId="10CED2B9" w14:textId="77777777" w:rsidR="00D80A0F" w:rsidRDefault="00000000">
            <w:pPr>
              <w:spacing w:after="0"/>
            </w:pPr>
            <w:hyperlink r:id="rId145">
              <w:r>
                <w:rPr>
                  <w:color w:val="0563C1"/>
                  <w:u w:val="single"/>
                </w:rPr>
                <w:t>AMCP, Format for Formulary Submissions</w:t>
              </w:r>
            </w:hyperlink>
          </w:p>
        </w:tc>
        <w:tc>
          <w:tcPr>
            <w:tcW w:w="4896" w:type="dxa"/>
            <w:tcBorders>
              <w:top w:val="single" w:sz="4" w:space="0" w:color="BFBFBF"/>
              <w:left w:val="single" w:sz="4" w:space="0" w:color="BFBFBF"/>
              <w:bottom w:val="single" w:sz="4" w:space="0" w:color="BFBFBF"/>
              <w:right w:val="single" w:sz="4" w:space="0" w:color="BFBFBF"/>
            </w:tcBorders>
          </w:tcPr>
          <w:p w14:paraId="6976CEA8" w14:textId="77777777" w:rsidR="00D80A0F" w:rsidRDefault="00000000">
            <w:pPr>
              <w:spacing w:after="0" w:line="240" w:lineRule="auto"/>
            </w:pPr>
            <w:r>
              <w:rPr>
                <w:sz w:val="16"/>
              </w:rPr>
              <w:t>AMCP dossier framework for payer evidence.</w:t>
            </w:r>
          </w:p>
        </w:tc>
      </w:tr>
      <w:tr w:rsidR="00D80A0F" w14:paraId="48313B14"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587E8C4A" w14:textId="77777777" w:rsidR="00D80A0F" w:rsidRDefault="00000000">
            <w:pPr>
              <w:spacing w:after="0"/>
            </w:pPr>
            <w:hyperlink r:id="rId146">
              <w:r>
                <w:rPr>
                  <w:color w:val="0563C1"/>
                  <w:u w:val="single"/>
                </w:rPr>
                <w:t>[24]</w:t>
              </w:r>
            </w:hyperlink>
          </w:p>
        </w:tc>
        <w:tc>
          <w:tcPr>
            <w:tcW w:w="4464" w:type="dxa"/>
            <w:tcBorders>
              <w:top w:val="single" w:sz="4" w:space="0" w:color="BFBFBF"/>
              <w:left w:val="single" w:sz="4" w:space="0" w:color="BFBFBF"/>
              <w:bottom w:val="single" w:sz="4" w:space="0" w:color="BFBFBF"/>
              <w:right w:val="single" w:sz="4" w:space="0" w:color="BFBFBF"/>
            </w:tcBorders>
          </w:tcPr>
          <w:p w14:paraId="09D8C5E8" w14:textId="77777777" w:rsidR="00D80A0F" w:rsidRDefault="00000000">
            <w:pPr>
              <w:spacing w:after="0"/>
            </w:pPr>
            <w:hyperlink r:id="rId147">
              <w:r>
                <w:rPr>
                  <w:color w:val="0563C1"/>
                  <w:u w:val="single"/>
                </w:rPr>
                <w:t>Okamoto et al., caregiver burden among anti-VEGF injection recipients</w:t>
              </w:r>
            </w:hyperlink>
          </w:p>
        </w:tc>
        <w:tc>
          <w:tcPr>
            <w:tcW w:w="4896" w:type="dxa"/>
            <w:tcBorders>
              <w:top w:val="single" w:sz="4" w:space="0" w:color="BFBFBF"/>
              <w:left w:val="single" w:sz="4" w:space="0" w:color="BFBFBF"/>
              <w:bottom w:val="single" w:sz="4" w:space="0" w:color="BFBFBF"/>
              <w:right w:val="single" w:sz="4" w:space="0" w:color="BFBFBF"/>
            </w:tcBorders>
          </w:tcPr>
          <w:p w14:paraId="5C2D12A5" w14:textId="77777777" w:rsidR="00D80A0F" w:rsidRDefault="00000000">
            <w:pPr>
              <w:spacing w:after="0" w:line="240" w:lineRule="auto"/>
            </w:pPr>
            <w:r>
              <w:rPr>
                <w:sz w:val="16"/>
              </w:rPr>
              <w:t>Caregiver burden evidence in anti-VEGF treatment.</w:t>
            </w:r>
          </w:p>
        </w:tc>
      </w:tr>
      <w:tr w:rsidR="00D80A0F" w14:paraId="50120841"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tcPr>
          <w:p w14:paraId="23B440C4" w14:textId="77777777" w:rsidR="00D80A0F" w:rsidRDefault="00000000">
            <w:pPr>
              <w:spacing w:after="0"/>
            </w:pPr>
            <w:hyperlink r:id="rId148">
              <w:r>
                <w:rPr>
                  <w:color w:val="0563C1"/>
                  <w:u w:val="single"/>
                </w:rPr>
                <w:t>[25]</w:t>
              </w:r>
            </w:hyperlink>
          </w:p>
        </w:tc>
        <w:tc>
          <w:tcPr>
            <w:tcW w:w="4464" w:type="dxa"/>
            <w:tcBorders>
              <w:top w:val="single" w:sz="4" w:space="0" w:color="BFBFBF"/>
              <w:left w:val="single" w:sz="4" w:space="0" w:color="BFBFBF"/>
              <w:bottom w:val="single" w:sz="4" w:space="0" w:color="BFBFBF"/>
              <w:right w:val="single" w:sz="4" w:space="0" w:color="BFBFBF"/>
            </w:tcBorders>
          </w:tcPr>
          <w:p w14:paraId="55255227" w14:textId="77777777" w:rsidR="00D80A0F" w:rsidRDefault="00000000">
            <w:pPr>
              <w:spacing w:after="0"/>
            </w:pPr>
            <w:hyperlink r:id="rId149">
              <w:r>
                <w:rPr>
                  <w:color w:val="0563C1"/>
                  <w:u w:val="single"/>
                </w:rPr>
                <w:t>PLOS ONE, treatment burden of treat-and-extend vs PRN ranibizumab</w:t>
              </w:r>
            </w:hyperlink>
          </w:p>
        </w:tc>
        <w:tc>
          <w:tcPr>
            <w:tcW w:w="4896" w:type="dxa"/>
            <w:tcBorders>
              <w:top w:val="single" w:sz="4" w:space="0" w:color="BFBFBF"/>
              <w:left w:val="single" w:sz="4" w:space="0" w:color="BFBFBF"/>
              <w:bottom w:val="single" w:sz="4" w:space="0" w:color="BFBFBF"/>
              <w:right w:val="single" w:sz="4" w:space="0" w:color="BFBFBF"/>
            </w:tcBorders>
          </w:tcPr>
          <w:p w14:paraId="13CD8FCB" w14:textId="77777777" w:rsidR="00D80A0F" w:rsidRDefault="00000000">
            <w:pPr>
              <w:spacing w:after="0" w:line="240" w:lineRule="auto"/>
            </w:pPr>
            <w:r>
              <w:rPr>
                <w:sz w:val="16"/>
              </w:rPr>
              <w:t>Treatment and caregiver burden evidence for wet AMD anti-VEGF regimens.</w:t>
            </w:r>
          </w:p>
        </w:tc>
      </w:tr>
    </w:tbl>
    <w:p w14:paraId="5ED39794" w14:textId="77777777" w:rsidR="00D80A0F" w:rsidRDefault="00000000">
      <w:pPr>
        <w:spacing w:after="0"/>
      </w:pPr>
      <w:r>
        <w:rPr>
          <w:b/>
        </w:rPr>
        <w:t xml:space="preserve">Document status: </w:t>
      </w:r>
      <w:r>
        <w:t>Strategic planning draft. Recommendations should be reconciled with final Phase 3 protocol feasibility, statistical hierarchy, budget, and the asset's ownership/financing status before execution.</w:t>
      </w:r>
    </w:p>
    <w:sectPr w:rsidR="00D80A0F" w:rsidSect="00034616">
      <w:headerReference w:type="even" r:id="rId150"/>
      <w:headerReference w:type="default" r:id="rId151"/>
      <w:footerReference w:type="even" r:id="rId152"/>
      <w:footerReference w:type="default" r:id="rId153"/>
      <w:headerReference w:type="first" r:id="rId154"/>
      <w:footerReference w:type="first" r:id="rId155"/>
      <w:pgSz w:w="12240" w:h="15840"/>
      <w:pgMar w:top="864" w:right="893" w:bottom="792" w:left="893" w:header="360"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4A613" w14:textId="77777777" w:rsidR="000802E7" w:rsidRDefault="000802E7">
      <w:pPr>
        <w:spacing w:after="0" w:line="240" w:lineRule="auto"/>
      </w:pPr>
      <w:r>
        <w:separator/>
      </w:r>
    </w:p>
  </w:endnote>
  <w:endnote w:type="continuationSeparator" w:id="0">
    <w:p w14:paraId="3B74605E" w14:textId="77777777" w:rsidR="000802E7" w:rsidRDefault="00080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6781" w14:textId="77777777" w:rsidR="00C0283A" w:rsidRDefault="00C028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7FF7" w14:textId="6AD9B469" w:rsidR="00D80A0F" w:rsidRDefault="00000000">
    <w:pPr>
      <w:pStyle w:val="Footer"/>
      <w:jc w:val="center"/>
    </w:pPr>
    <w:r>
      <w:rPr>
        <w:color w:val="757575"/>
        <w:sz w:val="15"/>
      </w:rPr>
      <w:t>CLS-AX HEOR roadmap | April 29,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176CA" w14:textId="77777777" w:rsidR="00C0283A" w:rsidRDefault="00C028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5AD50" w14:textId="77777777" w:rsidR="000802E7" w:rsidRDefault="000802E7">
      <w:pPr>
        <w:spacing w:after="0" w:line="240" w:lineRule="auto"/>
      </w:pPr>
      <w:r>
        <w:separator/>
      </w:r>
    </w:p>
  </w:footnote>
  <w:footnote w:type="continuationSeparator" w:id="0">
    <w:p w14:paraId="74A94105" w14:textId="77777777" w:rsidR="000802E7" w:rsidRDefault="000802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4B2E" w14:textId="77777777" w:rsidR="00C0283A" w:rsidRDefault="00C028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2348" w14:textId="77777777" w:rsidR="00C0283A" w:rsidRDefault="00C028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6214" w14:textId="77777777" w:rsidR="00C0283A" w:rsidRDefault="00C028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23465">
    <w:abstractNumId w:val="8"/>
  </w:num>
  <w:num w:numId="2" w16cid:durableId="1527524172">
    <w:abstractNumId w:val="6"/>
  </w:num>
  <w:num w:numId="3" w16cid:durableId="1808888642">
    <w:abstractNumId w:val="5"/>
  </w:num>
  <w:num w:numId="4" w16cid:durableId="219292232">
    <w:abstractNumId w:val="4"/>
  </w:num>
  <w:num w:numId="5" w16cid:durableId="442961515">
    <w:abstractNumId w:val="7"/>
  </w:num>
  <w:num w:numId="6" w16cid:durableId="1179080791">
    <w:abstractNumId w:val="3"/>
  </w:num>
  <w:num w:numId="7" w16cid:durableId="1198082521">
    <w:abstractNumId w:val="2"/>
  </w:num>
  <w:num w:numId="8" w16cid:durableId="509876610">
    <w:abstractNumId w:val="1"/>
  </w:num>
  <w:num w:numId="9" w16cid:durableId="159783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2E7"/>
    <w:rsid w:val="0015074B"/>
    <w:rsid w:val="0029639D"/>
    <w:rsid w:val="00326F90"/>
    <w:rsid w:val="007D215C"/>
    <w:rsid w:val="007D4366"/>
    <w:rsid w:val="00AA1D8D"/>
    <w:rsid w:val="00B47730"/>
    <w:rsid w:val="00C0283A"/>
    <w:rsid w:val="00CB0664"/>
    <w:rsid w:val="00D80A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F2347"/>
  <w14:defaultImageDpi w14:val="300"/>
  <w15:docId w15:val="{E47372B4-8BB0-2543-A0FB-A868FB76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0404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S2666914525000429" TargetMode="External"/><Relationship Id="rId21" Type="http://schemas.openxmlformats.org/officeDocument/2006/relationships/hyperlink" Target="https://investors.eyepoint.bio/news-releases/news-release-details/eyepoint-announces-positive-recommendation-independent-data" TargetMode="External"/><Relationship Id="rId42" Type="http://schemas.openxmlformats.org/officeDocument/2006/relationships/hyperlink" Target="https://4dmt.gcs-web.com/news-releases/news-release-details/4dmt-completes-enrollment-4front-1-phase-3-clinical-trial-4d-150/" TargetMode="External"/><Relationship Id="rId63" Type="http://schemas.openxmlformats.org/officeDocument/2006/relationships/hyperlink" Target="https://adverum.com/press-archive/adverum-biotechnologies-announces-completion-of-screening-for-pivotal-phase-3-artemis-trial-of-ixo-vec-for-wet-age-related-macular-degeneration/" TargetMode="External"/><Relationship Id="rId84" Type="http://schemas.openxmlformats.org/officeDocument/2006/relationships/hyperlink" Target="https://investors.eyepoint.bio/news-releases/news-release-details/eyepoint-reports-corporate-update-and-anticipated-pivotal" TargetMode="External"/><Relationship Id="rId138" Type="http://schemas.openxmlformats.org/officeDocument/2006/relationships/hyperlink" Target="https://adverum.com/press-archive/adverum-biotechnologies-announces-positive-52-week-luna-and-4-year-optic-results-and-provides-key-pivotal-program-design-elements/" TargetMode="External"/><Relationship Id="rId107" Type="http://schemas.openxmlformats.org/officeDocument/2006/relationships/hyperlink" Target="https://ir.clearsidebio.com/news-releases/news-release-details/clearside-biomedical-pursue-strategic-sale-its-business-through" TargetMode="External"/><Relationship Id="rId11" Type="http://schemas.openxmlformats.org/officeDocument/2006/relationships/hyperlink" Target="https://ir.clearsidebio.com/news-releases/news-release-details/clearside-biomedical-announces-successful-end-phase-2-meeting" TargetMode="External"/><Relationship Id="rId32" Type="http://schemas.openxmlformats.org/officeDocument/2006/relationships/hyperlink" Target="https://www.vabysmo-hcp.com/dosing-and-administration-namd.html" TargetMode="External"/><Relationship Id="rId53" Type="http://schemas.openxmlformats.org/officeDocument/2006/relationships/hyperlink" Target="https://investors.eyepoint.bio/news-releases/news-release-details/eyepoint-reports-corporate-update-and-anticipated-pivotal" TargetMode="External"/><Relationship Id="rId74" Type="http://schemas.openxmlformats.org/officeDocument/2006/relationships/hyperlink" Target="https://www.amcp.org/resource/amcp-format-formulary-submissions-guidance" TargetMode="External"/><Relationship Id="rId128" Type="http://schemas.openxmlformats.org/officeDocument/2006/relationships/hyperlink" Target="https://investors.eyepoint.bio/news-releases/news-release-details/eyepoint-announces-positive-recommendation-independent-data" TargetMode="External"/><Relationship Id="rId149" Type="http://schemas.openxmlformats.org/officeDocument/2006/relationships/hyperlink" Target="https://journals.plos.org/plosone/article?id=10.1371%2Fjournal.pone.0189035" TargetMode="External"/><Relationship Id="rId5" Type="http://schemas.openxmlformats.org/officeDocument/2006/relationships/webSettings" Target="webSettings.xml"/><Relationship Id="rId95" Type="http://schemas.openxmlformats.org/officeDocument/2006/relationships/hyperlink" Target="https://investors.eyepoint.bio/news-releases/news-release-details/eyepoint-reports-corporate-update-and-anticipated-pivotal" TargetMode="External"/><Relationship Id="rId22" Type="http://schemas.openxmlformats.org/officeDocument/2006/relationships/hyperlink" Target="https://4dmt.gcs-web.com/news-releases/news-release-details/4dmt-completes-enrollment-4front-1-phase-3-clinical-trial-4d-150/" TargetMode="External"/><Relationship Id="rId43" Type="http://schemas.openxmlformats.org/officeDocument/2006/relationships/hyperlink" Target="https://ir.4dmoleculartherapeutics.com/news-releases/news-release-details/4dmt-provides-company-update-and-anticipated-development" TargetMode="External"/><Relationship Id="rId64" Type="http://schemas.openxmlformats.org/officeDocument/2006/relationships/hyperlink" Target="https://clearsidebio.com/pipeline/cls-ax/" TargetMode="External"/><Relationship Id="rId118" Type="http://schemas.openxmlformats.org/officeDocument/2006/relationships/hyperlink" Target="https://www.susvimo-hcp.com/safety/important-safety-information.html" TargetMode="External"/><Relationship Id="rId139" Type="http://schemas.openxmlformats.org/officeDocument/2006/relationships/hyperlink" Target="https://adverum.com/press-archive/adverum-biotechnologies-announces-positive-52-week-luna-and-4-year-optic-results-and-provides-key-pivotal-program-design-elements/" TargetMode="External"/><Relationship Id="rId80" Type="http://schemas.openxmlformats.org/officeDocument/2006/relationships/hyperlink" Target="https://investor.regeneron.com/news-releases/news-release-details/eylea-hdr-aflibercept-approved-fda-first-and-only-injectable/" TargetMode="External"/><Relationship Id="rId85" Type="http://schemas.openxmlformats.org/officeDocument/2006/relationships/hyperlink" Target="https://4dmt.gcs-web.com/news-releases/news-release-details/4dmt-completes-enrollment-4front-1-phase-3-clinical-trial-4d-150/" TargetMode="External"/><Relationship Id="rId150" Type="http://schemas.openxmlformats.org/officeDocument/2006/relationships/header" Target="header1.xml"/><Relationship Id="rId155" Type="http://schemas.openxmlformats.org/officeDocument/2006/relationships/footer" Target="footer3.xml"/><Relationship Id="rId12" Type="http://schemas.openxmlformats.org/officeDocument/2006/relationships/hyperlink" Target="https://ir.clearsidebio.com/news-releases/news-release-details/clearside-biomedical-pursue-strategic-sale-its-business-through" TargetMode="External"/><Relationship Id="rId17" Type="http://schemas.openxmlformats.org/officeDocument/2006/relationships/hyperlink" Target="https://www.sciencedirect.com/science/article/pii/S2666914525000429" TargetMode="External"/><Relationship Id="rId33" Type="http://schemas.openxmlformats.org/officeDocument/2006/relationships/hyperlink" Target="https://www.sciencedirect.com/science/article/pii/S0161642024001349" TargetMode="External"/><Relationship Id="rId38" Type="http://schemas.openxmlformats.org/officeDocument/2006/relationships/hyperlink" Target="https://www.biospace.com/press-releases/ocular-therapeutix-reports-positive-results-from-landmark-sol-1-phase-3-superiority-trial-in-wet-amd" TargetMode="External"/><Relationship Id="rId59" Type="http://schemas.openxmlformats.org/officeDocument/2006/relationships/hyperlink" Target="https://www.biospace.com/press-releases/ocular-therapeutix-reports-positive-results-from-landmark-sol-1-phase-3-superiority-trial-in-wet-amd" TargetMode="External"/><Relationship Id="rId103" Type="http://schemas.openxmlformats.org/officeDocument/2006/relationships/hyperlink" Target="https://ir.clearsidebio.com/news-releases/news-release-details/clearside-biomedical-announces-additional-data-cls-ax-odyssey" TargetMode="External"/><Relationship Id="rId108" Type="http://schemas.openxmlformats.org/officeDocument/2006/relationships/hyperlink" Target="https://investor.regeneron.com/news-releases/news-release-details/eylea-hdr-aflibercept-approved-fda-first-and-only-injectable/" TargetMode="External"/><Relationship Id="rId124" Type="http://schemas.openxmlformats.org/officeDocument/2006/relationships/hyperlink" Target="https://www.ocutx.com/pipeline/axpaxli/" TargetMode="External"/><Relationship Id="rId129" Type="http://schemas.openxmlformats.org/officeDocument/2006/relationships/hyperlink" Target="https://investors.eyepoint.bio/news-releases/news-release-details/eyepoint-announces-positive-recommendation-independent-data" TargetMode="External"/><Relationship Id="rId54" Type="http://schemas.openxmlformats.org/officeDocument/2006/relationships/hyperlink" Target="https://www.fda.gov/science-research/science-and-research-special-topics/real-world-evidence" TargetMode="External"/><Relationship Id="rId70" Type="http://schemas.openxmlformats.org/officeDocument/2006/relationships/hyperlink" Target="https://www.vabysmo-hcp.com/dosing-and-administration-namd.html" TargetMode="External"/><Relationship Id="rId75" Type="http://schemas.openxmlformats.org/officeDocument/2006/relationships/hyperlink" Target="https://ir.clearsidebio.com/news-releases/news-release-details/clearside-biomedical-announces-successful-end-phase-2-meeting" TargetMode="External"/><Relationship Id="rId91" Type="http://schemas.openxmlformats.org/officeDocument/2006/relationships/hyperlink" Target="https://www.fda.gov/regulatory-information/search-fda-guidance-documents/real-world-data-assessing-electronic-health-records-and-medical-claims-data-support-regulatory" TargetMode="External"/><Relationship Id="rId96" Type="http://schemas.openxmlformats.org/officeDocument/2006/relationships/hyperlink" Target="https://ir.regenxbio.com/news-releases/news-release-details/regenxbio-announces-completion-enrollment-pivotal-trials/" TargetMode="External"/><Relationship Id="rId140" Type="http://schemas.openxmlformats.org/officeDocument/2006/relationships/hyperlink" Target="https://www.fda.gov/science-research/science-and-research-special-topics/real-world-evidence" TargetMode="External"/><Relationship Id="rId145" Type="http://schemas.openxmlformats.org/officeDocument/2006/relationships/hyperlink" Target="https://www.amcp.org/resource/amcp-format-formulary-submissions-guidanc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ir.4dmoleculartherapeutics.com/news-releases/news-release-details/4dmt-provides-company-update-and-anticipated-development" TargetMode="External"/><Relationship Id="rId28" Type="http://schemas.openxmlformats.org/officeDocument/2006/relationships/hyperlink" Target="https://www.fda.gov/science-research/science-and-research-special-topics/real-world-evidence" TargetMode="External"/><Relationship Id="rId49" Type="http://schemas.openxmlformats.org/officeDocument/2006/relationships/hyperlink" Target="https://ir.clearsidebio.com/news-releases/news-release-details/clearside-biomedical-announces-successful-end-phase-2-meeting" TargetMode="External"/><Relationship Id="rId114" Type="http://schemas.openxmlformats.org/officeDocument/2006/relationships/hyperlink" Target="https://www.nature.com/articles/s41433-025-04213-2" TargetMode="External"/><Relationship Id="rId119" Type="http://schemas.openxmlformats.org/officeDocument/2006/relationships/hyperlink" Target="https://www.susvimo-hcp.com/safety/important-safety-information.html" TargetMode="External"/><Relationship Id="rId44" Type="http://schemas.openxmlformats.org/officeDocument/2006/relationships/hyperlink" Target="https://ir.regenxbio.com/news-releases/news-release-details/regenxbio-announces-completion-enrollment-pivotal-trials/" TargetMode="External"/><Relationship Id="rId60" Type="http://schemas.openxmlformats.org/officeDocument/2006/relationships/hyperlink" Target="https://investors.eyepoint.bio/news-releases/news-release-details/eyepoint-reports-corporate-update-and-anticipated-pivotal" TargetMode="External"/><Relationship Id="rId65" Type="http://schemas.openxmlformats.org/officeDocument/2006/relationships/hyperlink" Target="https://ir.clearsidebio.com/news-releases/news-release-details/clearside-biomedical-pursue-strategic-sale-its-business-through" TargetMode="External"/><Relationship Id="rId81" Type="http://schemas.openxmlformats.org/officeDocument/2006/relationships/hyperlink" Target="https://www.nature.com/articles/s41433-025-04213-2" TargetMode="External"/><Relationship Id="rId86" Type="http://schemas.openxmlformats.org/officeDocument/2006/relationships/hyperlink" Target="https://ir.regenxbio.com/news-releases/news-release-details/regenxbio-announces-completion-enrollment-pivotal-trials/" TargetMode="External"/><Relationship Id="rId130" Type="http://schemas.openxmlformats.org/officeDocument/2006/relationships/hyperlink" Target="https://4dmt.gcs-web.com/news-releases/news-release-details/4dmt-completes-enrollment-4front-1-phase-3-clinical-trial-4d-150/" TargetMode="External"/><Relationship Id="rId135" Type="http://schemas.openxmlformats.org/officeDocument/2006/relationships/hyperlink" Target="https://ir.regenxbio.com/news-releases/news-release-details/regenxbio-announces-completion-enrollment-pivotal-trials/" TargetMode="External"/><Relationship Id="rId151" Type="http://schemas.openxmlformats.org/officeDocument/2006/relationships/header" Target="header2.xml"/><Relationship Id="rId156" Type="http://schemas.openxmlformats.org/officeDocument/2006/relationships/fontTable" Target="fontTable.xml"/><Relationship Id="rId13" Type="http://schemas.openxmlformats.org/officeDocument/2006/relationships/hyperlink" Target="https://investor.regeneron.com/news-releases/news-release-details/eylea-hdr-aflibercept-approved-fda-first-and-only-injectable/" TargetMode="External"/><Relationship Id="rId18" Type="http://schemas.openxmlformats.org/officeDocument/2006/relationships/hyperlink" Target="https://www.globenewswire.com/news-release/2026/4/13/3272358/0/en/ocular-therapeutix-announces-additional-positive-week-52-data-from-landmark-sol-1-phase-3-trial-of-axpaxli-in-wet-amd.html" TargetMode="External"/><Relationship Id="rId39" Type="http://schemas.openxmlformats.org/officeDocument/2006/relationships/hyperlink" Target="https://www.ocutx.com/pipeline/axpaxli/" TargetMode="External"/><Relationship Id="rId109" Type="http://schemas.openxmlformats.org/officeDocument/2006/relationships/hyperlink" Target="https://investor.regeneron.com/news-releases/news-release-details/eylea-hdr-aflibercept-approved-fda-first-and-only-injectable/" TargetMode="External"/><Relationship Id="rId34" Type="http://schemas.openxmlformats.org/officeDocument/2006/relationships/hyperlink" Target="https://www.nature.com/articles/s41433-025-04213-2" TargetMode="External"/><Relationship Id="rId50" Type="http://schemas.openxmlformats.org/officeDocument/2006/relationships/hyperlink" Target="https://investor.regeneron.com/news-releases/news-release-details/eylea-hdr-aflibercept-approved-fda-first-and-only-injectable/" TargetMode="External"/><Relationship Id="rId55" Type="http://schemas.openxmlformats.org/officeDocument/2006/relationships/hyperlink" Target="https://www.fda.gov/regulatory-information/search-fda-guidance-documents/real-world-data-assessing-electronic-health-records-and-medical-claims-data-support-regulatory" TargetMode="External"/><Relationship Id="rId76" Type="http://schemas.openxmlformats.org/officeDocument/2006/relationships/hyperlink" Target="https://www.fda.gov/science-research/science-and-research-special-topics/real-world-evidence" TargetMode="External"/><Relationship Id="rId97" Type="http://schemas.openxmlformats.org/officeDocument/2006/relationships/hyperlink" Target="https://adverum.com/press-archive/adverum-biotechnologies-announces-completion-of-screening-for-pivotal-phase-3-artemis-trial-of-ixo-vec-for-wet-age-related-macular-degeneration/" TargetMode="External"/><Relationship Id="rId104" Type="http://schemas.openxmlformats.org/officeDocument/2006/relationships/hyperlink" Target="https://ir.clearsidebio.com/news-releases/news-release-details/clearside-biomedical-announces-successful-end-phase-2-meeting" TargetMode="External"/><Relationship Id="rId120" Type="http://schemas.openxmlformats.org/officeDocument/2006/relationships/hyperlink" Target="https://www.globenewswire.com/news-release/2026/4/13/3272358/0/en/ocular-therapeutix-announces-additional-positive-week-52-data-from-landmark-sol-1-phase-3-trial-of-axpaxli-in-wet-amd.html" TargetMode="External"/><Relationship Id="rId125" Type="http://schemas.openxmlformats.org/officeDocument/2006/relationships/hyperlink" Target="https://www.ocutx.com/pipeline/axpaxli/" TargetMode="External"/><Relationship Id="rId141" Type="http://schemas.openxmlformats.org/officeDocument/2006/relationships/hyperlink" Target="https://www.fda.gov/science-research/science-and-research-special-topics/real-world-evidence" TargetMode="External"/><Relationship Id="rId146" Type="http://schemas.openxmlformats.org/officeDocument/2006/relationships/hyperlink" Target="https://www.dovepress.com/caregiver-burden-among-patients-receiving-anti-vegf-intravitreal-injec-peer-reviewed-fulltext-article-OPTH" TargetMode="External"/><Relationship Id="rId7" Type="http://schemas.openxmlformats.org/officeDocument/2006/relationships/endnotes" Target="endnotes.xml"/><Relationship Id="rId71" Type="http://schemas.openxmlformats.org/officeDocument/2006/relationships/hyperlink" Target="https://www.nature.com/articles/s41433-025-04213-2" TargetMode="External"/><Relationship Id="rId92" Type="http://schemas.openxmlformats.org/officeDocument/2006/relationships/hyperlink" Target="https://www.dovepress.com/caregiver-burden-among-patients-receiving-anti-vegf-intravitreal-injec-peer-reviewed-fulltext-article-OPTH" TargetMode="External"/><Relationship Id="rId2" Type="http://schemas.openxmlformats.org/officeDocument/2006/relationships/numbering" Target="numbering.xml"/><Relationship Id="rId29" Type="http://schemas.openxmlformats.org/officeDocument/2006/relationships/hyperlink" Target="https://www.fda.gov/regulatory-information/search-fda-guidance-documents/real-world-data-assessing-electronic-health-records-and-medical-claims-data-support-regulatory" TargetMode="External"/><Relationship Id="rId24" Type="http://schemas.openxmlformats.org/officeDocument/2006/relationships/hyperlink" Target="https://ir.regenxbio.com/news-releases/news-release-details/regenxbio-announces-completion-enrollment-pivotal-trials/" TargetMode="External"/><Relationship Id="rId40" Type="http://schemas.openxmlformats.org/officeDocument/2006/relationships/hyperlink" Target="https://investors.eyepoint.bio/news-releases/news-release-details/eyepoint-reports-corporate-update-and-anticipated-pivotal" TargetMode="External"/><Relationship Id="rId45" Type="http://schemas.openxmlformats.org/officeDocument/2006/relationships/hyperlink" Target="https://adverum.com/press-archive/adverum-biotechnologies-announces-completion-of-screening-for-pivotal-phase-3-artemis-trial-of-ixo-vec-for-wet-age-related-macular-degeneration/" TargetMode="External"/><Relationship Id="rId66" Type="http://schemas.openxmlformats.org/officeDocument/2006/relationships/hyperlink" Target="https://www.susvimo-hcp.com/safety/important-safety-information.html" TargetMode="External"/><Relationship Id="rId87" Type="http://schemas.openxmlformats.org/officeDocument/2006/relationships/hyperlink" Target="https://adverum.com/press-archive/adverum-biotechnologies-announces-completion-of-screening-for-pivotal-phase-3-artemis-trial-of-ixo-vec-for-wet-age-related-macular-degeneration/" TargetMode="External"/><Relationship Id="rId110" Type="http://schemas.openxmlformats.org/officeDocument/2006/relationships/hyperlink" Target="https://www.vabysmo-hcp.com/dosing-and-administration-namd.html" TargetMode="External"/><Relationship Id="rId115" Type="http://schemas.openxmlformats.org/officeDocument/2006/relationships/hyperlink" Target="https://www.nature.com/articles/s41433-025-04213-2" TargetMode="External"/><Relationship Id="rId131" Type="http://schemas.openxmlformats.org/officeDocument/2006/relationships/hyperlink" Target="https://4dmt.gcs-web.com/news-releases/news-release-details/4dmt-completes-enrollment-4front-1-phase-3-clinical-trial-4d-150/" TargetMode="External"/><Relationship Id="rId136" Type="http://schemas.openxmlformats.org/officeDocument/2006/relationships/hyperlink" Target="https://adverum.com/press-archive/adverum-biotechnologies-announces-completion-of-screening-for-pivotal-phase-3-artemis-trial-of-ixo-vec-for-wet-age-related-macular-degeneration/" TargetMode="External"/><Relationship Id="rId157" Type="http://schemas.openxmlformats.org/officeDocument/2006/relationships/theme" Target="theme/theme1.xml"/><Relationship Id="rId61" Type="http://schemas.openxmlformats.org/officeDocument/2006/relationships/hyperlink" Target="https://4dmt.gcs-web.com/news-releases/news-release-details/4dmt-completes-enrollment-4front-1-phase-3-clinical-trial-4d-150/" TargetMode="External"/><Relationship Id="rId82" Type="http://schemas.openxmlformats.org/officeDocument/2006/relationships/hyperlink" Target="https://www.sciencedirect.com/science/article/pii/S2666914525000429" TargetMode="External"/><Relationship Id="rId152" Type="http://schemas.openxmlformats.org/officeDocument/2006/relationships/footer" Target="footer1.xml"/><Relationship Id="rId19" Type="http://schemas.openxmlformats.org/officeDocument/2006/relationships/hyperlink" Target="https://www.biospace.com/press-releases/ocular-therapeutix-reports-positive-results-from-landmark-sol-1-phase-3-superiority-trial-in-wet-amd" TargetMode="External"/><Relationship Id="rId14" Type="http://schemas.openxmlformats.org/officeDocument/2006/relationships/hyperlink" Target="https://www.vabysmo-hcp.com/dosing-and-administration-namd.html" TargetMode="External"/><Relationship Id="rId30" Type="http://schemas.openxmlformats.org/officeDocument/2006/relationships/hyperlink" Target="https://www.amcp.org/resource/amcp-format-formulary-submissions-guidance" TargetMode="External"/><Relationship Id="rId35" Type="http://schemas.openxmlformats.org/officeDocument/2006/relationships/hyperlink" Target="https://www.sciencedirect.com/science/article/pii/S2666914525000429" TargetMode="External"/><Relationship Id="rId56" Type="http://schemas.openxmlformats.org/officeDocument/2006/relationships/hyperlink" Target="https://www.dovepress.com/caregiver-burden-among-patients-receiving-anti-vegf-intravitreal-injec-peer-reviewed-fulltext-article-OPTH" TargetMode="External"/><Relationship Id="rId77" Type="http://schemas.openxmlformats.org/officeDocument/2006/relationships/hyperlink" Target="https://www.fda.gov/regulatory-information/search-fda-guidance-documents/real-world-data-assessing-electronic-health-records-and-medical-claims-data-support-regulatory" TargetMode="External"/><Relationship Id="rId100" Type="http://schemas.openxmlformats.org/officeDocument/2006/relationships/hyperlink" Target="https://clearsidebio.com/pipeline/cls-ax/" TargetMode="External"/><Relationship Id="rId105" Type="http://schemas.openxmlformats.org/officeDocument/2006/relationships/hyperlink" Target="https://ir.clearsidebio.com/news-releases/news-release-details/clearside-biomedical-announces-successful-end-phase-2-meeting" TargetMode="External"/><Relationship Id="rId126" Type="http://schemas.openxmlformats.org/officeDocument/2006/relationships/hyperlink" Target="https://investors.eyepoint.bio/news-releases/news-release-details/eyepoint-reports-corporate-update-and-anticipated-pivotal" TargetMode="External"/><Relationship Id="rId147" Type="http://schemas.openxmlformats.org/officeDocument/2006/relationships/hyperlink" Target="https://www.dovepress.com/caregiver-burden-among-patients-receiving-anti-vegf-intravitreal-injec-peer-reviewed-fulltext-article-OPTH" TargetMode="External"/><Relationship Id="rId8" Type="http://schemas.openxmlformats.org/officeDocument/2006/relationships/hyperlink" Target="https://clearsidebio.com/pipeline/cls-ax/" TargetMode="External"/><Relationship Id="rId51" Type="http://schemas.openxmlformats.org/officeDocument/2006/relationships/hyperlink" Target="https://www.vabysmo-hcp.com/dosing-and-administration-namd.html" TargetMode="External"/><Relationship Id="rId72" Type="http://schemas.openxmlformats.org/officeDocument/2006/relationships/hyperlink" Target="https://www.fda.gov/science-research/science-and-research-special-topics/real-world-evidence" TargetMode="External"/><Relationship Id="rId93" Type="http://schemas.openxmlformats.org/officeDocument/2006/relationships/hyperlink" Target="https://journals.plos.org/plosone/article?id=10.1371%2Fjournal.pone.0189035" TargetMode="External"/><Relationship Id="rId98" Type="http://schemas.openxmlformats.org/officeDocument/2006/relationships/hyperlink" Target="https://www.fda.gov/science-research/science-and-research-special-topics/real-world-evidence" TargetMode="External"/><Relationship Id="rId121" Type="http://schemas.openxmlformats.org/officeDocument/2006/relationships/hyperlink" Target="https://www.globenewswire.com/news-release/2026/4/13/3272358/0/en/ocular-therapeutix-announces-additional-positive-week-52-data-from-landmark-sol-1-phase-3-trial-of-axpaxli-in-wet-amd.html" TargetMode="External"/><Relationship Id="rId142" Type="http://schemas.openxmlformats.org/officeDocument/2006/relationships/hyperlink" Target="https://www.fda.gov/regulatory-information/search-fda-guidance-documents/real-world-data-assessing-electronic-health-records-and-medical-claims-data-support-regulatory" TargetMode="External"/><Relationship Id="rId3" Type="http://schemas.openxmlformats.org/officeDocument/2006/relationships/styles" Target="styles.xml"/><Relationship Id="rId25" Type="http://schemas.openxmlformats.org/officeDocument/2006/relationships/hyperlink" Target="https://adverum.com/press-archive/adverum-biotechnologies-announces-completion-of-screening-for-pivotal-phase-3-artemis-trial-of-ixo-vec-for-wet-age-related-macular-degeneration/" TargetMode="External"/><Relationship Id="rId46" Type="http://schemas.openxmlformats.org/officeDocument/2006/relationships/hyperlink" Target="https://adverum.com/press-archive/adverum-biotechnologies-announces-positive-52-week-luna-and-4-year-optic-results-and-provides-key-pivotal-program-design-elements/" TargetMode="External"/><Relationship Id="rId67" Type="http://schemas.openxmlformats.org/officeDocument/2006/relationships/hyperlink" Target="https://www.ocutx.com/pipeline/axpaxli/" TargetMode="External"/><Relationship Id="rId116" Type="http://schemas.openxmlformats.org/officeDocument/2006/relationships/hyperlink" Target="https://www.sciencedirect.com/science/article/pii/S2666914525000429" TargetMode="External"/><Relationship Id="rId137" Type="http://schemas.openxmlformats.org/officeDocument/2006/relationships/hyperlink" Target="https://adverum.com/press-archive/adverum-biotechnologies-announces-completion-of-screening-for-pivotal-phase-3-artemis-trial-of-ixo-vec-for-wet-age-related-macular-degeneration/" TargetMode="External"/><Relationship Id="rId20" Type="http://schemas.openxmlformats.org/officeDocument/2006/relationships/hyperlink" Target="https://investors.eyepoint.bio/news-releases/news-release-details/eyepoint-reports-corporate-update-and-anticipated-pivotal" TargetMode="External"/><Relationship Id="rId41" Type="http://schemas.openxmlformats.org/officeDocument/2006/relationships/hyperlink" Target="https://investors.eyepoint.bio/news-releases/news-release-details/eyepoint-announces-positive-recommendation-independent-data" TargetMode="External"/><Relationship Id="rId62" Type="http://schemas.openxmlformats.org/officeDocument/2006/relationships/hyperlink" Target="https://ir.regenxbio.com/news-releases/news-release-details/regenxbio-announces-completion-enrollment-pivotal-trials/" TargetMode="External"/><Relationship Id="rId83" Type="http://schemas.openxmlformats.org/officeDocument/2006/relationships/hyperlink" Target="https://www.globenewswire.com/news-release/2026/4/13/3272358/0/en/ocular-therapeutix-announces-additional-positive-week-52-data-from-landmark-sol-1-phase-3-trial-of-axpaxli-in-wet-amd.html" TargetMode="External"/><Relationship Id="rId88" Type="http://schemas.openxmlformats.org/officeDocument/2006/relationships/hyperlink" Target="https://clearsidebio.com/pipeline/cls-ax/" TargetMode="External"/><Relationship Id="rId111" Type="http://schemas.openxmlformats.org/officeDocument/2006/relationships/hyperlink" Target="https://www.vabysmo-hcp.com/dosing-and-administration-namd.html" TargetMode="External"/><Relationship Id="rId132" Type="http://schemas.openxmlformats.org/officeDocument/2006/relationships/hyperlink" Target="https://ir.4dmoleculartherapeutics.com/news-releases/news-release-details/4dmt-provides-company-update-and-anticipated-development" TargetMode="External"/><Relationship Id="rId153" Type="http://schemas.openxmlformats.org/officeDocument/2006/relationships/footer" Target="footer2.xml"/><Relationship Id="rId15" Type="http://schemas.openxmlformats.org/officeDocument/2006/relationships/hyperlink" Target="https://www.sciencedirect.com/science/article/pii/S0161642024001349" TargetMode="External"/><Relationship Id="rId36" Type="http://schemas.openxmlformats.org/officeDocument/2006/relationships/hyperlink" Target="https://www.susvimo-hcp.com/safety/important-safety-information.html" TargetMode="External"/><Relationship Id="rId57" Type="http://schemas.openxmlformats.org/officeDocument/2006/relationships/hyperlink" Target="https://journals.plos.org/plosone/article?id=10.1371%2Fjournal.pone.0189035" TargetMode="External"/><Relationship Id="rId106" Type="http://schemas.openxmlformats.org/officeDocument/2006/relationships/hyperlink" Target="https://ir.clearsidebio.com/news-releases/news-release-details/clearside-biomedical-pursue-strategic-sale-its-business-through" TargetMode="External"/><Relationship Id="rId127" Type="http://schemas.openxmlformats.org/officeDocument/2006/relationships/hyperlink" Target="https://investors.eyepoint.bio/news-releases/news-release-details/eyepoint-reports-corporate-update-and-anticipated-pivotal" TargetMode="External"/><Relationship Id="rId10" Type="http://schemas.openxmlformats.org/officeDocument/2006/relationships/hyperlink" Target="https://ir.clearsidebio.com/news-releases/news-release-details/clearside-biomedical-announces-successful-end-phase-2-meeting" TargetMode="External"/><Relationship Id="rId31" Type="http://schemas.openxmlformats.org/officeDocument/2006/relationships/hyperlink" Target="https://investor.regeneron.com/news-releases/news-release-details/eylea-hdr-aflibercept-approved-fda-first-and-only-injectable/" TargetMode="External"/><Relationship Id="rId52" Type="http://schemas.openxmlformats.org/officeDocument/2006/relationships/hyperlink" Target="https://www.globenewswire.com/news-release/2026/4/13/3272358/0/en/ocular-therapeutix-announces-additional-positive-week-52-data-from-landmark-sol-1-phase-3-trial-of-axpaxli-in-wet-amd.html" TargetMode="External"/><Relationship Id="rId73" Type="http://schemas.openxmlformats.org/officeDocument/2006/relationships/hyperlink" Target="https://www.fda.gov/regulatory-information/search-fda-guidance-documents/real-world-data-assessing-electronic-health-records-and-medical-claims-data-support-regulatory" TargetMode="External"/><Relationship Id="rId78" Type="http://schemas.openxmlformats.org/officeDocument/2006/relationships/hyperlink" Target="https://www.dovepress.com/caregiver-burden-among-patients-receiving-anti-vegf-intravitreal-injec-peer-reviewed-fulltext-article-OPTH" TargetMode="External"/><Relationship Id="rId94" Type="http://schemas.openxmlformats.org/officeDocument/2006/relationships/hyperlink" Target="https://www.globenewswire.com/news-release/2026/4/13/3272358/0/en/ocular-therapeutix-announces-additional-positive-week-52-data-from-landmark-sol-1-phase-3-trial-of-axpaxli-in-wet-amd.html" TargetMode="External"/><Relationship Id="rId99" Type="http://schemas.openxmlformats.org/officeDocument/2006/relationships/hyperlink" Target="https://www.fda.gov/regulatory-information/search-fda-guidance-documents/real-world-data-assessing-electronic-health-records-and-medical-claims-data-support-regulatory" TargetMode="External"/><Relationship Id="rId101" Type="http://schemas.openxmlformats.org/officeDocument/2006/relationships/hyperlink" Target="https://clearsidebio.com/pipeline/cls-ax/" TargetMode="External"/><Relationship Id="rId122" Type="http://schemas.openxmlformats.org/officeDocument/2006/relationships/hyperlink" Target="https://www.biospace.com/press-releases/ocular-therapeutix-reports-positive-results-from-landmark-sol-1-phase-3-superiority-trial-in-wet-amd" TargetMode="External"/><Relationship Id="rId143" Type="http://schemas.openxmlformats.org/officeDocument/2006/relationships/hyperlink" Target="https://www.fda.gov/regulatory-information/search-fda-guidance-documents/real-world-data-assessing-electronic-health-records-and-medical-claims-data-support-regulatory" TargetMode="External"/><Relationship Id="rId148" Type="http://schemas.openxmlformats.org/officeDocument/2006/relationships/hyperlink" Target="https://journals.plos.org/plosone/article?id=10.1371%2Fjournal.pone.0189035" TargetMode="External"/><Relationship Id="rId4" Type="http://schemas.openxmlformats.org/officeDocument/2006/relationships/settings" Target="settings.xml"/><Relationship Id="rId9" Type="http://schemas.openxmlformats.org/officeDocument/2006/relationships/hyperlink" Target="https://ir.clearsidebio.com/news-releases/news-release-details/clearside-biomedical-announces-additional-data-cls-ax-odyssey" TargetMode="External"/><Relationship Id="rId26" Type="http://schemas.openxmlformats.org/officeDocument/2006/relationships/hyperlink" Target="https://www.dovepress.com/caregiver-burden-among-patients-receiving-anti-vegf-intravitreal-injec-peer-reviewed-fulltext-article-OPTH" TargetMode="External"/><Relationship Id="rId47" Type="http://schemas.openxmlformats.org/officeDocument/2006/relationships/hyperlink" Target="https://clearsidebio.com/pipeline/cls-ax/" TargetMode="External"/><Relationship Id="rId68" Type="http://schemas.openxmlformats.org/officeDocument/2006/relationships/hyperlink" Target="https://clearsidebio.com/pipeline/cls-ax/" TargetMode="External"/><Relationship Id="rId89" Type="http://schemas.openxmlformats.org/officeDocument/2006/relationships/hyperlink" Target="https://www.susvimo-hcp.com/safety/important-safety-information.html" TargetMode="External"/><Relationship Id="rId112" Type="http://schemas.openxmlformats.org/officeDocument/2006/relationships/hyperlink" Target="https://www.sciencedirect.com/science/article/pii/S0161642024001349" TargetMode="External"/><Relationship Id="rId133" Type="http://schemas.openxmlformats.org/officeDocument/2006/relationships/hyperlink" Target="https://ir.4dmoleculartherapeutics.com/news-releases/news-release-details/4dmt-provides-company-update-and-anticipated-development" TargetMode="External"/><Relationship Id="rId154" Type="http://schemas.openxmlformats.org/officeDocument/2006/relationships/header" Target="header3.xml"/><Relationship Id="rId16" Type="http://schemas.openxmlformats.org/officeDocument/2006/relationships/hyperlink" Target="https://www.nature.com/articles/s41433-025-04213-2" TargetMode="External"/><Relationship Id="rId37" Type="http://schemas.openxmlformats.org/officeDocument/2006/relationships/hyperlink" Target="https://www.globenewswire.com/news-release/2026/4/13/3272358/0/en/ocular-therapeutix-announces-additional-positive-week-52-data-from-landmark-sol-1-phase-3-trial-of-axpaxli-in-wet-amd.html" TargetMode="External"/><Relationship Id="rId58" Type="http://schemas.openxmlformats.org/officeDocument/2006/relationships/hyperlink" Target="https://www.globenewswire.com/news-release/2026/4/13/3272358/0/en/ocular-therapeutix-announces-additional-positive-week-52-data-from-landmark-sol-1-phase-3-trial-of-axpaxli-in-wet-amd.html" TargetMode="External"/><Relationship Id="rId79" Type="http://schemas.openxmlformats.org/officeDocument/2006/relationships/hyperlink" Target="https://journals.plos.org/plosone/article?id=10.1371%2Fjournal.pone.0189035" TargetMode="External"/><Relationship Id="rId102" Type="http://schemas.openxmlformats.org/officeDocument/2006/relationships/hyperlink" Target="https://ir.clearsidebio.com/news-releases/news-release-details/clearside-biomedical-announces-additional-data-cls-ax-odyssey" TargetMode="External"/><Relationship Id="rId123" Type="http://schemas.openxmlformats.org/officeDocument/2006/relationships/hyperlink" Target="https://www.biospace.com/press-releases/ocular-therapeutix-reports-positive-results-from-landmark-sol-1-phase-3-superiority-trial-in-wet-amd" TargetMode="External"/><Relationship Id="rId144" Type="http://schemas.openxmlformats.org/officeDocument/2006/relationships/hyperlink" Target="https://www.amcp.org/resource/amcp-format-formulary-submissions-guidance" TargetMode="External"/><Relationship Id="rId90" Type="http://schemas.openxmlformats.org/officeDocument/2006/relationships/hyperlink" Target="https://www.fda.gov/science-research/science-and-research-special-topics/real-world-evidence" TargetMode="External"/><Relationship Id="rId27" Type="http://schemas.openxmlformats.org/officeDocument/2006/relationships/hyperlink" Target="https://journals.plos.org/plosone/article?id=10.1371%2Fjournal.pone.0189035" TargetMode="External"/><Relationship Id="rId48" Type="http://schemas.openxmlformats.org/officeDocument/2006/relationships/hyperlink" Target="https://ir.clearsidebio.com/news-releases/news-release-details/clearside-biomedical-announces-additional-data-cls-ax-odyssey" TargetMode="External"/><Relationship Id="rId69" Type="http://schemas.openxmlformats.org/officeDocument/2006/relationships/hyperlink" Target="https://ir.clearsidebio.com/news-releases/news-release-details/clearside-biomedical-announces-additional-data-cls-ax-odyssey" TargetMode="External"/><Relationship Id="rId113" Type="http://schemas.openxmlformats.org/officeDocument/2006/relationships/hyperlink" Target="https://www.sciencedirect.com/science/article/pii/S0161642024001349" TargetMode="External"/><Relationship Id="rId134" Type="http://schemas.openxmlformats.org/officeDocument/2006/relationships/hyperlink" Target="https://ir.regenxbio.com/news-releases/news-release-details/regenxbio-announces-completion-enrollment-pivotal-tr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2AFD56-928E-FD43-BCBC-D6AC489C8E1E}">
  <we:reference id="WA200010453" version="1.0.0.1" store="Omex" storeType="OMEX"/>
  <we:alternateReferences>
    <we:reference id="WA200010453" version="1.0.0.1" store="WA200010453" storeType="OMEX"/>
  </we:alternateReferences>
  <we:properties>
    <we:property name="claude.fileId" value="&quot;d7bb8a0e-4749-4fa3-9a03-89fd68df8ab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6606</Words>
  <Characters>44196</Characters>
  <Application>Microsoft Office Word</Application>
  <DocSecurity>0</DocSecurity>
  <Lines>1425</Lines>
  <Paragraphs>781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CLS-AX HEOR Evidence-Generation Roadmap - Competitor-adjusted update</dc:title>
  <dc:subject>Health economics and outcomes research roadmap for CLS-AX in wet AMD</dc:subject>
  <dc:creator>OpenAI</dc:creator>
  <cp:keywords/>
  <dc:description>Generated for strategic HEOR planning; public-source citations hyperlinked inline.</dc:description>
  <cp:lastModifiedBy>Justin Yu</cp:lastModifiedBy>
  <cp:revision>2</cp:revision>
  <dcterms:created xsi:type="dcterms:W3CDTF">2013-12-23T23:15:00Z</dcterms:created>
  <dcterms:modified xsi:type="dcterms:W3CDTF">2026-04-29T02:30:00Z</dcterms:modified>
  <cp:category/>
</cp:coreProperties>
</file>