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6F1"/>
  <w:body>
    <w:p>
      <w:pPr>
        <w:spacing w:after="240" w:before="4000"/>
        <w:jc w:val="center"/>
      </w:pPr>
      <w:r>
        <w:rPr>
          <w:rFonts w:ascii="Helvetica Neue" w:cs="Helvetica Neue" w:eastAsia="Helvetica Neue" w:hAnsi="Helvetica Neue"/>
          <w:b/>
          <w:bCs/>
          <w:color w:val="39594D"/>
          <w:spacing w:val="60"/>
          <w:sz w:val="22"/>
          <w:szCs w:val="22"/>
        </w:rPr>
        <w:t xml:space="preserve">EVIDENCE REVIEW</w:t>
      </w:r>
    </w:p>
    <w:p>
      <w:pPr>
        <w:spacing w:after="240" w:before="0"/>
        <w:jc w:val="center"/>
      </w:pPr>
      <w:r>
        <w:rPr>
          <w:rFonts w:ascii="Helvetica Neue" w:cs="Helvetica Neue" w:eastAsia="Helvetica Neue" w:hAnsi="Helvetica Neue"/>
          <w:b/>
          <w:bCs/>
          <w:color w:val="FF7759"/>
          <w:spacing w:val="-16"/>
          <w:sz w:val="64"/>
          <w:szCs w:val="64"/>
        </w:rPr>
        <w:t xml:space="preserve">Clinical Trials With Embedded Patient Preference Elicitation</w:t>
      </w:r>
    </w:p>
    <w:p>
      <w:pPr>
        <w:pBdr>
          <w:bottom w:val="single" w:color="FF7759" w:sz="18" w:space="6"/>
        </w:pBdr>
        <w:spacing w:after="360" w:before="120"/>
        <w:jc w:val="center"/>
      </w:pPr>
      <w:r>
        <w:t xml:space="preserve"/>
      </w:r>
    </w:p>
    <w:p>
      <w:pPr>
        <w:spacing w:after="120" w:before="0"/>
        <w:jc w:val="center"/>
      </w:pPr>
      <w:r>
        <w:rPr>
          <w:rFonts w:ascii="Helvetica Neue" w:cs="Helvetica Neue" w:eastAsia="Helvetica Neue" w:hAnsi="Helvetica Neue"/>
          <w:i/>
          <w:iCs/>
          <w:color w:val="1A1A1A"/>
          <w:sz w:val="28"/>
          <w:szCs w:val="28"/>
        </w:rPr>
        <w:t xml:space="preserve">A registry-led evidence map of interventional trials, May 2021 – May 2026</w:t>
      </w:r>
    </w:p>
    <w:p>
      <w:pPr>
        <w:spacing w:after="0" w:before="720"/>
        <w:jc w:val="center"/>
      </w:pPr>
      <w:r>
        <w:rPr>
          <w:rFonts w:ascii="Helvetica Neue" w:cs="Helvetica Neue" w:eastAsia="Helvetica Neue" w:hAnsi="Helvetica Neue"/>
          <w:color w:val="6B6B6B"/>
          <w:spacing w:val="30"/>
          <w:sz w:val="24"/>
          <w:szCs w:val="24"/>
        </w:rPr>
        <w:t xml:space="preserve">May 2026</w:t>
      </w:r>
    </w:p>
    <w:p>
      <w:pPr>
        <w:sectPr>
          <w:pgSz w:w="12240" w:h="15840" w:orient="portrait"/>
          <w:pgMar w:top="1440" w:right="1440" w:bottom="1440" w:left="1440" w:header="708" w:footer="708" w:gutter="0"/>
          <w:pgNumType/>
          <w:titlePg/>
          <w:docGrid w:linePitch="360"/>
        </w:sectPr>
      </w:pPr>
    </w:p>
    <w:p>
      <w:pPr>
        <w:pStyle w:val="Heading2"/>
      </w:pPr>
      <w:r>
        <w:t xml:space="preserve">Executive Summary</w:t>
      </w:r>
    </w:p>
    <w:p>
      <w:pPr>
        <w:spacing w:after="160" w:line="320"/>
        <w:jc w:val="both"/>
      </w:pPr>
      <w:r>
        <w:rPr>
          <w:rFonts w:ascii="Helvetica Neue" w:cs="Helvetica Neue" w:eastAsia="Helvetica Neue" w:hAnsi="Helvetica Neue"/>
          <w:color w:val="1A1A1A"/>
          <w:sz w:val="20"/>
          <w:szCs w:val="20"/>
        </w:rPr>
        <w:t xml:space="preserve">This review identifies interventional clinical trials with publicly verifiable evidence, conducted between 1 May 2021 and 1 May 2026, that incorporated either (i) preference elicitation </w:t>
      </w:r>
      <w:r>
        <w:rPr>
          <w:rFonts w:ascii="Helvetica Neue" w:cs="Helvetica Neue" w:eastAsia="Helvetica Neue" w:hAnsi="Helvetica Neue"/>
          <w:i/>
          <w:iCs/>
          <w:color w:val="1A1A1A"/>
          <w:sz w:val="20"/>
          <w:szCs w:val="20"/>
        </w:rPr>
        <w:t xml:space="preserve">within</w:t>
      </w:r>
      <w:r>
        <w:rPr>
          <w:rFonts w:ascii="Helvetica Neue" w:cs="Helvetica Neue" w:eastAsia="Helvetica Neue" w:hAnsi="Helvetica Neue"/>
          <w:color w:val="1A1A1A"/>
          <w:sz w:val="20"/>
          <w:szCs w:val="20"/>
        </w:rPr>
        <w:t xml:space="preserve"> the trial itself—patient preference questionnaires, patient-reported preference endpoints, device or route-of-administration preference measures, qualitative exit interviews, or structured elicitation of meaningful change—or (ii) the use of the trial as a recruitment frame for an external preference study, including discrete choice experiments (DCEs), post-trial surveys, and focus groups. Across publicly verifiable sources, the dominant pattern is a dichotomy between a small number of trials with formal preference endpoints and a larger number of trials with exploratory qualitative exit-interview substudies used to interpret patient-reported outcomes (PROs) or to define meaningful within-patient change.</w:t>
      </w:r>
      <w:r>
        <w:rPr>
          <w:rFonts w:ascii="Helvetica Neue" w:cs="Helvetica Neue" w:eastAsia="Helvetica Neue" w:hAnsi="Helvetica Neue"/>
          <w:color w:val="D85A3F"/>
          <w:sz w:val="16"/>
          <w:szCs w:val="16"/>
          <w:vertAlign w:val="superscript"/>
        </w:rPr>
        <w:t xml:space="preserve"> [1]</w:t>
      </w:r>
    </w:p>
    <w:p>
      <w:pPr>
        <w:spacing w:after="160" w:line="320"/>
        <w:jc w:val="both"/>
      </w:pPr>
      <w:r>
        <w:rPr>
          <w:rFonts w:ascii="Helvetica Neue" w:cs="Helvetica Neue" w:eastAsia="Helvetica Neue" w:hAnsi="Helvetica Neue"/>
          <w:color w:val="1A1A1A"/>
          <w:sz w:val="20"/>
          <w:szCs w:val="20"/>
        </w:rPr>
        <w:t xml:space="preserve">Trials with the highest-confidence explicit preference endpoints were predominantly crossover or route-of-administration studies in oncology, in which the preference question constituted the primary endpoint and the instrument was explicitly named and, in some cases, reproduced in the registry record or protocol. Qualitative substudies, by contrast, were generally positioned as exploratory PRO-supportive evidence, conducted within two to three weeks of treatment completion or around the primary endpoint visit, and employed semi-structured interview guides covering symptoms, treatment impact, treatment satisfaction, and meaningful-change thresholds.</w:t>
      </w:r>
      <w:r>
        <w:rPr>
          <w:rFonts w:ascii="Helvetica Neue" w:cs="Helvetica Neue" w:eastAsia="Helvetica Neue" w:hAnsi="Helvetica Neue"/>
          <w:color w:val="D85A3F"/>
          <w:sz w:val="16"/>
          <w:szCs w:val="16"/>
          <w:vertAlign w:val="superscript"/>
        </w:rPr>
        <w:t xml:space="preserve"> [2]</w:t>
      </w:r>
    </w:p>
    <w:p>
      <w:pPr>
        <w:spacing w:after="160" w:line="320"/>
        <w:jc w:val="both"/>
      </w:pPr>
      <w:r>
        <w:rPr>
          <w:rFonts w:ascii="Helvetica Neue" w:cs="Helvetica Neue" w:eastAsia="Helvetica Neue" w:hAnsi="Helvetica Neue"/>
          <w:color w:val="1A1A1A"/>
          <w:sz w:val="20"/>
          <w:szCs w:val="20"/>
        </w:rPr>
        <w:t xml:space="preserve">Documented use of a clinical trial as a source population for a </w:t>
      </w:r>
      <w:r>
        <w:rPr>
          <w:rFonts w:ascii="Helvetica Neue" w:cs="Helvetica Neue" w:eastAsia="Helvetica Neue" w:hAnsi="Helvetica Neue"/>
          <w:i/>
          <w:iCs/>
          <w:color w:val="1A1A1A"/>
          <w:sz w:val="20"/>
          <w:szCs w:val="20"/>
        </w:rPr>
        <w:t xml:space="preserve">separate</w:t>
      </w:r>
      <w:r>
        <w:rPr>
          <w:rFonts w:ascii="Helvetica Neue" w:cs="Helvetica Neue" w:eastAsia="Helvetica Neue" w:hAnsi="Helvetica Neue"/>
          <w:color w:val="1A1A1A"/>
          <w:sz w:val="20"/>
          <w:szCs w:val="20"/>
        </w:rPr>
        <w:t xml:space="preserve"> preference study was uncommon. Four citable examples were identified: the 4-IN-THE-LUNG-RUN screening implementation trial, PACIFIC-PGx, the NULevel weight-loss-maintenance trial, and PATHWAY Home-MCT. In each, trial participants were subsequently surveyed or enrolled into a DCE or focus-group study addressing recruitment, service acceptability, or intervention-delivery preferences.</w:t>
      </w:r>
      <w:r>
        <w:rPr>
          <w:rFonts w:ascii="Helvetica Neue" w:cs="Helvetica Neue" w:eastAsia="Helvetica Neue" w:hAnsi="Helvetica Neue"/>
          <w:color w:val="D85A3F"/>
          <w:sz w:val="16"/>
          <w:szCs w:val="16"/>
          <w:vertAlign w:val="superscript"/>
        </w:rPr>
        <w:t xml:space="preserve"> [3]</w:t>
      </w:r>
    </w:p>
    <w:p>
      <w:pPr>
        <w:spacing w:after="160" w:line="320"/>
        <w:jc w:val="both"/>
      </w:pPr>
      <w:r>
        <w:rPr>
          <w:rFonts w:ascii="Helvetica Neue" w:cs="Helvetica Neue" w:eastAsia="Helvetica Neue" w:hAnsi="Helvetica Neue"/>
          <w:color w:val="1A1A1A"/>
          <w:sz w:val="20"/>
          <w:szCs w:val="20"/>
        </w:rPr>
        <w:t xml:space="preserve">This synthesis is a high-confidence, registry-led evidence map rather than a mathematically exhaustive global census. Many preference components are reported only in protocols, conference abstracts, or post hoc qualitative publications, and certain registries expose only partial metadata through search indexing. Fields that could not be re-extracted from public sources at high confidence are identified as incomplete rather than inferred.</w:t>
      </w:r>
    </w:p>
    <w:p>
      <w:pPr>
        <w:pStyle w:val="Heading2"/>
      </w:pPr>
      <w:r>
        <w:t xml:space="preserve">Methods</w:t>
      </w:r>
    </w:p>
    <w:p>
      <w:pPr>
        <w:spacing w:after="160" w:line="320"/>
        <w:jc w:val="both"/>
      </w:pPr>
      <w:r>
        <w:rPr>
          <w:rFonts w:ascii="Helvetica Neue" w:cs="Helvetica Neue" w:eastAsia="Helvetica Neue" w:hAnsi="Helvetica Neue"/>
          <w:color w:val="1A1A1A"/>
          <w:sz w:val="20"/>
          <w:szCs w:val="20"/>
        </w:rPr>
        <w:t xml:space="preserve">A pragmatic inclusion rule was applied. Interventional trials were included if a registry record, peer-reviewed publication, protocol, or sponsor document confirmed that, within the previous five years, the trial incorporated patient preference questions, a patient preference endpoint, exit interviews, or an analogous elicitation exercise within or immediately adjacent to the trial. Trials explicitly cited as recruitment sources for external DCEs, surveys, focus groups, or related preference studies were identified separately.</w:t>
      </w:r>
    </w:p>
    <w:p>
      <w:pPr>
        <w:spacing w:after="160" w:line="320"/>
        <w:jc w:val="both"/>
      </w:pPr>
      <w:r>
        <w:rPr>
          <w:rFonts w:ascii="Helvetica Neue" w:cs="Helvetica Neue" w:eastAsia="Helvetica Neue" w:hAnsi="Helvetica Neue"/>
          <w:color w:val="1A1A1A"/>
          <w:sz w:val="20"/>
          <w:szCs w:val="20"/>
        </w:rPr>
        <w:t xml:space="preserve">The search strategy was registry-first and publication-linked. ClinicalTrials.gov records and linked publications were prioritised, followed by review of PubMed and PMC articles for qualitative substudies. ANZCTR, ISRCTN, and CTIS/EudraCT-linked records were consulted where additional trial identifiers or protocol context were available. Sponsor protocols were reviewed when surfaced directly through registry records. A licensed Embase interface was not queried directly; consequently, this report does not claim a complete proprietary-Embase review. Embase-indexed materials surfaced through other public pages were treated as supportive rather than primary evidence.</w:t>
      </w:r>
    </w:p>
    <w:p>
      <w:pPr>
        <w:spacing w:after="160" w:line="320"/>
        <w:jc w:val="both"/>
      </w:pPr>
      <w:r>
        <w:rPr>
          <w:rFonts w:ascii="Helvetica Neue" w:cs="Helvetica Neue" w:eastAsia="Helvetica Neue" w:hAnsi="Helvetica Neue"/>
          <w:color w:val="1A1A1A"/>
          <w:sz w:val="20"/>
          <w:szCs w:val="20"/>
        </w:rPr>
        <w:t xml:space="preserve">Search terms and concepts included combinations of </w:t>
      </w:r>
      <w:r>
        <w:rPr>
          <w:rFonts w:ascii="Helvetica Neue" w:cs="Helvetica Neue" w:eastAsia="Helvetica Neue" w:hAnsi="Helvetica Neue"/>
          <w:i/>
          <w:iCs/>
          <w:color w:val="1A1A1A"/>
          <w:sz w:val="20"/>
          <w:szCs w:val="20"/>
        </w:rPr>
        <w:t xml:space="preserve">“patient preference,”</w:t>
      </w:r>
      <w:r>
        <w:rPr>
          <w:rFonts w:ascii="Helvetica Neue" w:cs="Helvetica Neue" w:eastAsia="Helvetica Neue" w:hAnsi="Helvetica Neue"/>
          <w:color w:val="1A1A1A"/>
          <w:sz w:val="20"/>
          <w:szCs w:val="20"/>
        </w:rPr>
        <w:t xml:space="preserve"> “preference questionnaire,” “patient-reported preference,” “therapy administration satisfaction questionnaire,” “exit interview,” “in-trial interview,” “meaningful change,” “content validity,” “device preference,” “home administration,” “subcutaneous vs intravenous,” “discrete choice experiment,” “recruited from trial,” and known trial names or registry identifiers.</w:t>
      </w:r>
    </w:p>
    <w:p>
      <w:pPr>
        <w:pStyle w:val="Heading2"/>
      </w:pPr>
      <w:r>
        <w:t xml:space="preserve">Results</w:t>
      </w:r>
    </w:p>
    <w:p>
      <w:pPr>
        <w:spacing w:after="160" w:line="320"/>
        <w:jc w:val="both"/>
      </w:pPr>
      <w:r>
        <w:rPr>
          <w:rFonts w:ascii="Helvetica Neue" w:cs="Helvetica Neue" w:eastAsia="Helvetica Neue" w:hAnsi="Helvetica Neue"/>
          <w:color w:val="1A1A1A"/>
          <w:sz w:val="20"/>
          <w:szCs w:val="20"/>
        </w:rPr>
        <w:t xml:space="preserve">Embedded preference activities fell into two methodologically distinct families. The first comprised </w:t>
      </w:r>
      <w:r>
        <w:rPr>
          <w:rFonts w:ascii="Helvetica Neue" w:cs="Helvetica Neue" w:eastAsia="Helvetica Neue" w:hAnsi="Helvetica Neue"/>
          <w:b/>
          <w:bCs/>
          <w:color w:val="1A1A1A"/>
          <w:sz w:val="20"/>
          <w:szCs w:val="20"/>
        </w:rPr>
        <w:t xml:space="preserve">formal comparative preference instruments</w:t>
      </w:r>
      <w:r>
        <w:rPr>
          <w:rFonts w:ascii="Helvetica Neue" w:cs="Helvetica Neue" w:eastAsia="Helvetica Neue" w:hAnsi="Helvetica Neue"/>
          <w:color w:val="1A1A1A"/>
          <w:sz w:val="20"/>
          <w:szCs w:val="20"/>
        </w:rPr>
        <w:t xml:space="preserve">, most often deployed in crossover trials in which patients experienced both options before responding to a preference question. PHranceSCa and ProHer are illustrative examples, employing the Patient Preference Questionnaire (PPQ) and, in PHranceSCa, the Therapy Administration Satisfaction Questionnaire (TASQ) to measure route or setting preference following exposure to both alternatives. The apalutamide-versus-enzalutamide trial used a bespoke patient preference questionnaire as its primary endpoint, and more recent registry-only oncology studies have continued this design pattern.</w:t>
      </w:r>
      <w:r>
        <w:rPr>
          <w:rFonts w:ascii="Helvetica Neue" w:cs="Helvetica Neue" w:eastAsia="Helvetica Neue" w:hAnsi="Helvetica Neue"/>
          <w:color w:val="D85A3F"/>
          <w:sz w:val="16"/>
          <w:szCs w:val="16"/>
          <w:vertAlign w:val="superscript"/>
        </w:rPr>
        <w:t xml:space="preserve"> [4]</w:t>
      </w:r>
    </w:p>
    <w:p>
      <w:pPr>
        <w:spacing w:after="160" w:line="320"/>
        <w:jc w:val="both"/>
      </w:pPr>
      <w:r>
        <w:rPr>
          <w:rFonts w:ascii="Helvetica Neue" w:cs="Helvetica Neue" w:eastAsia="Helvetica Neue" w:hAnsi="Helvetica Neue"/>
          <w:color w:val="1A1A1A"/>
          <w:sz w:val="20"/>
          <w:szCs w:val="20"/>
        </w:rPr>
        <w:t xml:space="preserve">The second family relied on </w:t>
      </w:r>
      <w:r>
        <w:rPr>
          <w:rFonts w:ascii="Helvetica Neue" w:cs="Helvetica Neue" w:eastAsia="Helvetica Neue" w:hAnsi="Helvetica Neue"/>
          <w:b/>
          <w:bCs/>
          <w:color w:val="1A1A1A"/>
          <w:sz w:val="20"/>
          <w:szCs w:val="20"/>
        </w:rPr>
        <w:t xml:space="preserve">qualitative exit interviews</w:t>
      </w:r>
      <w:r>
        <w:rPr>
          <w:rFonts w:ascii="Helvetica Neue" w:cs="Helvetica Neue" w:eastAsia="Helvetica Neue" w:hAnsi="Helvetica Neue"/>
          <w:color w:val="1A1A1A"/>
          <w:sz w:val="20"/>
          <w:szCs w:val="20"/>
        </w:rPr>
        <w:t xml:space="preserve"> as exploratory evidence. These substudies were rarely the principal driver of the parent efficacy trial; rather, they were used to contextualise symptom or impact change, evaluate treatment satisfaction, confirm content validity of PRO instruments, or establish meaningful-change thresholds. The pattern is observable in haemophilia A, atopic dermatitis, Crohn’s disease, obstructive sleep apnoea, tenosynovial giant cell tumour, pulmonary arterial hypertension, obesity, autism spectrum disorder, and acne-associated hyperpigmentation.</w:t>
      </w:r>
      <w:r>
        <w:rPr>
          <w:rFonts w:ascii="Helvetica Neue" w:cs="Helvetica Neue" w:eastAsia="Helvetica Neue" w:hAnsi="Helvetica Neue"/>
          <w:color w:val="D85A3F"/>
          <w:sz w:val="16"/>
          <w:szCs w:val="16"/>
          <w:vertAlign w:val="superscript"/>
        </w:rPr>
        <w:t xml:space="preserve"> [5]</w:t>
      </w:r>
    </w:p>
    <w:p>
      <w:pPr>
        <w:spacing w:after="160" w:line="320"/>
        <w:jc w:val="both"/>
      </w:pPr>
      <w:r>
        <w:rPr>
          <w:rFonts w:ascii="Helvetica Neue" w:cs="Helvetica Neue" w:eastAsia="Helvetica Neue" w:hAnsi="Helvetica Neue"/>
          <w:color w:val="1A1A1A"/>
          <w:sz w:val="20"/>
          <w:szCs w:val="20"/>
        </w:rPr>
        <w:t xml:space="preserve">Timing was strongly patterned. In trials with explicit preference endpoints, data were typically collected </w:t>
      </w:r>
      <w:r>
        <w:rPr>
          <w:rFonts w:ascii="Helvetica Neue" w:cs="Helvetica Neue" w:eastAsia="Helvetica Neue" w:hAnsi="Helvetica Neue"/>
          <w:i/>
          <w:iCs/>
          <w:color w:val="1A1A1A"/>
          <w:sz w:val="20"/>
          <w:szCs w:val="20"/>
        </w:rPr>
        <w:t xml:space="preserve">after both administration modes had been experienced</w:t>
      </w:r>
      <w:r>
        <w:rPr>
          <w:rFonts w:ascii="Helvetica Neue" w:cs="Helvetica Neue" w:eastAsia="Helvetica Neue" w:hAnsi="Helvetica Neue"/>
          <w:color w:val="1A1A1A"/>
          <w:sz w:val="20"/>
          <w:szCs w:val="20"/>
        </w:rPr>
        <w:t xml:space="preserve">, most commonly at the end of a crossover period. In qualitative exit-interview studies, interviews were generally conducted </w:t>
      </w:r>
      <w:r>
        <w:rPr>
          <w:rFonts w:ascii="Helvetica Neue" w:cs="Helvetica Neue" w:eastAsia="Helvetica Neue" w:hAnsi="Helvetica Neue"/>
          <w:i/>
          <w:iCs/>
          <w:color w:val="1A1A1A"/>
          <w:sz w:val="20"/>
          <w:szCs w:val="20"/>
        </w:rPr>
        <w:t xml:space="preserve">within two to three weeks of treatment completion</w:t>
      </w:r>
      <w:r>
        <w:rPr>
          <w:rFonts w:ascii="Helvetica Neue" w:cs="Helvetica Neue" w:eastAsia="Helvetica Neue" w:hAnsi="Helvetica Neue"/>
          <w:color w:val="1A1A1A"/>
          <w:sz w:val="20"/>
          <w:szCs w:val="20"/>
        </w:rPr>
        <w:t xml:space="preserve">, at or shortly after week 52, or following study exit, in order to minimise recall bias while permitting reflection across the full treatment period.</w:t>
      </w:r>
      <w:r>
        <w:rPr>
          <w:rFonts w:ascii="Helvetica Neue" w:cs="Helvetica Neue" w:eastAsia="Helvetica Neue" w:hAnsi="Helvetica Neue"/>
          <w:color w:val="D85A3F"/>
          <w:sz w:val="16"/>
          <w:szCs w:val="16"/>
          <w:vertAlign w:val="superscript"/>
        </w:rPr>
        <w:t xml:space="preserve"> [6]</w:t>
      </w:r>
    </w:p>
    <w:p>
      <w:pPr>
        <w:spacing w:after="160" w:line="320"/>
        <w:jc w:val="both"/>
      </w:pPr>
      <w:r>
        <w:rPr>
          <w:rFonts w:ascii="Helvetica Neue" w:cs="Helvetica Neue" w:eastAsia="Helvetica Neue" w:hAnsi="Helvetica Neue"/>
          <w:color w:val="1A1A1A"/>
          <w:sz w:val="20"/>
          <w:szCs w:val="20"/>
        </w:rPr>
        <w:t xml:space="preserve">Subsequent recruitment of parent-trial participants into </w:t>
      </w:r>
      <w:r>
        <w:rPr>
          <w:rFonts w:ascii="Helvetica Neue" w:cs="Helvetica Neue" w:eastAsia="Helvetica Neue" w:hAnsi="Helvetica Neue"/>
          <w:i/>
          <w:iCs/>
          <w:color w:val="1A1A1A"/>
          <w:sz w:val="20"/>
          <w:szCs w:val="20"/>
        </w:rPr>
        <w:t xml:space="preserve">separate</w:t>
      </w:r>
      <w:r>
        <w:rPr>
          <w:rFonts w:ascii="Helvetica Neue" w:cs="Helvetica Neue" w:eastAsia="Helvetica Neue" w:hAnsi="Helvetica Neue"/>
          <w:color w:val="1A1A1A"/>
          <w:sz w:val="20"/>
          <w:szCs w:val="20"/>
        </w:rPr>
        <w:t xml:space="preserve"> preference studies appeared infrequent within the product-development literature reviewed. The clearest examples emerged from implementation, service-delivery, and behavioural-intervention trials rather than from late-phase sponsor drug trials.</w:t>
      </w:r>
      <w:r>
        <w:rPr>
          <w:rFonts w:ascii="Helvetica Neue" w:cs="Helvetica Neue" w:eastAsia="Helvetica Neue" w:hAnsi="Helvetica Neue"/>
          <w:color w:val="D85A3F"/>
          <w:sz w:val="16"/>
          <w:szCs w:val="16"/>
          <w:vertAlign w:val="superscript"/>
        </w:rPr>
        <w:t xml:space="preserve"> [3]</w:t>
      </w:r>
    </w:p>
    <w:p>
      <w:pPr>
        <w:sectPr>
          <w:footerReference w:type="default" r:id="rId7"/>
          <w:type w:val="nextPage"/>
          <w:pgSz w:w="12240" w:h="15840" w:orient="portrait"/>
          <w:pgMar w:top="1440" w:right="1440" w:bottom="1440" w:left="1440" w:header="708" w:footer="708" w:gutter="0"/>
          <w:pgNumType/>
          <w:docGrid w:linePitch="360"/>
        </w:sectPr>
      </w:pPr>
    </w:p>
    <w:p>
      <w:pPr>
        <w:pStyle w:val="Heading2"/>
      </w:pPr>
      <w:r>
        <w:t xml:space="preserve">Table 1. Trials with embedded preference elicitation</w:t>
      </w:r>
    </w:p>
    <w:p>
      <w:pPr>
        <w:spacing w:after="120" w:line="280"/>
      </w:pPr>
      <w:r>
        <w:rPr>
          <w:rFonts w:ascii="Helvetica Neue" w:cs="Helvetica Neue" w:eastAsia="Helvetica Neue" w:hAnsi="Helvetica Neue"/>
          <w:i/>
          <w:iCs/>
          <w:color w:val="6B6B6B"/>
          <w:sz w:val="18"/>
          <w:szCs w:val="18"/>
        </w:rPr>
        <w:t xml:space="preserve">Table 1. Interventional trials with embedded patient preference elicitation, 2021–2026 (deduplicated).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83"/>
        <w:gridCol w:w="1477"/>
        <w:gridCol w:w="1477"/>
        <w:gridCol w:w="1674"/>
        <w:gridCol w:w="1674"/>
        <w:gridCol w:w="1477"/>
        <w:gridCol w:w="2324"/>
        <w:gridCol w:w="1083"/>
        <w:gridCol w:w="691"/>
      </w:tblGrid>
      <w:tr>
        <w:trPr>
          <w:tblHeader/>
        </w:trPr>
        <w:tc>
          <w:tcPr>
            <w:tcW w:type="dxa" w:w="1083"/>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Registry ID(s)</w:t>
            </w:r>
          </w:p>
        </w:tc>
        <w:tc>
          <w:tcPr>
            <w:tcW w:type="dxa" w:w="1477"/>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Trial</w:t>
            </w:r>
          </w:p>
        </w:tc>
        <w:tc>
          <w:tcPr>
            <w:tcW w:type="dxa" w:w="1477"/>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Sponsor</w:t>
            </w:r>
          </w:p>
        </w:tc>
        <w:tc>
          <w:tcPr>
            <w:tcW w:type="dxa" w:w="1674"/>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Dates</w:t>
            </w:r>
          </w:p>
        </w:tc>
        <w:tc>
          <w:tcPr>
            <w:tcW w:type="dxa" w:w="1674"/>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Indication / phase / intervention</w:t>
            </w:r>
          </w:p>
        </w:tc>
        <w:tc>
          <w:tcPr>
            <w:tcW w:type="dxa" w:w="1477"/>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Sites and sample size</w:t>
            </w:r>
          </w:p>
        </w:tc>
        <w:tc>
          <w:tcPr>
            <w:tcW w:type="dxa" w:w="2324"/>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Preference component</w:t>
            </w:r>
          </w:p>
        </w:tc>
        <w:tc>
          <w:tcPr>
            <w:tcW w:type="dxa" w:w="1083"/>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Timing of data collection</w:t>
            </w:r>
          </w:p>
        </w:tc>
        <w:tc>
          <w:tcPr>
            <w:tcW w:type="dxa" w:w="691"/>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Ref.</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NCT03674112</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PHranceSCa</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Hoffmann-La Roche</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Started 19 Dec 2018; completed 12 Oct 2022.</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HER2-positive early breast cancer; Phase 2; pertuzumab + trastuzumab fixed-dose subcutaneous (SC) versus intravenous (IV).</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Multinational crossover; n = 160.</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Primary: PPQ Q1 (“All things considered, which method of administration did you prefer?”; options: IV, SC, no preference). Secondary: PPQ strength/reasons; TASQ-IV/TASQ-SC, 12 items across satisfaction, physical impact, psychological impact, ADL impact, and convenience.</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PPQ at Cycle 6 Day 1; TASQ at Cycles 3 and 6.</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7</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NCT05415215</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ProHer</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Hoffmann-La Roche</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Started 5 Jul 2022; primary completion 20 Nov 2024; completion 7 Nov 2025.</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Early or locally advanced/inflammatory HER2-positive breast cancer; Phase 3b; pertuzumab–trastuzumab fixed-dose SC, hospital versus home administration.</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Multinational, multicentre; sample size not surfaced in indexed snippets.</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Primary: PPQ Q1 (“All things considered, which setting for your treatment did you prefer?”; options: hospital, home, no preference). Q2 strength of preference; Q3 reasons (less stressful; time and cost saving; feels safe; feels more comfortable; reduces infection risk; can continue treatment; other).</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During the adjuvant crossover period, up to approximately 7.8 months.</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8</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NCT04409288</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Apalutamide vs enzalutamide</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Chinese University of Hong Kong</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Started 20 Jul 2020; completed 16 Oct 2023.</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Recurrent or metastatic hormone-sensitive prostate cancer; Phase 3; crossover apalutamide → enzalutamide or reverse.</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Hong Kong, single site; n = 74.</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Primary: 4-item Patient Preference Questionnaire assessing overall preference, influential factors, the most important reason, and a side-effect checklist. Secondary preference questionnaires were also collected from physicians and caregivers.</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Week 29, end of the second treatment period.</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9</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NCT06101134</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Nivolumab and nivolumab + relatlimab SC vs IV</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Bristol-Myers Squibb</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Started 6 Nov 2023; primary completion 10 Apr 2025; estimated completion 31 Aug 2027.</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Melanoma; Phase 2; nivolumab SC versus IV, and nivolumab + relatlimab fixed-dose SC versus IV.</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Multicohort study; n = 100.</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Registry frames the objective as assessing patient preference and generating patient experience data by route of administration. Exact PPQ wording was not publicly surfaced in indexed sources.</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Not yet reported in detail.</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10</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NCT04161495</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XTEND-1</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Sanofi / Sobi</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Registry posted 13 Nov 2019; results posted 24 May 2023.</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Severe haemophilia A; Phase 3; once-weekly efanesoctocog alfa prophylaxis.</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Global parent trial; 159 enrolled, 29 interviewed.</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qualitative exit interviews using a semi-structured guide on pre- and post-study experience, treatment experience, and targeted discussion of Haem-A-QoL Physical Health and PROMIS Pain Intensity 3a (especially the worst-pain item).</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Following study completion, in an optional subset.</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11</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NCT03985943</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ARCADIA</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Galderma R&amp;D</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Started 27 Jun 2019; primary completion 29 Dec 2021; completion 11 Aug 2022.</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Moderate-to-severe atopic dermatitis; Phase 3; nemolizumab versus placebo.</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174 locations; n = 941. Interview substudy at sites in Canada, Australia, Great Britain, and the USA.</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in-trial interview substudy: blinded telephone interviews using a semi-structured guide on pre-trial symptoms/impacts, during-trial change, alignment with expectations, helpfulness, and willingness to recommend.</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Within 2 weeks of treatment completion.</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12</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NCT03987919, NCT03882970</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SURPASS-2 and SURPASS-3 pooled exit-interview substudy</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Eli Lilly and Company</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SURPASS-2 started 30 Jul 2019; completed 15 Feb 2021. SURPASS-3 registry details not re-extracted.</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Type 2 diabetes; Phase 3; tirzepatide in SURPASS-2 and SURPASS-3.</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SURPASS-2 n = 1,879; pooled interview substudy n = 28.</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qualitative exit interviews conducted by telephone using a semi-structured guide, capturing treatment benefits, downsides, and overall patient experience.</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Soon after trial completion.</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13</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NCT04881760</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Retatrutide Phase 2 obesity trial</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Eli Lilly and Company</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Started 20 May 2021; primary completion 16 May 2022; completion 22 Nov 2022.</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Obesity or overweight with comorbidities; Phase 2; weekly retatrutide versus placebo.</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28 US sites; n = 338.</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qualitative exit interviews using a semi-structured guide covering eating behaviours, physical aspects, emotions, lifestyle, and goal achievement.</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At trial exit; the publication notes that many perceived changes occurred within the first 8 weeks.</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14</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NCT03715153, NCT03715166</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Bumetanide paired Phase 3 ASD studies</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Institut de Recherches Internationales Servier</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NCT03715153 first posted 23 Oct 2018; results posted 5 Jun 2023.</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Autism spectrum disorder in young children; Phase 3; oral bumetanide versus placebo.</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NCT03715153 had 50 locations; pooled qualitative publication concerned both Phase 3 trials.</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caregiver exit interviews. Caregivers were interviewed once after pivotal Phase-3 completion and, for continuing participants, again 3 months later, to elicit meaningful symptom/impact changes and what constituted meaningful improvement.</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Immediately after completion; optional second interview 3 months later if treatment continued.</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15</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NCT03926130</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VIVID-1</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Eli Lilly and Company</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52-week trial; Phase 3 readout published 2024.</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Moderately to severely active Crohn’s disease; Phase 3; mirikizumab versus placebo and active control.</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Global Phase 3 trial at 324 sites in 33 countries; exit-interview substudy at 34 sites in the USA, Poland, Czech Republic, Australia, Germany, Canada, and the UK; n = 62.</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exit interviews with cognitive debriefing and meaningful-change elicitation for Urgency NRS, CDAI Stool Frequency, CDAI Abdominal Pain, Patient Global Rating of Severity, and PGIC.</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Targeted within 3 weeks of the week-52/final visit.</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16</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NCT05412004</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SURMOUNT-OSA</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Eli Lilly and Company</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Publication describes week-52 Phase 3 trials.</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Moderate-to-severe obstructive sleep apnoea and obesity; Phase 3; tirzepatide versus placebo (one study in PAP-unwilling/unable patients; one in PAP users).</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Exit-interview sample from 11 US sites and 4 German sites; n = 82.</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Exploratory exit interviews on symptoms, impacts, sleep quality before and after the trial, meaningfulness of change, satisfaction, and treatment likes/dislikes.</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Recruited during or after the primary outcome visit at week 52; most interviews conducted within 2 weeks of the safety follow-up visit.</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17</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NCT03950739</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BREEZE</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United Therapeutics</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Published 2022.</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Pulmonary arterial hypertension; open-label switch study; treprostinil inhalation solution switched to treprostinil inhalation powder.</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 = 51.</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Secondary device preference and satisfaction via the Preference Questionnaire for Inhaled Treprostinil Devices (12 statements with 5-point Likert responses); PAH-SYMPACT also used.</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Baseline on inhalation solution and Week 3 on dry-powder inhaler.</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18</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NCT05059262</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MOTION</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Sponsor not re-extracted from registry snippet; publication identifies the Phase 3 MOTION trial.</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Tenosynovial giant cell tumour; Phase 3; vimseltinib versus placebo.</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123 trial participants; 96 exit interviews.</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Embedded exit interviews on PGIC anchors, active range of motion, PROMIS-PF, and Worst Stiffness NRS to derive responder thresholds.</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Embedded during MOTION; detailed timing not surfaced in the snippet reviewed.</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19</w:t>
            </w:r>
          </w:p>
        </w:tc>
      </w:tr>
      <w:tr>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NCT05089708</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LEAP</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Galderma-linked Phase 4 study</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Interview window June–November 2022.</w:t>
            </w:r>
          </w:p>
        </w:tc>
        <w:tc>
          <w:tcPr>
            <w:tcW w:type="dxa" w:w="167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Acne-induced hyperpigmentation; Phase 4; trifarotene cream + skincare versus vehicle + skincare.</w:t>
            </w:r>
          </w:p>
        </w:tc>
        <w:tc>
          <w:tcPr>
            <w:tcW w:type="dxa" w:w="1477"/>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9 US sites in the qualitative substudy; n = 30.</w:t>
            </w:r>
          </w:p>
        </w:tc>
        <w:tc>
          <w:tcPr>
            <w:tcW w:type="dxa" w:w="2324"/>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Embedded qualitative exit-interview study covering baseline symptoms, perceived week-24 changes, emotional/social effects, and treatment satisfaction.</w:t>
            </w:r>
          </w:p>
        </w:tc>
        <w:tc>
          <w:tcPr>
            <w:tcW w:type="dxa" w:w="1083"/>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After confirming the end-of-treatment visit at week 24.</w:t>
            </w:r>
          </w:p>
        </w:tc>
        <w:tc>
          <w:tcPr>
            <w:tcW w:type="dxa" w:w="691"/>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20</w:t>
            </w:r>
          </w:p>
        </w:tc>
      </w:tr>
    </w:tbl>
    <w:p>
      <w:r>
        <w:br w:type="page"/>
      </w:r>
    </w:p>
    <w:p>
      <w:pPr>
        <w:pStyle w:val="Heading2"/>
      </w:pPr>
      <w:r>
        <w:t xml:space="preserve">Table 2. Trials used as recruitment frames for external preference studies</w:t>
      </w:r>
    </w:p>
    <w:p>
      <w:pPr>
        <w:spacing w:after="120" w:line="280"/>
      </w:pPr>
      <w:r>
        <w:rPr>
          <w:rFonts w:ascii="Helvetica Neue" w:cs="Helvetica Neue" w:eastAsia="Helvetica Neue" w:hAnsi="Helvetica Neue"/>
          <w:i/>
          <w:iCs/>
          <w:color w:val="6B6B6B"/>
          <w:sz w:val="18"/>
          <w:szCs w:val="18"/>
        </w:rPr>
        <w:t xml:space="preserve">Table 2. Clinical trials used as recruitment sources for external preference studies.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gridCol w:w="2700"/>
        <w:gridCol w:w="700"/>
      </w:tblGrid>
      <w:tr>
        <w:trPr>
          <w:tblHeader/>
        </w:trPr>
        <w:tc>
          <w:tcPr>
            <w:tcW w:type="dxa" w:w="24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Source trial</w:t>
            </w:r>
          </w:p>
        </w:tc>
        <w:tc>
          <w:tcPr>
            <w:tcW w:type="dxa" w:w="24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Trial type</w:t>
            </w:r>
          </w:p>
        </w:tc>
        <w:tc>
          <w:tcPr>
            <w:tcW w:type="dxa" w:w="24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External preference study</w:t>
            </w:r>
          </w:p>
        </w:tc>
        <w:tc>
          <w:tcPr>
            <w:tcW w:type="dxa" w:w="23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Method and sample</w:t>
            </w:r>
          </w:p>
        </w:tc>
        <w:tc>
          <w:tcPr>
            <w:tcW w:type="dxa" w:w="27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Recruitment-source statement</w:t>
            </w:r>
          </w:p>
        </w:tc>
        <w:tc>
          <w:tcPr>
            <w:tcW w:type="dxa" w:w="7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Ref.</w:t>
            </w:r>
          </w:p>
        </w:tc>
      </w:tr>
      <w:tr>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NL9710 — 4-IN-THE-LUNG-RUN</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Randomised controlled implementation trial for lung-cancer screening.</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Recruitment preferences for lung-cancer screening among 4-IN-THE-LUNG-RUN participants.</w:t>
            </w:r>
          </w:p>
        </w:tc>
        <w:tc>
          <w:tcPr>
            <w:tcW w:type="dxa" w:w="23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Online questionnaire administered to 848 randomised Dutch participants (479 full responses); two focus groups with 14 participants.</w:t>
            </w:r>
          </w:p>
        </w:tc>
        <w:tc>
          <w:tcPr>
            <w:tcW w:type="dxa" w:w="2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Participants previously randomised within 4-IN-THE-LUNG-RUN were surveyed and focus-grouped on preferred recruitment methods for screening.</w:t>
            </w:r>
          </w:p>
        </w:tc>
        <w:tc>
          <w:tcPr>
            <w:tcW w:type="dxa" w:w="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21</w:t>
            </w:r>
          </w:p>
        </w:tc>
      </w:tr>
      <w:tr>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ACTRN12621000251820 — PACIFIC-PGx</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Prospective multicentre single-arm clinical trial of pharmacogenetic screening.</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Patient and healthcare-professional acceptability of pharmacogenetic screening for DPYD and UGT1A1.</w:t>
            </w:r>
          </w:p>
        </w:tc>
        <w:tc>
          <w:tcPr>
            <w:tcW w:type="dxa" w:w="23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Cross-sectional acceptability survey; 288 patients and 24 healthcare professionals.</w:t>
            </w:r>
          </w:p>
        </w:tc>
        <w:tc>
          <w:tcPr>
            <w:tcW w:type="dxa" w:w="2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Patients and healthcare professionals participating in the multicentre PACIFIC-PGx trial were invited into the survey.</w:t>
            </w:r>
          </w:p>
        </w:tc>
        <w:tc>
          <w:tcPr>
            <w:tcW w:type="dxa" w:w="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22</w:t>
            </w:r>
          </w:p>
        </w:tc>
      </w:tr>
      <w:tr>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ISRCTN14657176 — NULevel</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Randomised controlled trial of a weight-loss-maintenance intervention.</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Investigation of whether preferences differ by respondent experience of a health issue and its treatment.</w:t>
            </w:r>
          </w:p>
        </w:tc>
        <w:tc>
          <w:tcPr>
            <w:tcW w:type="dxa" w:w="23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External online discrete choice experiment; one respondent group recruited from the RCT, others from online panels.</w:t>
            </w:r>
          </w:p>
        </w:tc>
        <w:tc>
          <w:tcPr>
            <w:tcW w:type="dxa" w:w="2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One DCE group was recruited from the weight-loss-maintenance RCT (ISRCTN14657176).</w:t>
            </w:r>
          </w:p>
        </w:tc>
        <w:tc>
          <w:tcPr>
            <w:tcW w:type="dxa" w:w="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23</w:t>
            </w:r>
          </w:p>
        </w:tc>
      </w:tr>
      <w:tr>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NCT03129282 — PATHWAY Home-MCT</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Feasibility single-blind RCT in cardiac rehabilitation.</w:t>
            </w:r>
          </w:p>
        </w:tc>
        <w:tc>
          <w:tcPr>
            <w:tcW w:type="dxa" w:w="2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Delivery preferences for psychological intervention in cardiac rehabilitation.</w:t>
            </w:r>
          </w:p>
        </w:tc>
        <w:tc>
          <w:tcPr>
            <w:tcW w:type="dxa" w:w="23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Pilot DCE; 35 responses from trial participants.</w:t>
            </w:r>
          </w:p>
        </w:tc>
        <w:tc>
          <w:tcPr>
            <w:tcW w:type="dxa" w:w="2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The DCE was an extension of the feasibility trial and recruited trial participants after final follow-up.</w:t>
            </w:r>
          </w:p>
        </w:tc>
        <w:tc>
          <w:tcPr>
            <w:tcW w:type="dxa" w:w="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24</w:t>
            </w:r>
          </w:p>
        </w:tc>
      </w:tr>
    </w:tbl>
    <w:p>
      <w:r>
        <w:br w:type="page"/>
      </w:r>
    </w:p>
    <w:p>
      <w:pPr>
        <w:pStyle w:val="Heading2"/>
      </w:pPr>
      <w:r>
        <w:t xml:space="preserve">Figure 1. Selected timeline of preference-data collection</w:t>
      </w:r>
    </w:p>
    <w:p>
      <w:pPr>
        <w:spacing w:after="160" w:line="320"/>
        <w:jc w:val="both"/>
      </w:pPr>
      <w:r>
        <w:rPr>
          <w:rFonts w:ascii="Helvetica Neue" w:cs="Helvetica Neue" w:eastAsia="Helvetica Neue" w:hAnsi="Helvetica Neue"/>
          <w:color w:val="1A1A1A"/>
          <w:sz w:val="20"/>
          <w:szCs w:val="20"/>
        </w:rPr>
        <w:t xml:space="preserve">Figure 1 presents a selected timeline of trial start dates and the timing of preference-data collection for the best-documented examples. Dates and collection windows are derived from registry records and qualitative-substudy publications.</w:t>
      </w:r>
      <w:r>
        <w:rPr>
          <w:rFonts w:ascii="Helvetica Neue" w:cs="Helvetica Neue" w:eastAsia="Helvetica Neue" w:hAnsi="Helvetica Neue"/>
          <w:color w:val="D85A3F"/>
          <w:sz w:val="16"/>
          <w:szCs w:val="16"/>
          <w:vertAlign w:val="superscript"/>
        </w:rPr>
        <w:t xml:space="preserve"> [25]</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9960"/>
      </w:tblGrid>
      <w:tr>
        <w:trPr>
          <w:tblHeader/>
        </w:trPr>
        <w:tc>
          <w:tcPr>
            <w:tcW w:type="dxa" w:w="30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Date</w:t>
            </w:r>
          </w:p>
        </w:tc>
        <w:tc>
          <w:tcPr>
            <w:tcW w:type="dxa" w:w="99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pPr>
              <w:spacing w:after="40" w:before="40"/>
            </w:pPr>
            <w:r>
              <w:rPr>
                <w:rFonts w:ascii="Helvetica Neue" w:cs="Helvetica Neue" w:eastAsia="Helvetica Neue" w:hAnsi="Helvetica Neue"/>
                <w:b/>
                <w:bCs/>
                <w:color w:val="39594D"/>
                <w:spacing w:val="-2"/>
                <w:sz w:val="16"/>
                <w:szCs w:val="16"/>
              </w:rPr>
              <w:t xml:space="preserve">Event</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19 Dec 2018</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PHranceSCa start; PPQ at Cycle 6, TASQ at Cycles 3 and 6.</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27 Jun 2019</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ARCADIA start; blinded exit interviews within 2 weeks of treatment completion.</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30 Jul 2019</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SURPASS-2 start; exit interviews shortly after trial completion.</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13 Nov 2019</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XTEND-1 registry posted; optional exit interviews after study completion.</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20 May 2021</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Retatrutide Phase 2 obesity trial start; exit interviews at study exit.</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5 Jul 2022</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ProHer start; PPQ during the adjuvant crossover period.</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6 Nov 2023</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Nivolumab/relatlimab SC versus IV preference trial start; preference readout not yet publicly detailed.</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Week 52 (2024)</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VIVID-1 exit interviews targeted within 3 weeks of the final visit.</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Week 52 (2024)</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SURMOUNT-OSA exit interviews around the primary outcome and safety follow-up visits.</w:t>
            </w:r>
          </w:p>
        </w:tc>
      </w:tr>
      <w:tr>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1 Feb 2026</w:t>
            </w:r>
          </w:p>
        </w:tc>
        <w:tc>
          <w:tcPr>
            <w:tcW w:type="dxa" w:w="99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0"/>
            </w:pPr>
            <w:r>
              <w:rPr>
                <w:rFonts w:ascii="Helvetica Neue" w:cs="Helvetica Neue" w:eastAsia="Helvetica Neue" w:hAnsi="Helvetica Neue"/>
                <w:color w:val="1A1A1A"/>
                <w:sz w:val="16"/>
                <w:szCs w:val="16"/>
              </w:rPr>
              <w:t xml:space="preserve">MOTION meaningful-change paper published from embedded exit interviews.</w:t>
            </w:r>
          </w:p>
        </w:tc>
      </w:tr>
    </w:tbl>
    <w:p>
      <w:pPr>
        <w:sectPr>
          <w:footerReference w:type="default" r:id="rId8"/>
          <w:type w:val="nextPage"/>
          <w:pgSz w:w="15840" w:h="12240" w:orient="landscape"/>
          <w:pgMar w:top="1080" w:right="1440" w:bottom="1080" w:left="1440" w:header="708" w:footer="708" w:gutter="0"/>
          <w:pgNumType/>
          <w:docGrid w:linePitch="360"/>
        </w:sectPr>
      </w:pPr>
    </w:p>
    <w:p>
      <w:pPr>
        <w:pStyle w:val="Heading2"/>
      </w:pPr>
      <w:r>
        <w:t xml:space="preserve">Discussion: open questions and limitations</w:t>
      </w:r>
    </w:p>
    <w:p>
      <w:pPr>
        <w:spacing w:after="160" w:line="320"/>
        <w:jc w:val="both"/>
      </w:pPr>
      <w:r>
        <w:rPr>
          <w:rFonts w:ascii="Helvetica Neue" w:cs="Helvetica Neue" w:eastAsia="Helvetica Neue" w:hAnsi="Helvetica Neue"/>
          <w:color w:val="1A1A1A"/>
          <w:sz w:val="20"/>
          <w:szCs w:val="20"/>
        </w:rPr>
        <w:t xml:space="preserve">Confidence in this evidence map is highest where the registry record itself exposed the preference endpoint, questionnaire wording, and timing. PHranceSCa, ProHer, and the Hong Kong apalutamide-versus-enzalutamide trial therefore represent the most precisely characterised entries in Table 1. Confidence is comparatively lower for several </w:t>
      </w:r>
      <w:r>
        <w:rPr>
          <w:rFonts w:ascii="Helvetica Neue" w:cs="Helvetica Neue" w:eastAsia="Helvetica Neue" w:hAnsi="Helvetica Neue"/>
          <w:i/>
          <w:iCs/>
          <w:color w:val="1A1A1A"/>
          <w:sz w:val="20"/>
          <w:szCs w:val="20"/>
        </w:rPr>
        <w:t xml:space="preserve">probable</w:t>
      </w:r>
      <w:r>
        <w:rPr>
          <w:rFonts w:ascii="Helvetica Neue" w:cs="Helvetica Neue" w:eastAsia="Helvetica Neue" w:hAnsi="Helvetica Neue"/>
          <w:color w:val="1A1A1A"/>
          <w:sz w:val="20"/>
          <w:szCs w:val="20"/>
        </w:rPr>
        <w:t xml:space="preserve"> within-trial preference studies for which the qualitative publication is clear but for which not every registry field could be re-extracted at the same level of confidence. These include the dupilumab chronic cold urticaria study linked to LIBERTY-CINDU CUrIADS, the pooled iptacopan paroxysmal nocturnal haemoglobinuria qualitative study, the ACTION-Galactosemia Kids caregiver exit interviews, and the glepaglutide short-bowel-syndrome exit-interview paper. Each is plausibly includable in a fuller audit and is omitted from the principal table only because complete field-level extraction at the prevailing confidence standard was not feasible.</w:t>
      </w:r>
      <w:r>
        <w:rPr>
          <w:rFonts w:ascii="Helvetica Neue" w:cs="Helvetica Neue" w:eastAsia="Helvetica Neue" w:hAnsi="Helvetica Neue"/>
          <w:color w:val="D85A3F"/>
          <w:sz w:val="16"/>
          <w:szCs w:val="16"/>
          <w:vertAlign w:val="superscript"/>
        </w:rPr>
        <w:t xml:space="preserve"> [26]</w:t>
      </w:r>
    </w:p>
    <w:p>
      <w:pPr>
        <w:spacing w:after="160" w:line="320"/>
        <w:jc w:val="both"/>
      </w:pPr>
      <w:r>
        <w:rPr>
          <w:rFonts w:ascii="Helvetica Neue" w:cs="Helvetica Neue" w:eastAsia="Helvetica Neue" w:hAnsi="Helvetica Neue"/>
          <w:color w:val="1A1A1A"/>
          <w:sz w:val="20"/>
          <w:szCs w:val="20"/>
        </w:rPr>
        <w:t xml:space="preserve">Three structural limitations should be noted. First, registry search-index snippets sometimes expose outcomes and instruments more comprehensively than the corresponding fully rendered page, producing uneven exact-extraction quality across trials. Second, sponsor qualitative substudies are often described only in publications or protocols, rather than as standalone outcomes within the registry. Third, downstream use of parent-trial participants in </w:t>
      </w:r>
      <w:r>
        <w:rPr>
          <w:rFonts w:ascii="Helvetica Neue" w:cs="Helvetica Neue" w:eastAsia="Helvetica Neue" w:hAnsi="Helvetica Neue"/>
          <w:i/>
          <w:iCs/>
          <w:color w:val="1A1A1A"/>
          <w:sz w:val="20"/>
          <w:szCs w:val="20"/>
        </w:rPr>
        <w:t xml:space="preserve">separate</w:t>
      </w:r>
      <w:r>
        <w:rPr>
          <w:rFonts w:ascii="Helvetica Neue" w:cs="Helvetica Neue" w:eastAsia="Helvetica Neue" w:hAnsi="Helvetica Neue"/>
          <w:color w:val="1A1A1A"/>
          <w:sz w:val="20"/>
          <w:szCs w:val="20"/>
        </w:rPr>
        <w:t xml:space="preserve"> external preference studies is plausibly underreported, particularly when the follow-on study is framed as implementation research, acceptability work, or service design rather than as preference research per se.</w:t>
      </w:r>
    </w:p>
    <w:p>
      <w:pPr>
        <w:pStyle w:val="Heading2"/>
      </w:pPr>
      <w:r>
        <w:t xml:space="preserve">References</w:t>
      </w:r>
    </w:p>
    <w:p>
      <w:pPr>
        <w:spacing w:after="80" w:line="280"/>
        <w:ind w:left="360" w:hanging="360"/>
      </w:pPr>
      <w:r>
        <w:rPr>
          <w:rFonts w:ascii="Helvetica Neue" w:cs="Helvetica Neue" w:eastAsia="Helvetica Neue" w:hAnsi="Helvetica Neue"/>
          <w:b/>
          <w:bCs/>
          <w:color w:val="39594D"/>
          <w:sz w:val="18"/>
          <w:szCs w:val="18"/>
        </w:rPr>
        <w:t xml:space="preserve">[1] </w:t>
      </w:r>
      <w:r>
        <w:rPr>
          <w:rFonts w:ascii="Helvetica Neue" w:cs="Helvetica Neue" w:eastAsia="Helvetica Neue" w:hAnsi="Helvetica Neue"/>
          <w:color w:val="1A1A1A"/>
          <w:sz w:val="18"/>
          <w:szCs w:val="18"/>
        </w:rPr>
        <w:t xml:space="preserve">PHranceSCa registry record (ClinicalTrials.gov, NCT03674112). </w:t>
      </w:r>
      <w:hyperlink w:history="1" r:id="rId0thy-zhyajeaiggtyl7jn">
        <w:r>
          <w:rPr>
            <w:rFonts w:ascii="Helvetica Neue" w:cs="Helvetica Neue" w:eastAsia="Helvetica Neue" w:hAnsi="Helvetica Neue"/>
            <w:color w:val="D85A3F"/>
            <w:sz w:val="18"/>
            <w:szCs w:val="18"/>
            <w:u w:val="single" w:color="D85A3F"/>
          </w:rPr>
          <w:t xml:space="preserve">https://www.clinicaltrials.gov/study/NCT03674112</w:t>
        </w:r>
      </w:hyperlink>
    </w:p>
    <w:p>
      <w:pPr>
        <w:spacing w:after="80" w:line="280"/>
        <w:ind w:left="360" w:hanging="360"/>
      </w:pPr>
      <w:r>
        <w:rPr>
          <w:rFonts w:ascii="Helvetica Neue" w:cs="Helvetica Neue" w:eastAsia="Helvetica Neue" w:hAnsi="Helvetica Neue"/>
          <w:b/>
          <w:bCs/>
          <w:color w:val="39594D"/>
          <w:sz w:val="18"/>
          <w:szCs w:val="18"/>
        </w:rPr>
        <w:t xml:space="preserve">[2] </w:t>
      </w:r>
      <w:r>
        <w:rPr>
          <w:rFonts w:ascii="Helvetica Neue" w:cs="Helvetica Neue" w:eastAsia="Helvetica Neue" w:hAnsi="Helvetica Neue"/>
          <w:color w:val="1A1A1A"/>
          <w:sz w:val="18"/>
          <w:szCs w:val="18"/>
        </w:rPr>
        <w:t xml:space="preserve">PHranceSCa registry record (ClinicalTrials.gov, NCT03674112). </w:t>
      </w:r>
      <w:hyperlink w:history="1" r:id="rId9s8si3megls79yccvhz6e">
        <w:r>
          <w:rPr>
            <w:rFonts w:ascii="Helvetica Neue" w:cs="Helvetica Neue" w:eastAsia="Helvetica Neue" w:hAnsi="Helvetica Neue"/>
            <w:color w:val="D85A3F"/>
            <w:sz w:val="18"/>
            <w:szCs w:val="18"/>
            <w:u w:val="single" w:color="D85A3F"/>
          </w:rPr>
          <w:t xml:space="preserve">https://www.clinicaltrials.gov/study/NCT03674112</w:t>
        </w:r>
      </w:hyperlink>
    </w:p>
    <w:p>
      <w:pPr>
        <w:spacing w:after="80" w:line="280"/>
        <w:ind w:left="360" w:hanging="360"/>
      </w:pPr>
      <w:r>
        <w:rPr>
          <w:rFonts w:ascii="Helvetica Neue" w:cs="Helvetica Neue" w:eastAsia="Helvetica Neue" w:hAnsi="Helvetica Neue"/>
          <w:b/>
          <w:bCs/>
          <w:color w:val="39594D"/>
          <w:sz w:val="18"/>
          <w:szCs w:val="18"/>
        </w:rPr>
        <w:t xml:space="preserve">[3] </w:t>
      </w:r>
      <w:r>
        <w:rPr>
          <w:rFonts w:ascii="Helvetica Neue" w:cs="Helvetica Neue" w:eastAsia="Helvetica Neue" w:hAnsi="Helvetica Neue"/>
          <w:color w:val="1A1A1A"/>
          <w:sz w:val="18"/>
          <w:szCs w:val="18"/>
        </w:rPr>
        <w:t xml:space="preserve">4-IN-THE-LUNG-RUN recruitment preferences study (PubMed 41514219). </w:t>
      </w:r>
      <w:hyperlink w:history="1" r:id="rIdbrrt3la5gvi_8btqtfwcd">
        <w:r>
          <w:rPr>
            <w:rFonts w:ascii="Helvetica Neue" w:cs="Helvetica Neue" w:eastAsia="Helvetica Neue" w:hAnsi="Helvetica Neue"/>
            <w:color w:val="D85A3F"/>
            <w:sz w:val="18"/>
            <w:szCs w:val="18"/>
            <w:u w:val="single" w:color="D85A3F"/>
          </w:rPr>
          <w:t xml:space="preserve">https://pubmed.ncbi.nlm.nih.gov/41514219/</w:t>
        </w:r>
      </w:hyperlink>
    </w:p>
    <w:p>
      <w:pPr>
        <w:spacing w:after="80" w:line="280"/>
        <w:ind w:left="360" w:hanging="360"/>
      </w:pPr>
      <w:r>
        <w:rPr>
          <w:rFonts w:ascii="Helvetica Neue" w:cs="Helvetica Neue" w:eastAsia="Helvetica Neue" w:hAnsi="Helvetica Neue"/>
          <w:b/>
          <w:bCs/>
          <w:color w:val="39594D"/>
          <w:sz w:val="18"/>
          <w:szCs w:val="18"/>
        </w:rPr>
        <w:t xml:space="preserve">[4] </w:t>
      </w:r>
      <w:r>
        <w:rPr>
          <w:rFonts w:ascii="Helvetica Neue" w:cs="Helvetica Neue" w:eastAsia="Helvetica Neue" w:hAnsi="Helvetica Neue"/>
          <w:color w:val="1A1A1A"/>
          <w:sz w:val="18"/>
          <w:szCs w:val="18"/>
        </w:rPr>
        <w:t xml:space="preserve">PHranceSCa registry record (ClinicalTrials.gov, NCT03674112). </w:t>
      </w:r>
      <w:hyperlink w:history="1" r:id="rIdjvzywyqiwjvrawkoo_4ds">
        <w:r>
          <w:rPr>
            <w:rFonts w:ascii="Helvetica Neue" w:cs="Helvetica Neue" w:eastAsia="Helvetica Neue" w:hAnsi="Helvetica Neue"/>
            <w:color w:val="D85A3F"/>
            <w:sz w:val="18"/>
            <w:szCs w:val="18"/>
            <w:u w:val="single" w:color="D85A3F"/>
          </w:rPr>
          <w:t xml:space="preserve">https://www.clinicaltrials.gov/study/NCT03674112</w:t>
        </w:r>
      </w:hyperlink>
    </w:p>
    <w:p>
      <w:pPr>
        <w:spacing w:after="80" w:line="280"/>
        <w:ind w:left="360" w:hanging="360"/>
      </w:pPr>
      <w:r>
        <w:rPr>
          <w:rFonts w:ascii="Helvetica Neue" w:cs="Helvetica Neue" w:eastAsia="Helvetica Neue" w:hAnsi="Helvetica Neue"/>
          <w:b/>
          <w:bCs/>
          <w:color w:val="39594D"/>
          <w:sz w:val="18"/>
          <w:szCs w:val="18"/>
        </w:rPr>
        <w:t xml:space="preserve">[5] </w:t>
      </w:r>
      <w:r>
        <w:rPr>
          <w:rFonts w:ascii="Helvetica Neue" w:cs="Helvetica Neue" w:eastAsia="Helvetica Neue" w:hAnsi="Helvetica Neue"/>
          <w:color w:val="1A1A1A"/>
          <w:sz w:val="18"/>
          <w:szCs w:val="18"/>
        </w:rPr>
        <w:t xml:space="preserve">XTEND-1 exit-interview qualitative report (PubMed 39414418). </w:t>
      </w:r>
      <w:hyperlink w:history="1" r:id="rIdixdzdsu7ijv32mdgvnde4">
        <w:r>
          <w:rPr>
            <w:rFonts w:ascii="Helvetica Neue" w:cs="Helvetica Neue" w:eastAsia="Helvetica Neue" w:hAnsi="Helvetica Neue"/>
            <w:color w:val="D85A3F"/>
            <w:sz w:val="18"/>
            <w:szCs w:val="18"/>
            <w:u w:val="single" w:color="D85A3F"/>
          </w:rPr>
          <w:t xml:space="preserve">https://pubmed.ncbi.nlm.nih.gov/39414418/</w:t>
        </w:r>
      </w:hyperlink>
    </w:p>
    <w:p>
      <w:pPr>
        <w:spacing w:after="80" w:line="280"/>
        <w:ind w:left="360" w:hanging="360"/>
      </w:pPr>
      <w:r>
        <w:rPr>
          <w:rFonts w:ascii="Helvetica Neue" w:cs="Helvetica Neue" w:eastAsia="Helvetica Neue" w:hAnsi="Helvetica Neue"/>
          <w:b/>
          <w:bCs/>
          <w:color w:val="39594D"/>
          <w:sz w:val="18"/>
          <w:szCs w:val="18"/>
        </w:rPr>
        <w:t xml:space="preserve">[6] </w:t>
      </w:r>
      <w:r>
        <w:rPr>
          <w:rFonts w:ascii="Helvetica Neue" w:cs="Helvetica Neue" w:eastAsia="Helvetica Neue" w:hAnsi="Helvetica Neue"/>
          <w:color w:val="1A1A1A"/>
          <w:sz w:val="18"/>
          <w:szCs w:val="18"/>
        </w:rPr>
        <w:t xml:space="preserve">PHranceSCa registry record (ClinicalTrials.gov, NCT03674112). </w:t>
      </w:r>
      <w:hyperlink w:history="1" r:id="rIdiib06dfkcz4ijerz05ijt">
        <w:r>
          <w:rPr>
            <w:rFonts w:ascii="Helvetica Neue" w:cs="Helvetica Neue" w:eastAsia="Helvetica Neue" w:hAnsi="Helvetica Neue"/>
            <w:color w:val="D85A3F"/>
            <w:sz w:val="18"/>
            <w:szCs w:val="18"/>
            <w:u w:val="single" w:color="D85A3F"/>
          </w:rPr>
          <w:t xml:space="preserve">https://www.clinicaltrials.gov/study/NCT03674112</w:t>
        </w:r>
      </w:hyperlink>
    </w:p>
    <w:p>
      <w:pPr>
        <w:spacing w:after="80" w:line="280"/>
        <w:ind w:left="360" w:hanging="360"/>
      </w:pPr>
      <w:r>
        <w:rPr>
          <w:rFonts w:ascii="Helvetica Neue" w:cs="Helvetica Neue" w:eastAsia="Helvetica Neue" w:hAnsi="Helvetica Neue"/>
          <w:b/>
          <w:bCs/>
          <w:color w:val="39594D"/>
          <w:sz w:val="18"/>
          <w:szCs w:val="18"/>
        </w:rPr>
        <w:t xml:space="preserve">[7] </w:t>
      </w:r>
      <w:r>
        <w:rPr>
          <w:rFonts w:ascii="Helvetica Neue" w:cs="Helvetica Neue" w:eastAsia="Helvetica Neue" w:hAnsi="Helvetica Neue"/>
          <w:color w:val="1A1A1A"/>
          <w:sz w:val="18"/>
          <w:szCs w:val="18"/>
        </w:rPr>
        <w:t xml:space="preserve">PHranceSCa registry record (ClinicalTrials.gov, NCT03674112). </w:t>
      </w:r>
      <w:hyperlink w:history="1" r:id="rId0ynmq6s13ljwyd-ctxnz-">
        <w:r>
          <w:rPr>
            <w:rFonts w:ascii="Helvetica Neue" w:cs="Helvetica Neue" w:eastAsia="Helvetica Neue" w:hAnsi="Helvetica Neue"/>
            <w:color w:val="D85A3F"/>
            <w:sz w:val="18"/>
            <w:szCs w:val="18"/>
            <w:u w:val="single" w:color="D85A3F"/>
          </w:rPr>
          <w:t xml:space="preserve">https://www.clinicaltrials.gov/study/NCT03674112</w:t>
        </w:r>
      </w:hyperlink>
    </w:p>
    <w:p>
      <w:pPr>
        <w:spacing w:after="80" w:line="280"/>
        <w:ind w:left="360" w:hanging="360"/>
      </w:pPr>
      <w:r>
        <w:rPr>
          <w:rFonts w:ascii="Helvetica Neue" w:cs="Helvetica Neue" w:eastAsia="Helvetica Neue" w:hAnsi="Helvetica Neue"/>
          <w:b/>
          <w:bCs/>
          <w:color w:val="39594D"/>
          <w:sz w:val="18"/>
          <w:szCs w:val="18"/>
        </w:rPr>
        <w:t xml:space="preserve">[8] </w:t>
      </w:r>
      <w:r>
        <w:rPr>
          <w:rFonts w:ascii="Helvetica Neue" w:cs="Helvetica Neue" w:eastAsia="Helvetica Neue" w:hAnsi="Helvetica Neue"/>
          <w:color w:val="1A1A1A"/>
          <w:sz w:val="18"/>
          <w:szCs w:val="18"/>
        </w:rPr>
        <w:t xml:space="preserve">ProHer registry record (ClinicalTrials.gov, NCT05415215). </w:t>
      </w:r>
      <w:hyperlink w:history="1" r:id="rId9pntzplocs2hyoejjkhbo">
        <w:r>
          <w:rPr>
            <w:rFonts w:ascii="Helvetica Neue" w:cs="Helvetica Neue" w:eastAsia="Helvetica Neue" w:hAnsi="Helvetica Neue"/>
            <w:color w:val="D85A3F"/>
            <w:sz w:val="18"/>
            <w:szCs w:val="18"/>
            <w:u w:val="single" w:color="D85A3F"/>
          </w:rPr>
          <w:t xml:space="preserve">https://clinicaltrials.gov/study/NCT05415215?cond=NCT05415215&amp;rank=1</w:t>
        </w:r>
      </w:hyperlink>
    </w:p>
    <w:p>
      <w:pPr>
        <w:spacing w:after="80" w:line="280"/>
        <w:ind w:left="360" w:hanging="360"/>
      </w:pPr>
      <w:r>
        <w:rPr>
          <w:rFonts w:ascii="Helvetica Neue" w:cs="Helvetica Neue" w:eastAsia="Helvetica Neue" w:hAnsi="Helvetica Neue"/>
          <w:b/>
          <w:bCs/>
          <w:color w:val="39594D"/>
          <w:sz w:val="18"/>
          <w:szCs w:val="18"/>
        </w:rPr>
        <w:t xml:space="preserve">[9] </w:t>
      </w:r>
      <w:r>
        <w:rPr>
          <w:rFonts w:ascii="Helvetica Neue" w:cs="Helvetica Neue" w:eastAsia="Helvetica Neue" w:hAnsi="Helvetica Neue"/>
          <w:color w:val="1A1A1A"/>
          <w:sz w:val="18"/>
          <w:szCs w:val="18"/>
        </w:rPr>
        <w:t xml:space="preserve">Apalutamide-vs-enzalutamide registry record (NCT04409288). </w:t>
      </w:r>
      <w:hyperlink w:history="1" r:id="rIdx6wln5bxe_ueeco7q8hrn">
        <w:r>
          <w:rPr>
            <w:rFonts w:ascii="Helvetica Neue" w:cs="Helvetica Neue" w:eastAsia="Helvetica Neue" w:hAnsi="Helvetica Neue"/>
            <w:color w:val="D85A3F"/>
            <w:sz w:val="18"/>
            <w:szCs w:val="18"/>
            <w:u w:val="single" w:color="D85A3F"/>
          </w:rPr>
          <w:t xml:space="preserve">https://clinicaltrials.gov/study/NCT04409288</w:t>
        </w:r>
      </w:hyperlink>
    </w:p>
    <w:p>
      <w:pPr>
        <w:spacing w:after="80" w:line="280"/>
        <w:ind w:left="360" w:hanging="360"/>
      </w:pPr>
      <w:r>
        <w:rPr>
          <w:rFonts w:ascii="Helvetica Neue" w:cs="Helvetica Neue" w:eastAsia="Helvetica Neue" w:hAnsi="Helvetica Neue"/>
          <w:b/>
          <w:bCs/>
          <w:color w:val="39594D"/>
          <w:sz w:val="18"/>
          <w:szCs w:val="18"/>
        </w:rPr>
        <w:t xml:space="preserve">[10] </w:t>
      </w:r>
      <w:r>
        <w:rPr>
          <w:rFonts w:ascii="Helvetica Neue" w:cs="Helvetica Neue" w:eastAsia="Helvetica Neue" w:hAnsi="Helvetica Neue"/>
          <w:color w:val="1A1A1A"/>
          <w:sz w:val="18"/>
          <w:szCs w:val="18"/>
        </w:rPr>
        <w:t xml:space="preserve">Nivolumab and nivolumab + relatlimab SC vs IV (NCT06101134). </w:t>
      </w:r>
      <w:hyperlink w:history="1" r:id="rIdyocpifufvjw4uyopgv-rk">
        <w:r>
          <w:rPr>
            <w:rFonts w:ascii="Helvetica Neue" w:cs="Helvetica Neue" w:eastAsia="Helvetica Neue" w:hAnsi="Helvetica Neue"/>
            <w:color w:val="D85A3F"/>
            <w:sz w:val="18"/>
            <w:szCs w:val="18"/>
            <w:u w:val="single" w:color="D85A3F"/>
          </w:rPr>
          <w:t xml:space="preserve">https://www.clinicaltrials.gov/study/NCT06101134</w:t>
        </w:r>
      </w:hyperlink>
    </w:p>
    <w:p>
      <w:pPr>
        <w:spacing w:after="80" w:line="280"/>
        <w:ind w:left="360" w:hanging="360"/>
      </w:pPr>
      <w:r>
        <w:rPr>
          <w:rFonts w:ascii="Helvetica Neue" w:cs="Helvetica Neue" w:eastAsia="Helvetica Neue" w:hAnsi="Helvetica Neue"/>
          <w:b/>
          <w:bCs/>
          <w:color w:val="39594D"/>
          <w:sz w:val="18"/>
          <w:szCs w:val="18"/>
        </w:rPr>
        <w:t xml:space="preserve">[11] </w:t>
      </w:r>
      <w:r>
        <w:rPr>
          <w:rFonts w:ascii="Helvetica Neue" w:cs="Helvetica Neue" w:eastAsia="Helvetica Neue" w:hAnsi="Helvetica Neue"/>
          <w:color w:val="1A1A1A"/>
          <w:sz w:val="18"/>
          <w:szCs w:val="18"/>
        </w:rPr>
        <w:t xml:space="preserve">XTEND-1 exit-interview qualitative report (PubMed 39414418). </w:t>
      </w:r>
      <w:hyperlink w:history="1" r:id="rIdtemlncpkzi3rwfslz7hle">
        <w:r>
          <w:rPr>
            <w:rFonts w:ascii="Helvetica Neue" w:cs="Helvetica Neue" w:eastAsia="Helvetica Neue" w:hAnsi="Helvetica Neue"/>
            <w:color w:val="D85A3F"/>
            <w:sz w:val="18"/>
            <w:szCs w:val="18"/>
            <w:u w:val="single" w:color="D85A3F"/>
          </w:rPr>
          <w:t xml:space="preserve">https://pubmed.ncbi.nlm.nih.gov/39414418/</w:t>
        </w:r>
      </w:hyperlink>
    </w:p>
    <w:p>
      <w:pPr>
        <w:spacing w:after="80" w:line="280"/>
        <w:ind w:left="360" w:hanging="360"/>
      </w:pPr>
      <w:r>
        <w:rPr>
          <w:rFonts w:ascii="Helvetica Neue" w:cs="Helvetica Neue" w:eastAsia="Helvetica Neue" w:hAnsi="Helvetica Neue"/>
          <w:b/>
          <w:bCs/>
          <w:color w:val="39594D"/>
          <w:sz w:val="18"/>
          <w:szCs w:val="18"/>
        </w:rPr>
        <w:t xml:space="preserve">[12] </w:t>
      </w:r>
      <w:r>
        <w:rPr>
          <w:rFonts w:ascii="Helvetica Neue" w:cs="Helvetica Neue" w:eastAsia="Helvetica Neue" w:hAnsi="Helvetica Neue"/>
          <w:color w:val="1A1A1A"/>
          <w:sz w:val="18"/>
          <w:szCs w:val="18"/>
        </w:rPr>
        <w:t xml:space="preserve">ARCADIA in-trial interview substudy (PubMed 40360966). </w:t>
      </w:r>
      <w:hyperlink w:history="1" r:id="rId1mjmm0sxp4oj4juv2lyhi">
        <w:r>
          <w:rPr>
            <w:rFonts w:ascii="Helvetica Neue" w:cs="Helvetica Neue" w:eastAsia="Helvetica Neue" w:hAnsi="Helvetica Neue"/>
            <w:color w:val="D85A3F"/>
            <w:sz w:val="18"/>
            <w:szCs w:val="18"/>
            <w:u w:val="single" w:color="D85A3F"/>
          </w:rPr>
          <w:t xml:space="preserve">https://pubmed.ncbi.nlm.nih.gov/40360966/</w:t>
        </w:r>
      </w:hyperlink>
    </w:p>
    <w:p>
      <w:pPr>
        <w:spacing w:after="80" w:line="280"/>
        <w:ind w:left="360" w:hanging="360"/>
      </w:pPr>
      <w:r>
        <w:rPr>
          <w:rFonts w:ascii="Helvetica Neue" w:cs="Helvetica Neue" w:eastAsia="Helvetica Neue" w:hAnsi="Helvetica Neue"/>
          <w:b/>
          <w:bCs/>
          <w:color w:val="39594D"/>
          <w:sz w:val="18"/>
          <w:szCs w:val="18"/>
        </w:rPr>
        <w:t xml:space="preserve">[13] </w:t>
      </w:r>
      <w:r>
        <w:rPr>
          <w:rFonts w:ascii="Helvetica Neue" w:cs="Helvetica Neue" w:eastAsia="Helvetica Neue" w:hAnsi="Helvetica Neue"/>
          <w:color w:val="1A1A1A"/>
          <w:sz w:val="18"/>
          <w:szCs w:val="18"/>
        </w:rPr>
        <w:t xml:space="preserve">SURPASS-2/3 pooled qualitative exit-interview study (PubMed 35513765). </w:t>
      </w:r>
      <w:hyperlink w:history="1" r:id="rIdxvt9ubirsiv8iflzij9pb">
        <w:r>
          <w:rPr>
            <w:rFonts w:ascii="Helvetica Neue" w:cs="Helvetica Neue" w:eastAsia="Helvetica Neue" w:hAnsi="Helvetica Neue"/>
            <w:color w:val="D85A3F"/>
            <w:sz w:val="18"/>
            <w:szCs w:val="18"/>
            <w:u w:val="single" w:color="D85A3F"/>
          </w:rPr>
          <w:t xml:space="preserve">https://pubmed.ncbi.nlm.nih.gov/35513765/</w:t>
        </w:r>
      </w:hyperlink>
    </w:p>
    <w:p>
      <w:pPr>
        <w:spacing w:after="80" w:line="280"/>
        <w:ind w:left="360" w:hanging="360"/>
      </w:pPr>
      <w:r>
        <w:rPr>
          <w:rFonts w:ascii="Helvetica Neue" w:cs="Helvetica Neue" w:eastAsia="Helvetica Neue" w:hAnsi="Helvetica Neue"/>
          <w:b/>
          <w:bCs/>
          <w:color w:val="39594D"/>
          <w:sz w:val="18"/>
          <w:szCs w:val="18"/>
        </w:rPr>
        <w:t xml:space="preserve">[14] </w:t>
      </w:r>
      <w:r>
        <w:rPr>
          <w:rFonts w:ascii="Helvetica Neue" w:cs="Helvetica Neue" w:eastAsia="Helvetica Neue" w:hAnsi="Helvetica Neue"/>
          <w:color w:val="1A1A1A"/>
          <w:sz w:val="18"/>
          <w:szCs w:val="18"/>
        </w:rPr>
        <w:t xml:space="preserve">Retatrutide Phase 2 obesity exit-interview report (PubMed 41216380). </w:t>
      </w:r>
      <w:hyperlink w:history="1" r:id="rIdjtwpsnaaickyveegigucx">
        <w:r>
          <w:rPr>
            <w:rFonts w:ascii="Helvetica Neue" w:cs="Helvetica Neue" w:eastAsia="Helvetica Neue" w:hAnsi="Helvetica Neue"/>
            <w:color w:val="D85A3F"/>
            <w:sz w:val="18"/>
            <w:szCs w:val="18"/>
            <w:u w:val="single" w:color="D85A3F"/>
          </w:rPr>
          <w:t xml:space="preserve">https://pubmed.ncbi.nlm.nih.gov/41216380/</w:t>
        </w:r>
      </w:hyperlink>
    </w:p>
    <w:p>
      <w:pPr>
        <w:spacing w:after="80" w:line="280"/>
        <w:ind w:left="360" w:hanging="360"/>
      </w:pPr>
      <w:r>
        <w:rPr>
          <w:rFonts w:ascii="Helvetica Neue" w:cs="Helvetica Neue" w:eastAsia="Helvetica Neue" w:hAnsi="Helvetica Neue"/>
          <w:b/>
          <w:bCs/>
          <w:color w:val="39594D"/>
          <w:sz w:val="18"/>
          <w:szCs w:val="18"/>
        </w:rPr>
        <w:t xml:space="preserve">[15] </w:t>
      </w:r>
      <w:r>
        <w:rPr>
          <w:rFonts w:ascii="Helvetica Neue" w:cs="Helvetica Neue" w:eastAsia="Helvetica Neue" w:hAnsi="Helvetica Neue"/>
          <w:color w:val="1A1A1A"/>
          <w:sz w:val="18"/>
          <w:szCs w:val="18"/>
        </w:rPr>
        <w:t xml:space="preserve">Bumetanide ASD caregiver exit-interview study (PubMed 39816573). </w:t>
      </w:r>
      <w:hyperlink w:history="1" r:id="rIdnbe3p5fh_acgg9aog-az3">
        <w:r>
          <w:rPr>
            <w:rFonts w:ascii="Helvetica Neue" w:cs="Helvetica Neue" w:eastAsia="Helvetica Neue" w:hAnsi="Helvetica Neue"/>
            <w:color w:val="D85A3F"/>
            <w:sz w:val="18"/>
            <w:szCs w:val="18"/>
            <w:u w:val="single" w:color="D85A3F"/>
          </w:rPr>
          <w:t xml:space="preserve">https://pubmed.ncbi.nlm.nih.gov/39816573/</w:t>
        </w:r>
      </w:hyperlink>
    </w:p>
    <w:p>
      <w:pPr>
        <w:spacing w:after="80" w:line="280"/>
        <w:ind w:left="360" w:hanging="360"/>
      </w:pPr>
      <w:r>
        <w:rPr>
          <w:rFonts w:ascii="Helvetica Neue" w:cs="Helvetica Neue" w:eastAsia="Helvetica Neue" w:hAnsi="Helvetica Neue"/>
          <w:b/>
          <w:bCs/>
          <w:color w:val="39594D"/>
          <w:sz w:val="18"/>
          <w:szCs w:val="18"/>
        </w:rPr>
        <w:t xml:space="preserve">[16] </w:t>
      </w:r>
      <w:r>
        <w:rPr>
          <w:rFonts w:ascii="Helvetica Neue" w:cs="Helvetica Neue" w:eastAsia="Helvetica Neue" w:hAnsi="Helvetica Neue"/>
          <w:color w:val="1A1A1A"/>
          <w:sz w:val="18"/>
          <w:szCs w:val="18"/>
        </w:rPr>
        <w:t xml:space="preserve">VIVID-1 exit-interview substudy in Crohn’s disease (PMC11744098). </w:t>
      </w:r>
      <w:hyperlink w:history="1" r:id="rId-r2idrlrpmcu-i0tm1cne">
        <w:r>
          <w:rPr>
            <w:rFonts w:ascii="Helvetica Neue" w:cs="Helvetica Neue" w:eastAsia="Helvetica Neue" w:hAnsi="Helvetica Neue"/>
            <w:color w:val="D85A3F"/>
            <w:sz w:val="18"/>
            <w:szCs w:val="18"/>
            <w:u w:val="single" w:color="D85A3F"/>
          </w:rPr>
          <w:t xml:space="preserve">https://pmc.ncbi.nlm.nih.gov/articles/PMC11744098/</w:t>
        </w:r>
      </w:hyperlink>
    </w:p>
    <w:p>
      <w:pPr>
        <w:spacing w:after="80" w:line="280"/>
        <w:ind w:left="360" w:hanging="360"/>
      </w:pPr>
      <w:r>
        <w:rPr>
          <w:rFonts w:ascii="Helvetica Neue" w:cs="Helvetica Neue" w:eastAsia="Helvetica Neue" w:hAnsi="Helvetica Neue"/>
          <w:b/>
          <w:bCs/>
          <w:color w:val="39594D"/>
          <w:sz w:val="18"/>
          <w:szCs w:val="18"/>
        </w:rPr>
        <w:t xml:space="preserve">[17] </w:t>
      </w:r>
      <w:r>
        <w:rPr>
          <w:rFonts w:ascii="Helvetica Neue" w:cs="Helvetica Neue" w:eastAsia="Helvetica Neue" w:hAnsi="Helvetica Neue"/>
          <w:color w:val="1A1A1A"/>
          <w:sz w:val="18"/>
          <w:szCs w:val="18"/>
        </w:rPr>
        <w:t xml:space="preserve">SURMOUNT-OSA exit-interview report (Springer, 2026). </w:t>
      </w:r>
      <w:hyperlink w:history="1" r:id="rIddroklq1iovwmkaudtiauf">
        <w:r>
          <w:rPr>
            <w:rFonts w:ascii="Helvetica Neue" w:cs="Helvetica Neue" w:eastAsia="Helvetica Neue" w:hAnsi="Helvetica Neue"/>
            <w:color w:val="D85A3F"/>
            <w:sz w:val="18"/>
            <w:szCs w:val="18"/>
            <w:u w:val="single" w:color="D85A3F"/>
          </w:rPr>
          <w:t xml:space="preserve">https://link.springer.com/article/10.1007/s40271-026-00808-3</w:t>
        </w:r>
      </w:hyperlink>
    </w:p>
    <w:p>
      <w:pPr>
        <w:spacing w:after="80" w:line="280"/>
        <w:ind w:left="360" w:hanging="360"/>
      </w:pPr>
      <w:r>
        <w:rPr>
          <w:rFonts w:ascii="Helvetica Neue" w:cs="Helvetica Neue" w:eastAsia="Helvetica Neue" w:hAnsi="Helvetica Neue"/>
          <w:b/>
          <w:bCs/>
          <w:color w:val="39594D"/>
          <w:sz w:val="18"/>
          <w:szCs w:val="18"/>
        </w:rPr>
        <w:t xml:space="preserve">[18] </w:t>
      </w:r>
      <w:r>
        <w:rPr>
          <w:rFonts w:ascii="Helvetica Neue" w:cs="Helvetica Neue" w:eastAsia="Helvetica Neue" w:hAnsi="Helvetica Neue"/>
          <w:color w:val="1A1A1A"/>
          <w:sz w:val="18"/>
          <w:szCs w:val="18"/>
        </w:rPr>
        <w:t xml:space="preserve">BREEZE inhaled treprostinil device-preference study (PMC9063953). </w:t>
      </w:r>
      <w:hyperlink w:history="1" r:id="rIdpsbrq2cz5q_a3xap_-zn-">
        <w:r>
          <w:rPr>
            <w:rFonts w:ascii="Helvetica Neue" w:cs="Helvetica Neue" w:eastAsia="Helvetica Neue" w:hAnsi="Helvetica Neue"/>
            <w:color w:val="D85A3F"/>
            <w:sz w:val="18"/>
            <w:szCs w:val="18"/>
            <w:u w:val="single" w:color="D85A3F"/>
          </w:rPr>
          <w:t xml:space="preserve">https://pmc.ncbi.nlm.nih.gov/articles/PMC9063953/</w:t>
        </w:r>
      </w:hyperlink>
    </w:p>
    <w:p>
      <w:pPr>
        <w:spacing w:after="80" w:line="280"/>
        <w:ind w:left="360" w:hanging="360"/>
      </w:pPr>
      <w:r>
        <w:rPr>
          <w:rFonts w:ascii="Helvetica Neue" w:cs="Helvetica Neue" w:eastAsia="Helvetica Neue" w:hAnsi="Helvetica Neue"/>
          <w:b/>
          <w:bCs/>
          <w:color w:val="39594D"/>
          <w:sz w:val="18"/>
          <w:szCs w:val="18"/>
        </w:rPr>
        <w:t xml:space="preserve">[19] </w:t>
      </w:r>
      <w:r>
        <w:rPr>
          <w:rFonts w:ascii="Helvetica Neue" w:cs="Helvetica Neue" w:eastAsia="Helvetica Neue" w:hAnsi="Helvetica Neue"/>
          <w:color w:val="1A1A1A"/>
          <w:sz w:val="18"/>
          <w:szCs w:val="18"/>
        </w:rPr>
        <w:t xml:space="preserve">MOTION meaningful-change paper (PubMed 41621028). </w:t>
      </w:r>
      <w:hyperlink w:history="1" r:id="rIdfi8ru90-lewtca27oqytc">
        <w:r>
          <w:rPr>
            <w:rFonts w:ascii="Helvetica Neue" w:cs="Helvetica Neue" w:eastAsia="Helvetica Neue" w:hAnsi="Helvetica Neue"/>
            <w:color w:val="D85A3F"/>
            <w:sz w:val="18"/>
            <w:szCs w:val="18"/>
            <w:u w:val="single" w:color="D85A3F"/>
          </w:rPr>
          <w:t xml:space="preserve">https://pubmed.ncbi.nlm.nih.gov/41621028/</w:t>
        </w:r>
      </w:hyperlink>
    </w:p>
    <w:p>
      <w:pPr>
        <w:spacing w:after="80" w:line="280"/>
        <w:ind w:left="360" w:hanging="360"/>
      </w:pPr>
      <w:r>
        <w:rPr>
          <w:rFonts w:ascii="Helvetica Neue" w:cs="Helvetica Neue" w:eastAsia="Helvetica Neue" w:hAnsi="Helvetica Neue"/>
          <w:b/>
          <w:bCs/>
          <w:color w:val="39594D"/>
          <w:sz w:val="18"/>
          <w:szCs w:val="18"/>
        </w:rPr>
        <w:t xml:space="preserve">[20] </w:t>
      </w:r>
      <w:r>
        <w:rPr>
          <w:rFonts w:ascii="Helvetica Neue" w:cs="Helvetica Neue" w:eastAsia="Helvetica Neue" w:hAnsi="Helvetica Neue"/>
          <w:color w:val="1A1A1A"/>
          <w:sz w:val="18"/>
          <w:szCs w:val="18"/>
        </w:rPr>
        <w:t xml:space="preserve">LEAP qualitative exit-interview study (PubMed 41286546). </w:t>
      </w:r>
      <w:hyperlink w:history="1" r:id="rIdrnmgseea9x-9b3ypjquew">
        <w:r>
          <w:rPr>
            <w:rFonts w:ascii="Helvetica Neue" w:cs="Helvetica Neue" w:eastAsia="Helvetica Neue" w:hAnsi="Helvetica Neue"/>
            <w:color w:val="D85A3F"/>
            <w:sz w:val="18"/>
            <w:szCs w:val="18"/>
            <w:u w:val="single" w:color="D85A3F"/>
          </w:rPr>
          <w:t xml:space="preserve">https://pubmed.ncbi.nlm.nih.gov/41286546/</w:t>
        </w:r>
      </w:hyperlink>
    </w:p>
    <w:p>
      <w:pPr>
        <w:spacing w:after="80" w:line="280"/>
        <w:ind w:left="360" w:hanging="360"/>
      </w:pPr>
      <w:r>
        <w:rPr>
          <w:rFonts w:ascii="Helvetica Neue" w:cs="Helvetica Neue" w:eastAsia="Helvetica Neue" w:hAnsi="Helvetica Neue"/>
          <w:b/>
          <w:bCs/>
          <w:color w:val="39594D"/>
          <w:sz w:val="18"/>
          <w:szCs w:val="18"/>
        </w:rPr>
        <w:t xml:space="preserve">[21] </w:t>
      </w:r>
      <w:r>
        <w:rPr>
          <w:rFonts w:ascii="Helvetica Neue" w:cs="Helvetica Neue" w:eastAsia="Helvetica Neue" w:hAnsi="Helvetica Neue"/>
          <w:color w:val="1A1A1A"/>
          <w:sz w:val="18"/>
          <w:szCs w:val="18"/>
        </w:rPr>
        <w:t xml:space="preserve">4-IN-THE-LUNG-RUN recruitment preferences study (PubMed 41514219). </w:t>
      </w:r>
      <w:hyperlink w:history="1" r:id="rIdxs5jtwycrksepmekqhzvx">
        <w:r>
          <w:rPr>
            <w:rFonts w:ascii="Helvetica Neue" w:cs="Helvetica Neue" w:eastAsia="Helvetica Neue" w:hAnsi="Helvetica Neue"/>
            <w:color w:val="D85A3F"/>
            <w:sz w:val="18"/>
            <w:szCs w:val="18"/>
            <w:u w:val="single" w:color="D85A3F"/>
          </w:rPr>
          <w:t xml:space="preserve">https://pubmed.ncbi.nlm.nih.gov/41514219/</w:t>
        </w:r>
      </w:hyperlink>
    </w:p>
    <w:p>
      <w:pPr>
        <w:spacing w:after="80" w:line="280"/>
        <w:ind w:left="360" w:hanging="360"/>
      </w:pPr>
      <w:r>
        <w:rPr>
          <w:rFonts w:ascii="Helvetica Neue" w:cs="Helvetica Neue" w:eastAsia="Helvetica Neue" w:hAnsi="Helvetica Neue"/>
          <w:b/>
          <w:bCs/>
          <w:color w:val="39594D"/>
          <w:sz w:val="18"/>
          <w:szCs w:val="18"/>
        </w:rPr>
        <w:t xml:space="preserve">[22] </w:t>
      </w:r>
      <w:r>
        <w:rPr>
          <w:rFonts w:ascii="Helvetica Neue" w:cs="Helvetica Neue" w:eastAsia="Helvetica Neue" w:hAnsi="Helvetica Neue"/>
          <w:color w:val="1A1A1A"/>
          <w:sz w:val="18"/>
          <w:szCs w:val="18"/>
        </w:rPr>
        <w:t xml:space="preserve">PACIFIC-PGx registry record (ANZCTR ACTRN12621000251820). </w:t>
      </w:r>
      <w:hyperlink w:history="1" r:id="rIduun0sc6ufbpo-1n3jducr">
        <w:r>
          <w:rPr>
            <w:rFonts w:ascii="Helvetica Neue" w:cs="Helvetica Neue" w:eastAsia="Helvetica Neue" w:hAnsi="Helvetica Neue"/>
            <w:color w:val="D85A3F"/>
            <w:sz w:val="18"/>
            <w:szCs w:val="18"/>
            <w:u w:val="single" w:color="D85A3F"/>
          </w:rPr>
          <w:t xml:space="preserve">https://anzctr.org.au/Trial/Registration/TrialReview.aspx?ACTRN=12621000251820</w:t>
        </w:r>
      </w:hyperlink>
    </w:p>
    <w:p>
      <w:pPr>
        <w:spacing w:after="80" w:line="280"/>
        <w:ind w:left="360" w:hanging="360"/>
      </w:pPr>
      <w:r>
        <w:rPr>
          <w:rFonts w:ascii="Helvetica Neue" w:cs="Helvetica Neue" w:eastAsia="Helvetica Neue" w:hAnsi="Helvetica Neue"/>
          <w:b/>
          <w:bCs/>
          <w:color w:val="39594D"/>
          <w:sz w:val="18"/>
          <w:szCs w:val="18"/>
        </w:rPr>
        <w:t xml:space="preserve">[23] </w:t>
      </w:r>
      <w:r>
        <w:rPr>
          <w:rFonts w:ascii="Helvetica Neue" w:cs="Helvetica Neue" w:eastAsia="Helvetica Neue" w:hAnsi="Helvetica Neue"/>
          <w:color w:val="1A1A1A"/>
          <w:sz w:val="18"/>
          <w:szCs w:val="18"/>
        </w:rPr>
        <w:t xml:space="preserve">NULevel-linked DCE study (ResearchGate 361405461). </w:t>
      </w:r>
      <w:hyperlink w:history="1" r:id="rIdmcwrrgevx0xrekjwa-422">
        <w:r>
          <w:rPr>
            <w:rFonts w:ascii="Helvetica Neue" w:cs="Helvetica Neue" w:eastAsia="Helvetica Neue" w:hAnsi="Helvetica Neue"/>
            <w:color w:val="D85A3F"/>
            <w:sz w:val="18"/>
            <w:szCs w:val="18"/>
            <w:u w:val="single" w:color="D85A3F"/>
          </w:rPr>
          <w:t xml:space="preserve">https://www.researchgate.net/publication/361405461_Do_preferences_differ_based_on_respondent_experience_of_a_health_issue_and_its_treatment_A_case_study_using_a_public_health_intervention</w:t>
        </w:r>
      </w:hyperlink>
    </w:p>
    <w:p>
      <w:pPr>
        <w:spacing w:after="80" w:line="280"/>
        <w:ind w:left="360" w:hanging="360"/>
      </w:pPr>
      <w:r>
        <w:rPr>
          <w:rFonts w:ascii="Helvetica Neue" w:cs="Helvetica Neue" w:eastAsia="Helvetica Neue" w:hAnsi="Helvetica Neue"/>
          <w:b/>
          <w:bCs/>
          <w:color w:val="39594D"/>
          <w:sz w:val="18"/>
          <w:szCs w:val="18"/>
        </w:rPr>
        <w:t xml:space="preserve">[24] </w:t>
      </w:r>
      <w:r>
        <w:rPr>
          <w:rFonts w:ascii="Helvetica Neue" w:cs="Helvetica Neue" w:eastAsia="Helvetica Neue" w:hAnsi="Helvetica Neue"/>
          <w:color w:val="1A1A1A"/>
          <w:sz w:val="18"/>
          <w:szCs w:val="18"/>
        </w:rPr>
        <w:t xml:space="preserve">PATHWAY Home-MCT delivery-preference DCE (PMC8383873). </w:t>
      </w:r>
      <w:hyperlink w:history="1" r:id="rId7xjhna5hsebariskgzadw">
        <w:r>
          <w:rPr>
            <w:rFonts w:ascii="Helvetica Neue" w:cs="Helvetica Neue" w:eastAsia="Helvetica Neue" w:hAnsi="Helvetica Neue"/>
            <w:color w:val="D85A3F"/>
            <w:sz w:val="18"/>
            <w:szCs w:val="18"/>
            <w:u w:val="single" w:color="D85A3F"/>
          </w:rPr>
          <w:t xml:space="preserve">https://pmc.ncbi.nlm.nih.gov/articles/PMC8383873/</w:t>
        </w:r>
      </w:hyperlink>
    </w:p>
    <w:p>
      <w:pPr>
        <w:spacing w:after="80" w:line="280"/>
        <w:ind w:left="360" w:hanging="360"/>
      </w:pPr>
      <w:r>
        <w:rPr>
          <w:rFonts w:ascii="Helvetica Neue" w:cs="Helvetica Neue" w:eastAsia="Helvetica Neue" w:hAnsi="Helvetica Neue"/>
          <w:b/>
          <w:bCs/>
          <w:color w:val="39594D"/>
          <w:sz w:val="18"/>
          <w:szCs w:val="18"/>
        </w:rPr>
        <w:t xml:space="preserve">[25] </w:t>
      </w:r>
      <w:r>
        <w:rPr>
          <w:rFonts w:ascii="Helvetica Neue" w:cs="Helvetica Neue" w:eastAsia="Helvetica Neue" w:hAnsi="Helvetica Neue"/>
          <w:color w:val="1A1A1A"/>
          <w:sz w:val="18"/>
          <w:szCs w:val="18"/>
        </w:rPr>
        <w:t xml:space="preserve">PHranceSCa registry record (ClinicalTrials.gov, NCT03674112). </w:t>
      </w:r>
      <w:hyperlink w:history="1" r:id="rIdxvqtyozt5ijdm-7igynfn">
        <w:r>
          <w:rPr>
            <w:rFonts w:ascii="Helvetica Neue" w:cs="Helvetica Neue" w:eastAsia="Helvetica Neue" w:hAnsi="Helvetica Neue"/>
            <w:color w:val="D85A3F"/>
            <w:sz w:val="18"/>
            <w:szCs w:val="18"/>
            <w:u w:val="single" w:color="D85A3F"/>
          </w:rPr>
          <w:t xml:space="preserve">https://www.clinicaltrials.gov/study/NCT03674112</w:t>
        </w:r>
      </w:hyperlink>
    </w:p>
    <w:p>
      <w:pPr>
        <w:spacing w:after="80" w:line="280"/>
        <w:ind w:left="360" w:hanging="360"/>
      </w:pPr>
      <w:r>
        <w:rPr>
          <w:rFonts w:ascii="Helvetica Neue" w:cs="Helvetica Neue" w:eastAsia="Helvetica Neue" w:hAnsi="Helvetica Neue"/>
          <w:b/>
          <w:bCs/>
          <w:color w:val="39594D"/>
          <w:sz w:val="18"/>
          <w:szCs w:val="18"/>
        </w:rPr>
        <w:t xml:space="preserve">[26] </w:t>
      </w:r>
      <w:r>
        <w:rPr>
          <w:rFonts w:ascii="Helvetica Neue" w:cs="Helvetica Neue" w:eastAsia="Helvetica Neue" w:hAnsi="Helvetica Neue"/>
          <w:color w:val="1A1A1A"/>
          <w:sz w:val="18"/>
          <w:szCs w:val="18"/>
        </w:rPr>
        <w:t xml:space="preserve">Probable in-trial preference studies (PubMed 40696090). </w:t>
      </w:r>
      <w:hyperlink w:history="1" r:id="rId6_hojar_t7z-x1mim2tp6">
        <w:r>
          <w:rPr>
            <w:rFonts w:ascii="Helvetica Neue" w:cs="Helvetica Neue" w:eastAsia="Helvetica Neue" w:hAnsi="Helvetica Neue"/>
            <w:color w:val="D85A3F"/>
            <w:sz w:val="18"/>
            <w:szCs w:val="18"/>
            <w:u w:val="single" w:color="D85A3F"/>
          </w:rPr>
          <w:t xml:space="preserve">https://pubmed.ncbi.nlm.nih.gov/40696090/</w:t>
        </w:r>
      </w:hyperlink>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6B6B6B"/>
        <w:sz w:val="16"/>
        <w:szCs w:val="16"/>
      </w:rPr>
      <w:t xml:space="preserve">Page </w:t>
    </w:r>
    <w:r>
      <w:rPr>
        <w:rFonts w:ascii="Helvetica Neue" w:cs="Helvetica Neue" w:eastAsia="Helvetica Neue" w:hAnsi="Helvetica Neue"/>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6B6B6B"/>
        <w:sz w:val="16"/>
        <w:szCs w:val="16"/>
      </w:rPr>
      <w:t xml:space="preserve">Page </w:t>
    </w:r>
    <w:r>
      <w:rPr>
        <w:rFonts w:ascii="Helvetica Neue" w:cs="Helvetica Neue" w:eastAsia="Helvetica Neue" w:hAnsi="Helvetica Neue"/>
        <w:color w:val="6B6B6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6B6B6B"/>
        <w:sz w:val="16"/>
        <w:szCs w:val="16"/>
      </w:rPr>
      <w:t xml:space="preserve">Page </w:t>
    </w:r>
    <w:r>
      <w:rPr>
        <w:rFonts w:ascii="Helvetica Neue" w:cs="Helvetica Neue" w:eastAsia="Helvetica Neue" w:hAnsi="Helvetica Neue"/>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85A3F"/>
      <w:u w:val="single" w:color="D85A3F"/>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7759" w:sz="8" w:space="6"/>
      </w:pBdr>
      <w:spacing w:after="240" w:before="360"/>
      <w:outlineLvl w:val="0"/>
    </w:pPr>
    <w:rPr>
      <w:rFonts w:ascii="Helvetica Neue" w:cs="Helvetica Neue" w:eastAsia="Helvetica Neue" w:hAnsi="Helvetica Neue"/>
      <w:b/>
      <w:bCs/>
      <w:color w:val="FF7759"/>
      <w:spacing w:val="-10"/>
      <w:sz w:val="44"/>
      <w:szCs w:val="44"/>
    </w:rPr>
  </w:style>
  <w:style w:type="paragraph" w:styleId="Heading2">
    <w:name w:val="Heading 2"/>
    <w:basedOn w:val="Normal"/>
    <w:next w:val="Normal"/>
    <w:qFormat/>
    <w:pPr>
      <w:spacing w:after="160" w:before="320"/>
      <w:outlineLvl w:val="1"/>
    </w:pPr>
    <w:rPr>
      <w:rFonts w:ascii="Helvetica Neue" w:cs="Helvetica Neue" w:eastAsia="Helvetica Neue" w:hAnsi="Helvetica Neue"/>
      <w:b/>
      <w:bCs/>
      <w:color w:val="D85A3F"/>
      <w:spacing w:val="-6"/>
      <w:sz w:val="28"/>
      <w:szCs w:val="28"/>
    </w:rPr>
  </w:style>
  <w:style w:type="paragraph" w:styleId="Heading3">
    <w:name w:val="Heading 3"/>
    <w:basedOn w:val="Normal"/>
    <w:next w:val="Normal"/>
    <w:qFormat/>
    <w:pPr>
      <w:spacing w:after="110" w:before="220"/>
      <w:outlineLvl w:val="2"/>
    </w:pPr>
    <w:rPr>
      <w:rFonts w:ascii="Helvetica Neue" w:cs="Helvetica Neue" w:eastAsia="Helvetica Neue" w:hAnsi="Helvetica Neue"/>
      <w:b/>
      <w:bCs/>
      <w:color w:val="39594D"/>
      <w:spacing w:val="-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0thy-zhyajeaiggtyl7jn" Type="http://schemas.openxmlformats.org/officeDocument/2006/relationships/hyperlink" Target="https://www.clinicaltrials.gov/study/NCT03674112" TargetMode="External"/><Relationship Id="rId9s8si3megls79yccvhz6e" Type="http://schemas.openxmlformats.org/officeDocument/2006/relationships/hyperlink" Target="https://www.clinicaltrials.gov/study/NCT03674112" TargetMode="External"/><Relationship Id="rIdbrrt3la5gvi_8btqtfwcd" Type="http://schemas.openxmlformats.org/officeDocument/2006/relationships/hyperlink" Target="https://pubmed.ncbi.nlm.nih.gov/41514219/" TargetMode="External"/><Relationship Id="rIdjvzywyqiwjvrawkoo_4ds" Type="http://schemas.openxmlformats.org/officeDocument/2006/relationships/hyperlink" Target="https://www.clinicaltrials.gov/study/NCT03674112" TargetMode="External"/><Relationship Id="rIdixdzdsu7ijv32mdgvnde4" Type="http://schemas.openxmlformats.org/officeDocument/2006/relationships/hyperlink" Target="https://pubmed.ncbi.nlm.nih.gov/39414418/" TargetMode="External"/><Relationship Id="rIdiib06dfkcz4ijerz05ijt" Type="http://schemas.openxmlformats.org/officeDocument/2006/relationships/hyperlink" Target="https://www.clinicaltrials.gov/study/NCT03674112" TargetMode="External"/><Relationship Id="rId0ynmq6s13ljwyd-ctxnz-" Type="http://schemas.openxmlformats.org/officeDocument/2006/relationships/hyperlink" Target="https://www.clinicaltrials.gov/study/NCT03674112" TargetMode="External"/><Relationship Id="rId9pntzplocs2hyoejjkhbo" Type="http://schemas.openxmlformats.org/officeDocument/2006/relationships/hyperlink" Target="https://clinicaltrials.gov/study/NCT05415215?cond=NCT05415215&amp;rank=1" TargetMode="External"/><Relationship Id="rIdx6wln5bxe_ueeco7q8hrn" Type="http://schemas.openxmlformats.org/officeDocument/2006/relationships/hyperlink" Target="https://clinicaltrials.gov/study/NCT04409288" TargetMode="External"/><Relationship Id="rIdyocpifufvjw4uyopgv-rk" Type="http://schemas.openxmlformats.org/officeDocument/2006/relationships/hyperlink" Target="https://www.clinicaltrials.gov/study/NCT06101134" TargetMode="External"/><Relationship Id="rIdtemlncpkzi3rwfslz7hle" Type="http://schemas.openxmlformats.org/officeDocument/2006/relationships/hyperlink" Target="https://pubmed.ncbi.nlm.nih.gov/39414418/" TargetMode="External"/><Relationship Id="rId1mjmm0sxp4oj4juv2lyhi" Type="http://schemas.openxmlformats.org/officeDocument/2006/relationships/hyperlink" Target="https://pubmed.ncbi.nlm.nih.gov/40360966/" TargetMode="External"/><Relationship Id="rIdxvt9ubirsiv8iflzij9pb" Type="http://schemas.openxmlformats.org/officeDocument/2006/relationships/hyperlink" Target="https://pubmed.ncbi.nlm.nih.gov/35513765/" TargetMode="External"/><Relationship Id="rIdjtwpsnaaickyveegigucx" Type="http://schemas.openxmlformats.org/officeDocument/2006/relationships/hyperlink" Target="https://pubmed.ncbi.nlm.nih.gov/41216380/" TargetMode="External"/><Relationship Id="rIdnbe3p5fh_acgg9aog-az3" Type="http://schemas.openxmlformats.org/officeDocument/2006/relationships/hyperlink" Target="https://pubmed.ncbi.nlm.nih.gov/39816573/" TargetMode="External"/><Relationship Id="rId-r2idrlrpmcu-i0tm1cne" Type="http://schemas.openxmlformats.org/officeDocument/2006/relationships/hyperlink" Target="https://pmc.ncbi.nlm.nih.gov/articles/PMC11744098/" TargetMode="External"/><Relationship Id="rIddroklq1iovwmkaudtiauf" Type="http://schemas.openxmlformats.org/officeDocument/2006/relationships/hyperlink" Target="https://link.springer.com/article/10.1007/s40271-026-00808-3" TargetMode="External"/><Relationship Id="rIdpsbrq2cz5q_a3xap_-zn-" Type="http://schemas.openxmlformats.org/officeDocument/2006/relationships/hyperlink" Target="https://pmc.ncbi.nlm.nih.gov/articles/PMC9063953/" TargetMode="External"/><Relationship Id="rIdfi8ru90-lewtca27oqytc" Type="http://schemas.openxmlformats.org/officeDocument/2006/relationships/hyperlink" Target="https://pubmed.ncbi.nlm.nih.gov/41621028/" TargetMode="External"/><Relationship Id="rIdrnmgseea9x-9b3ypjquew" Type="http://schemas.openxmlformats.org/officeDocument/2006/relationships/hyperlink" Target="https://pubmed.ncbi.nlm.nih.gov/41286546/" TargetMode="External"/><Relationship Id="rIdxs5jtwycrksepmekqhzvx" Type="http://schemas.openxmlformats.org/officeDocument/2006/relationships/hyperlink" Target="https://pubmed.ncbi.nlm.nih.gov/41514219/" TargetMode="External"/><Relationship Id="rIduun0sc6ufbpo-1n3jducr" Type="http://schemas.openxmlformats.org/officeDocument/2006/relationships/hyperlink" Target="https://anzctr.org.au/Trial/Registration/TrialReview.aspx?ACTRN=12621000251820" TargetMode="External"/><Relationship Id="rIdmcwrrgevx0xrekjwa-422" Type="http://schemas.openxmlformats.org/officeDocument/2006/relationships/hyperlink" Target="https://www.researchgate.net/publication/361405461_Do_preferences_differ_based_on_respondent_experience_of_a_health_issue_and_its_treatment_A_case_study_using_a_public_health_intervention" TargetMode="External"/><Relationship Id="rId7xjhna5hsebariskgzadw" Type="http://schemas.openxmlformats.org/officeDocument/2006/relationships/hyperlink" Target="https://pmc.ncbi.nlm.nih.gov/articles/PMC8383873/" TargetMode="External"/><Relationship Id="rIdxvqtyozt5ijdm-7igynfn" Type="http://schemas.openxmlformats.org/officeDocument/2006/relationships/hyperlink" Target="https://www.clinicaltrials.gov/study/NCT03674112" TargetMode="External"/><Relationship Id="rId6_hojar_t7z-x1mim2tp6" Type="http://schemas.openxmlformats.org/officeDocument/2006/relationships/hyperlink" Target="https://pubmed.ncbi.nlm.nih.gov/40696090/"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2026-05-02T02:56:08.864Z</dcterms:created>
  <dcterms:modified xsi:type="dcterms:W3CDTF">2026-05-02T02:56:08.866Z</dcterms:modified>
</cp:coreProperties>
</file>

<file path=docProps/custom.xml><?xml version="1.0" encoding="utf-8"?>
<Properties xmlns="http://schemas.openxmlformats.org/officeDocument/2006/custom-properties" xmlns:vt="http://schemas.openxmlformats.org/officeDocument/2006/docPropsVTypes"/>
</file>