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F6F1"/>
  <w:body>
    <w:p w14:paraId="42319ED5" w14:textId="77777777" w:rsidR="00277515" w:rsidRDefault="00000000">
      <w:pPr>
        <w:spacing w:before="4000" w:after="240"/>
        <w:jc w:val="center"/>
      </w:pPr>
      <w:r>
        <w:rPr>
          <w:b/>
          <w:bCs/>
          <w:color w:val="39594D"/>
          <w:spacing w:val="60"/>
          <w:sz w:val="22"/>
          <w:szCs w:val="22"/>
        </w:rPr>
        <w:t>EVIDENCE REVIEW</w:t>
      </w:r>
    </w:p>
    <w:p w14:paraId="04A72E85" w14:textId="7E89BB93" w:rsidR="00277515" w:rsidRDefault="00000000">
      <w:pPr>
        <w:spacing w:after="240"/>
        <w:jc w:val="center"/>
      </w:pPr>
      <w:r>
        <w:rPr>
          <w:b/>
          <w:bCs/>
          <w:color w:val="FF7759"/>
          <w:spacing w:val="-16"/>
          <w:sz w:val="64"/>
          <w:szCs w:val="64"/>
        </w:rPr>
        <w:t>Patient Preference Elicitation</w:t>
      </w:r>
      <w:r w:rsidR="00383BE1">
        <w:rPr>
          <w:b/>
          <w:bCs/>
          <w:color w:val="FF7759"/>
          <w:spacing w:val="-16"/>
          <w:sz w:val="64"/>
          <w:szCs w:val="64"/>
        </w:rPr>
        <w:t xml:space="preserve"> Associated </w:t>
      </w:r>
      <w:r w:rsidR="00F56D15">
        <w:rPr>
          <w:b/>
          <w:bCs/>
          <w:color w:val="FF7759"/>
          <w:spacing w:val="-16"/>
          <w:sz w:val="64"/>
          <w:szCs w:val="64"/>
        </w:rPr>
        <w:t>with</w:t>
      </w:r>
      <w:r w:rsidR="00383BE1">
        <w:rPr>
          <w:b/>
          <w:bCs/>
          <w:color w:val="FF7759"/>
          <w:spacing w:val="-16"/>
          <w:sz w:val="64"/>
          <w:szCs w:val="64"/>
        </w:rPr>
        <w:t xml:space="preserve"> Clinical Trials</w:t>
      </w:r>
    </w:p>
    <w:p w14:paraId="1CB04F54" w14:textId="77777777" w:rsidR="00277515" w:rsidRDefault="00277515">
      <w:pPr>
        <w:pBdr>
          <w:bottom w:val="single" w:sz="18" w:space="6" w:color="FF7759"/>
        </w:pBdr>
        <w:spacing w:before="120" w:after="360"/>
        <w:jc w:val="center"/>
      </w:pPr>
    </w:p>
    <w:p w14:paraId="32E00708" w14:textId="68C83D2C" w:rsidR="00277515" w:rsidRDefault="00EA32EB">
      <w:pPr>
        <w:spacing w:after="120"/>
        <w:jc w:val="center"/>
      </w:pPr>
      <w:r>
        <w:rPr>
          <w:i/>
          <w:iCs/>
          <w:sz w:val="28"/>
          <w:szCs w:val="28"/>
        </w:rPr>
        <w:t>Search Window:</w:t>
      </w:r>
      <w:r w:rsidR="00000000">
        <w:rPr>
          <w:i/>
          <w:iCs/>
          <w:sz w:val="28"/>
          <w:szCs w:val="28"/>
        </w:rPr>
        <w:t xml:space="preserve"> May 2021 – May 2026</w:t>
      </w:r>
    </w:p>
    <w:p w14:paraId="577A9C9D" w14:textId="77777777" w:rsidR="00277515" w:rsidRDefault="00000000">
      <w:pPr>
        <w:spacing w:before="720"/>
        <w:jc w:val="center"/>
      </w:pPr>
      <w:r>
        <w:rPr>
          <w:color w:val="6B6B6B"/>
          <w:spacing w:val="30"/>
          <w:sz w:val="24"/>
          <w:szCs w:val="24"/>
        </w:rPr>
        <w:t>May 2026</w:t>
      </w:r>
    </w:p>
    <w:p w14:paraId="15D723A8" w14:textId="77777777" w:rsidR="00277515" w:rsidRDefault="00277515">
      <w:pPr>
        <w:sectPr w:rsidR="0027751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pPr>
    </w:p>
    <w:p w14:paraId="797F97BB" w14:textId="77777777" w:rsidR="00277515" w:rsidRDefault="00000000">
      <w:pPr>
        <w:pStyle w:val="Heading2"/>
      </w:pPr>
      <w:r>
        <w:lastRenderedPageBreak/>
        <w:t>Executive Summary</w:t>
      </w:r>
    </w:p>
    <w:p w14:paraId="2EECC783" w14:textId="6140E3DD" w:rsidR="00277515" w:rsidRDefault="00000000">
      <w:pPr>
        <w:spacing w:after="160" w:line="320" w:lineRule="auto"/>
        <w:jc w:val="both"/>
      </w:pPr>
      <w:r>
        <w:t>This review identifies interventional clinical trials with publicly verifiable evidence, conducted between May</w:t>
      </w:r>
      <w:r w:rsidR="00EA32EB">
        <w:t xml:space="preserve"> 1,</w:t>
      </w:r>
      <w:r>
        <w:t xml:space="preserve"> 2021 and May </w:t>
      </w:r>
      <w:r w:rsidR="00EA32EB">
        <w:t xml:space="preserve">1, </w:t>
      </w:r>
      <w:r>
        <w:t xml:space="preserve">2026, that incorporated either (i) preference elicitation </w:t>
      </w:r>
      <w:r>
        <w:rPr>
          <w:i/>
          <w:iCs/>
        </w:rPr>
        <w:t>within</w:t>
      </w:r>
      <w:r>
        <w:t xml:space="preserve"> the trial itself—patient preference questionnaires, patient-reported preference endpoints, device or route-of-administration preference measures, qualitative exit interviews, or structured elicitation of meaningful change—or (ii) the use of the trial as a recruitment frame for an external preference study, including discrete choice experiments (DCEs), post-trial surveys, and focus groups. Across publicly verifiable sources, the dominant pattern is a dichotomy between a small number of trials with formal preference endpoints and a larger number of trials with exploratory qualitative exit-interview substudies used to interpret patient-reported outcomes (PROs) or to define meaningful within-patient change.</w:t>
      </w:r>
      <w:r>
        <w:rPr>
          <w:color w:val="D85A3F"/>
          <w:sz w:val="16"/>
          <w:szCs w:val="16"/>
          <w:vertAlign w:val="superscript"/>
        </w:rPr>
        <w:t xml:space="preserve"> [1]</w:t>
      </w:r>
    </w:p>
    <w:p w14:paraId="4CAEB9B1" w14:textId="77777777" w:rsidR="00277515" w:rsidRDefault="00000000">
      <w:pPr>
        <w:spacing w:after="160" w:line="320" w:lineRule="auto"/>
        <w:jc w:val="both"/>
      </w:pPr>
      <w:r>
        <w:t>Trials with the highest-confidence explicit preference endpoints were predominantly crossover or route-of-administration studies in oncology, in which the preference question constituted the primary endpoint and the instrument was explicitly named and, in some cases, reproduced in the registry record or protocol. Qualitative substudies, by contrast, were generally positioned as exploratory PRO-supportive evidence, conducted within two to three weeks of treatment completion or around the primary endpoint visit, and employed semi-structured interview guides covering symptoms, treatment impact, treatment satisfaction, and meaningful-change thresholds.</w:t>
      </w:r>
      <w:r>
        <w:rPr>
          <w:color w:val="D85A3F"/>
          <w:sz w:val="16"/>
          <w:szCs w:val="16"/>
          <w:vertAlign w:val="superscript"/>
        </w:rPr>
        <w:t xml:space="preserve"> [2]</w:t>
      </w:r>
    </w:p>
    <w:p w14:paraId="0ADD3DD5" w14:textId="1FC2949A" w:rsidR="00277515" w:rsidRDefault="00000000">
      <w:pPr>
        <w:spacing w:after="160" w:line="320" w:lineRule="auto"/>
        <w:jc w:val="both"/>
      </w:pPr>
      <w:r>
        <w:t xml:space="preserve">Many preference components are reported only in protocols, conference abstracts, or post hoc qualitative publications, and certain </w:t>
      </w:r>
      <w:r w:rsidR="00383BE1">
        <w:t xml:space="preserve">trial </w:t>
      </w:r>
      <w:r>
        <w:t>registries expose only partial metadata through search indexing. Fields that could not be re-extracted from public sources at high confidence are identified as incomplete rather than inferred.</w:t>
      </w:r>
    </w:p>
    <w:p w14:paraId="6499C947" w14:textId="77777777" w:rsidR="00277515" w:rsidRDefault="00000000">
      <w:pPr>
        <w:pStyle w:val="Heading2"/>
      </w:pPr>
      <w:r>
        <w:t>Methods</w:t>
      </w:r>
    </w:p>
    <w:p w14:paraId="7ACB8BC5" w14:textId="1F9FA43C" w:rsidR="00277515" w:rsidRDefault="00000000">
      <w:pPr>
        <w:spacing w:after="160" w:line="320" w:lineRule="auto"/>
        <w:jc w:val="both"/>
      </w:pPr>
      <w:r>
        <w:t>A pragmatic inclusion rule was applied. Interventional trials were included if a registry record, peer-reviewed publication, protocol, or sponsor document confirmed that, within the previous five years</w:t>
      </w:r>
      <w:r w:rsidR="00EA32EB">
        <w:t xml:space="preserve"> (May 1, 2021 to May 1, 2026)</w:t>
      </w:r>
      <w:r>
        <w:t>, the trial incorporated patient preference questions, a patient preference endpoint, exit interviews, or an analogous elicitation exercise within or immediately adjacent to the trial. Trials explicitly cited as recruitment sources for external DCEs, surveys, focus groups, or related preference studies were identified separately.</w:t>
      </w:r>
    </w:p>
    <w:p w14:paraId="6DBE02BE" w14:textId="1F3D7497" w:rsidR="00277515" w:rsidRDefault="00F56D15">
      <w:pPr>
        <w:spacing w:after="160" w:line="320" w:lineRule="auto"/>
        <w:jc w:val="both"/>
      </w:pPr>
      <w:r w:rsidRPr="00F56D15">
        <w:t>Public clinical-trial registries and the peer-reviewed literature were searched in parallel. ClinicalTrials.gov records and their linked publications were the primary sources, supplemented by PubMed and PMC searches for qualitative substudies, which are often reported only in publication</w:t>
      </w:r>
      <w:r w:rsidR="00000000">
        <w:t>s. ANZCTR, ISRCTN, and CTIS/EudraCT-linked records were consulted where additional trial identifiers or protocol context were available. Sponsor protocols were reviewed when surfaced directly through registry records. A licensed Embase interface was not queried directly</w:t>
      </w:r>
      <w:r w:rsidR="00EA32EB">
        <w:t xml:space="preserve">. </w:t>
      </w:r>
      <w:r w:rsidR="00000000">
        <w:t>Embase-indexed materials surfaced through other public pages were treated as supportive rather than primary evidence.</w:t>
      </w:r>
    </w:p>
    <w:p w14:paraId="2D7C2EBB" w14:textId="6397F947" w:rsidR="00277515" w:rsidRDefault="00000000">
      <w:pPr>
        <w:spacing w:after="160" w:line="320" w:lineRule="auto"/>
        <w:jc w:val="both"/>
      </w:pPr>
      <w:r>
        <w:lastRenderedPageBreak/>
        <w:t xml:space="preserve">Search terms and concepts included combinations of </w:t>
      </w:r>
      <w:r>
        <w:rPr>
          <w:i/>
          <w:iCs/>
        </w:rPr>
        <w:t>“patient preference,”</w:t>
      </w:r>
      <w:r>
        <w:t xml:space="preserve"> “preference questionnaire,” “patient-reported preference,” “therapy administration satisfaction questionnaire,” “exit interview,” “in-trial interview,” “meaningful change,” “content validity,” “device preference,” “home administration,” “subcutaneous vs intravenous,” “discrete choice experiment,” </w:t>
      </w:r>
      <w:r w:rsidR="00EA32EB">
        <w:t xml:space="preserve">and </w:t>
      </w:r>
      <w:r>
        <w:t>“recruited from trial.</w:t>
      </w:r>
      <w:r w:rsidR="00EA32EB">
        <w:t>”</w:t>
      </w:r>
    </w:p>
    <w:p w14:paraId="10199194" w14:textId="77777777" w:rsidR="00277515" w:rsidRDefault="00000000">
      <w:pPr>
        <w:pStyle w:val="Heading2"/>
      </w:pPr>
      <w:r>
        <w:t>Results</w:t>
      </w:r>
    </w:p>
    <w:p w14:paraId="3FF2A5D8" w14:textId="26A04318" w:rsidR="00277515" w:rsidRDefault="00000000">
      <w:pPr>
        <w:spacing w:after="160" w:line="320" w:lineRule="auto"/>
        <w:jc w:val="both"/>
      </w:pPr>
      <w:r>
        <w:t xml:space="preserve">Embedded preference activities fell into two methodologically distinct families. The first comprised </w:t>
      </w:r>
      <w:r>
        <w:rPr>
          <w:b/>
          <w:bCs/>
        </w:rPr>
        <w:t>formal comparative preference instruments</w:t>
      </w:r>
      <w:r>
        <w:t>, most often deployed in crossover trials in which patients experienced both options before responding to a preference question. PHranceSCa and ProHer are illustrative examples, employing the Patient Preference Questionnaire (PPQ) and, in PHranceSCa, the Therapy Administration Satisfaction Questionnaire (TASQ) to measure route or setting preference following exposure to both alternatives. The apalutamide-versus-enzalutamide trial used a bespoke patient preference questionnaire as its primary endpoint, and more recent oncology studies</w:t>
      </w:r>
      <w:r w:rsidR="00F56D15" w:rsidRPr="00F56D15">
        <w:t>, currently documented</w:t>
      </w:r>
      <w:r w:rsidR="00383BE1">
        <w:t xml:space="preserve"> only </w:t>
      </w:r>
      <w:r w:rsidR="00F56D15" w:rsidRPr="00F56D15">
        <w:t>in their ClinicalTrials.gov records,</w:t>
      </w:r>
      <w:r w:rsidR="00383BE1">
        <w:t xml:space="preserve"> </w:t>
      </w:r>
      <w:r>
        <w:t>have continued this design pattern.</w:t>
      </w:r>
      <w:r>
        <w:rPr>
          <w:color w:val="D85A3F"/>
          <w:sz w:val="16"/>
          <w:szCs w:val="16"/>
          <w:vertAlign w:val="superscript"/>
        </w:rPr>
        <w:t xml:space="preserve"> </w:t>
      </w:r>
      <w:r w:rsidR="004D0494">
        <w:rPr>
          <w:color w:val="D85A3F"/>
          <w:sz w:val="16"/>
          <w:szCs w:val="16"/>
          <w:vertAlign w:val="superscript"/>
        </w:rPr>
        <w:t>[3]</w:t>
      </w:r>
    </w:p>
    <w:p w14:paraId="5AD12975" w14:textId="16C27944" w:rsidR="00277515" w:rsidRDefault="00000000">
      <w:pPr>
        <w:spacing w:after="160" w:line="320" w:lineRule="auto"/>
        <w:jc w:val="both"/>
      </w:pPr>
      <w:r>
        <w:t xml:space="preserve">The second family relied on </w:t>
      </w:r>
      <w:r>
        <w:rPr>
          <w:b/>
          <w:bCs/>
        </w:rPr>
        <w:t>qualitative exit interviews</w:t>
      </w:r>
      <w:r>
        <w:t xml:space="preserve"> as exploratory evidence. These substudies were rarely the principal driver of the parent efficacy trial; rather, they were used to </w:t>
      </w:r>
      <w:r w:rsidR="00EA32EB">
        <w:t>contextualize</w:t>
      </w:r>
      <w:r>
        <w:t xml:space="preserve"> symptom or impact change, evaluate treatment satisfaction, confirm content validity of PRO instruments, or establish meaningful-change thresholds. The pattern is observable in </w:t>
      </w:r>
      <w:r w:rsidR="00EA32EB">
        <w:t>hemophilia</w:t>
      </w:r>
      <w:r>
        <w:t xml:space="preserve"> A, atopic dermatitis, Crohn’s disease, obstructive sleep </w:t>
      </w:r>
      <w:r w:rsidR="00EA32EB">
        <w:t>apnea</w:t>
      </w:r>
      <w:r>
        <w:t xml:space="preserve">, tenosynovial giant cell </w:t>
      </w:r>
      <w:r w:rsidR="00EA32EB">
        <w:t>tumor</w:t>
      </w:r>
      <w:r>
        <w:t>, pulmonary arterial hypertension, obesity, autism spectrum disorder, and acne-associated hyperpigmentation.</w:t>
      </w:r>
      <w:r>
        <w:rPr>
          <w:color w:val="D85A3F"/>
          <w:sz w:val="16"/>
          <w:szCs w:val="16"/>
          <w:vertAlign w:val="superscript"/>
        </w:rPr>
        <w:t xml:space="preserve"> </w:t>
      </w:r>
      <w:r w:rsidR="004D0494">
        <w:rPr>
          <w:color w:val="D85A3F"/>
          <w:sz w:val="16"/>
          <w:szCs w:val="16"/>
          <w:vertAlign w:val="superscript"/>
        </w:rPr>
        <w:t>[4]</w:t>
      </w:r>
    </w:p>
    <w:p w14:paraId="25304D1D" w14:textId="1CB91323" w:rsidR="00277515" w:rsidRDefault="00000000">
      <w:pPr>
        <w:spacing w:after="160" w:line="320" w:lineRule="auto"/>
        <w:jc w:val="both"/>
      </w:pPr>
      <w:r>
        <w:t xml:space="preserve">Timing was strongly patterned. In trials with explicit preference endpoints, data were typically collected </w:t>
      </w:r>
      <w:r>
        <w:rPr>
          <w:i/>
          <w:iCs/>
        </w:rPr>
        <w:t>after both administration modes had been experienced</w:t>
      </w:r>
      <w:r>
        <w:t xml:space="preserve">, most commonly at the end of a crossover period. In qualitative exit-interview studies, interviews were generally conducted </w:t>
      </w:r>
      <w:r>
        <w:rPr>
          <w:i/>
          <w:iCs/>
        </w:rPr>
        <w:t>within two to three weeks of treatment completion</w:t>
      </w:r>
      <w:r>
        <w:t>, at or shortly after week 52, or following study exit, in order to minimi</w:t>
      </w:r>
      <w:r w:rsidR="00EA32EB">
        <w:t>z</w:t>
      </w:r>
      <w:r>
        <w:t>e recall bias while permitting reflection across the full treatment period.</w:t>
      </w:r>
      <w:r>
        <w:rPr>
          <w:color w:val="D85A3F"/>
          <w:sz w:val="16"/>
          <w:szCs w:val="16"/>
          <w:vertAlign w:val="superscript"/>
        </w:rPr>
        <w:t xml:space="preserve"> </w:t>
      </w:r>
      <w:r w:rsidR="004D0494">
        <w:rPr>
          <w:color w:val="D85A3F"/>
          <w:sz w:val="16"/>
          <w:szCs w:val="16"/>
          <w:vertAlign w:val="superscript"/>
        </w:rPr>
        <w:t>[5]</w:t>
      </w:r>
    </w:p>
    <w:p w14:paraId="4B3E628C" w14:textId="77777777" w:rsidR="00277515" w:rsidRDefault="00277515">
      <w:pPr>
        <w:sectPr w:rsidR="00277515">
          <w:footerReference w:type="default" r:id="rId13"/>
          <w:pgSz w:w="12240" w:h="15840"/>
          <w:pgMar w:top="1440" w:right="1440" w:bottom="1440" w:left="1440" w:header="708" w:footer="708" w:gutter="0"/>
          <w:cols w:space="720"/>
          <w:docGrid w:linePitch="360"/>
        </w:sectPr>
      </w:pPr>
    </w:p>
    <w:p w14:paraId="33577FEF" w14:textId="77777777" w:rsidR="00277515" w:rsidRDefault="00000000">
      <w:pPr>
        <w:pStyle w:val="Heading2"/>
      </w:pPr>
      <w:r>
        <w:lastRenderedPageBreak/>
        <w:t>Table 1. Trials with embedded preference elicitation</w:t>
      </w:r>
    </w:p>
    <w:p w14:paraId="3ED3BCF4" w14:textId="77777777" w:rsidR="00277515" w:rsidRDefault="00000000">
      <w:pPr>
        <w:spacing w:after="120" w:line="280" w:lineRule="auto"/>
      </w:pPr>
      <w:r>
        <w:rPr>
          <w:i/>
          <w:iCs/>
          <w:color w:val="6B6B6B"/>
          <w:sz w:val="18"/>
          <w:szCs w:val="18"/>
        </w:rPr>
        <w:t>Table 1. Interventional trials with embedded patient preference elicitation, 2021–2026 (deduplicated).</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1361"/>
        <w:gridCol w:w="1473"/>
        <w:gridCol w:w="1487"/>
        <w:gridCol w:w="1964"/>
        <w:gridCol w:w="1392"/>
        <w:gridCol w:w="1997"/>
        <w:gridCol w:w="1294"/>
        <w:gridCol w:w="632"/>
      </w:tblGrid>
      <w:tr w:rsidR="00277515" w14:paraId="1936E516" w14:textId="77777777">
        <w:tblPrEx>
          <w:tblCellMar>
            <w:top w:w="0" w:type="dxa"/>
            <w:bottom w:w="0" w:type="dxa"/>
          </w:tblCellMar>
        </w:tblPrEx>
        <w:trPr>
          <w:tblHeader/>
        </w:trPr>
        <w:tc>
          <w:tcPr>
            <w:tcW w:w="1083"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5C04C145" w14:textId="77777777" w:rsidR="00277515" w:rsidRDefault="00000000">
            <w:pPr>
              <w:spacing w:before="40" w:after="40"/>
            </w:pPr>
            <w:r>
              <w:rPr>
                <w:b/>
                <w:bCs/>
                <w:color w:val="39594D"/>
                <w:spacing w:val="-2"/>
                <w:sz w:val="16"/>
                <w:szCs w:val="16"/>
              </w:rPr>
              <w:t>Registry ID(s)</w:t>
            </w:r>
          </w:p>
        </w:tc>
        <w:tc>
          <w:tcPr>
            <w:tcW w:w="1477"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3D774BBC" w14:textId="77777777" w:rsidR="00277515" w:rsidRDefault="00000000">
            <w:pPr>
              <w:spacing w:before="40" w:after="40"/>
            </w:pPr>
            <w:r>
              <w:rPr>
                <w:b/>
                <w:bCs/>
                <w:color w:val="39594D"/>
                <w:spacing w:val="-2"/>
                <w:sz w:val="16"/>
                <w:szCs w:val="16"/>
              </w:rPr>
              <w:t>Trial</w:t>
            </w:r>
          </w:p>
        </w:tc>
        <w:tc>
          <w:tcPr>
            <w:tcW w:w="1477"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24A132B5" w14:textId="77777777" w:rsidR="00277515" w:rsidRDefault="00000000">
            <w:pPr>
              <w:spacing w:before="40" w:after="40"/>
            </w:pPr>
            <w:r>
              <w:rPr>
                <w:b/>
                <w:bCs/>
                <w:color w:val="39594D"/>
                <w:spacing w:val="-2"/>
                <w:sz w:val="16"/>
                <w:szCs w:val="16"/>
              </w:rPr>
              <w:t>Sponsor</w:t>
            </w:r>
          </w:p>
        </w:tc>
        <w:tc>
          <w:tcPr>
            <w:tcW w:w="1674"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57230133" w14:textId="77777777" w:rsidR="00277515" w:rsidRDefault="00000000">
            <w:pPr>
              <w:spacing w:before="40" w:after="40"/>
            </w:pPr>
            <w:r>
              <w:rPr>
                <w:b/>
                <w:bCs/>
                <w:color w:val="39594D"/>
                <w:spacing w:val="-2"/>
                <w:sz w:val="16"/>
                <w:szCs w:val="16"/>
              </w:rPr>
              <w:t>Dates</w:t>
            </w:r>
          </w:p>
        </w:tc>
        <w:tc>
          <w:tcPr>
            <w:tcW w:w="1674"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74F1EB40" w14:textId="77777777" w:rsidR="00277515" w:rsidRDefault="00000000">
            <w:pPr>
              <w:spacing w:before="40" w:after="40"/>
            </w:pPr>
            <w:r>
              <w:rPr>
                <w:b/>
                <w:bCs/>
                <w:color w:val="39594D"/>
                <w:spacing w:val="-2"/>
                <w:sz w:val="16"/>
                <w:szCs w:val="16"/>
              </w:rPr>
              <w:t>Indication / phase / intervention</w:t>
            </w:r>
          </w:p>
        </w:tc>
        <w:tc>
          <w:tcPr>
            <w:tcW w:w="1477"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7FDADB66" w14:textId="77777777" w:rsidR="00277515" w:rsidRDefault="00000000">
            <w:pPr>
              <w:spacing w:before="40" w:after="40"/>
            </w:pPr>
            <w:r>
              <w:rPr>
                <w:b/>
                <w:bCs/>
                <w:color w:val="39594D"/>
                <w:spacing w:val="-2"/>
                <w:sz w:val="16"/>
                <w:szCs w:val="16"/>
              </w:rPr>
              <w:t>Sites and sample size</w:t>
            </w:r>
          </w:p>
        </w:tc>
        <w:tc>
          <w:tcPr>
            <w:tcW w:w="2324"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0A1FE081" w14:textId="77777777" w:rsidR="00277515" w:rsidRDefault="00000000">
            <w:pPr>
              <w:spacing w:before="40" w:after="40"/>
            </w:pPr>
            <w:r>
              <w:rPr>
                <w:b/>
                <w:bCs/>
                <w:color w:val="39594D"/>
                <w:spacing w:val="-2"/>
                <w:sz w:val="16"/>
                <w:szCs w:val="16"/>
              </w:rPr>
              <w:t>Preference component</w:t>
            </w:r>
          </w:p>
        </w:tc>
        <w:tc>
          <w:tcPr>
            <w:tcW w:w="1083"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03F45F80" w14:textId="77777777" w:rsidR="00277515" w:rsidRDefault="00000000">
            <w:pPr>
              <w:spacing w:before="40" w:after="40"/>
            </w:pPr>
            <w:r>
              <w:rPr>
                <w:b/>
                <w:bCs/>
                <w:color w:val="39594D"/>
                <w:spacing w:val="-2"/>
                <w:sz w:val="16"/>
                <w:szCs w:val="16"/>
              </w:rPr>
              <w:t>Timing of data collection</w:t>
            </w:r>
          </w:p>
        </w:tc>
        <w:tc>
          <w:tcPr>
            <w:tcW w:w="691" w:type="dxa"/>
            <w:tcBorders>
              <w:top w:val="single" w:sz="4" w:space="0" w:color="E8DFD3"/>
              <w:left w:val="single" w:sz="4" w:space="0" w:color="E8DFD3"/>
              <w:bottom w:val="single" w:sz="12" w:space="0" w:color="FF7759"/>
              <w:right w:val="single" w:sz="4" w:space="0" w:color="E8DFD3"/>
            </w:tcBorders>
            <w:shd w:val="clear" w:color="auto" w:fill="FAF6F1"/>
            <w:tcMar>
              <w:top w:w="100" w:type="dxa"/>
              <w:left w:w="140" w:type="dxa"/>
              <w:bottom w:w="100" w:type="dxa"/>
              <w:right w:w="140" w:type="dxa"/>
            </w:tcMar>
          </w:tcPr>
          <w:p w14:paraId="51007289" w14:textId="77777777" w:rsidR="00277515" w:rsidRDefault="00000000">
            <w:pPr>
              <w:spacing w:before="40" w:after="40"/>
            </w:pPr>
            <w:r>
              <w:rPr>
                <w:b/>
                <w:bCs/>
                <w:color w:val="39594D"/>
                <w:spacing w:val="-2"/>
                <w:sz w:val="16"/>
                <w:szCs w:val="16"/>
              </w:rPr>
              <w:t>Ref.</w:t>
            </w:r>
          </w:p>
        </w:tc>
      </w:tr>
      <w:tr w:rsidR="00277515" w14:paraId="1CD881AE" w14:textId="77777777">
        <w:tblPrEx>
          <w:tblCellMar>
            <w:top w:w="0" w:type="dxa"/>
            <w:bottom w:w="0" w:type="dxa"/>
          </w:tblCellMar>
        </w:tblPrEx>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9FF455F" w14:textId="77777777" w:rsidR="00277515" w:rsidRDefault="00000000">
            <w:r>
              <w:rPr>
                <w:sz w:val="16"/>
                <w:szCs w:val="16"/>
              </w:rPr>
              <w:t>NCT03674112</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1153930" w14:textId="77777777" w:rsidR="00277515" w:rsidRDefault="00000000">
            <w:r>
              <w:rPr>
                <w:sz w:val="16"/>
                <w:szCs w:val="16"/>
              </w:rPr>
              <w:t>PHranceSCa</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63F9A97" w14:textId="77777777" w:rsidR="00277515" w:rsidRDefault="00000000">
            <w:r>
              <w:rPr>
                <w:sz w:val="16"/>
                <w:szCs w:val="16"/>
              </w:rPr>
              <w:t>Hoffmann-La Roche</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11A5684" w14:textId="77777777" w:rsidR="00277515" w:rsidRDefault="00000000">
            <w:r>
              <w:rPr>
                <w:sz w:val="16"/>
                <w:szCs w:val="16"/>
              </w:rPr>
              <w:t>Started 19 Dec 2018; completed 12 Oct 2022.</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A75EC1F" w14:textId="77777777" w:rsidR="00277515" w:rsidRDefault="00000000">
            <w:r>
              <w:rPr>
                <w:sz w:val="16"/>
                <w:szCs w:val="16"/>
              </w:rPr>
              <w:t>HER2-positive early breast cancer; Phase 2; pertuzumab + trastuzumab fixed-dose subcutaneous (SC) versus intravenous (IV).</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8F01B2F" w14:textId="77777777" w:rsidR="00277515" w:rsidRDefault="00000000">
            <w:r>
              <w:rPr>
                <w:sz w:val="16"/>
                <w:szCs w:val="16"/>
              </w:rPr>
              <w:t>Multinational crossover; n = 160.</w:t>
            </w:r>
          </w:p>
        </w:tc>
        <w:tc>
          <w:tcPr>
            <w:tcW w:w="232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E4F9D35" w14:textId="77777777" w:rsidR="00277515" w:rsidRDefault="00000000">
            <w:r>
              <w:rPr>
                <w:sz w:val="16"/>
                <w:szCs w:val="16"/>
              </w:rPr>
              <w:t>Primary: PPQ Q1 (“All things considered, which method of administration did you prefer?”; options: IV, SC, no preference). Secondary: PPQ strength/reasons; TASQ-IV/TASQ-SC, 12 items across satisfaction, physical impact, psychological impact, ADL impact, and convenience.</w:t>
            </w:r>
          </w:p>
        </w:tc>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F4EF0DD" w14:textId="77777777" w:rsidR="00277515" w:rsidRDefault="00000000">
            <w:r>
              <w:rPr>
                <w:sz w:val="16"/>
                <w:szCs w:val="16"/>
              </w:rPr>
              <w:t>PPQ at Cycle 6 Day 1; TASQ at Cycles 3 and 6.</w:t>
            </w:r>
          </w:p>
        </w:tc>
        <w:tc>
          <w:tcPr>
            <w:tcW w:w="691"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27B3CCF" w14:textId="1D6F6CF2" w:rsidR="00277515" w:rsidRDefault="00383BE1">
            <w:hyperlink r:id="rId14" w:history="1">
              <w:r w:rsidR="004D0494">
                <w:rPr>
                  <w:rStyle w:val="Hyperlink"/>
                  <w:sz w:val="16"/>
                  <w:szCs w:val="16"/>
                </w:rPr>
                <w:t>6</w:t>
              </w:r>
            </w:hyperlink>
          </w:p>
        </w:tc>
      </w:tr>
      <w:tr w:rsidR="00277515" w14:paraId="6D7B25E4" w14:textId="77777777">
        <w:tblPrEx>
          <w:tblCellMar>
            <w:top w:w="0" w:type="dxa"/>
            <w:bottom w:w="0" w:type="dxa"/>
          </w:tblCellMar>
        </w:tblPrEx>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8F3B7B1" w14:textId="77777777" w:rsidR="00277515" w:rsidRDefault="00000000">
            <w:r>
              <w:rPr>
                <w:sz w:val="16"/>
                <w:szCs w:val="16"/>
              </w:rPr>
              <w:t>NCT05415215</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8DAE614" w14:textId="77777777" w:rsidR="00277515" w:rsidRDefault="00000000">
            <w:r>
              <w:rPr>
                <w:sz w:val="16"/>
                <w:szCs w:val="16"/>
              </w:rPr>
              <w:t>ProHer</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0B972DF" w14:textId="77777777" w:rsidR="00277515" w:rsidRDefault="00000000">
            <w:r>
              <w:rPr>
                <w:sz w:val="16"/>
                <w:szCs w:val="16"/>
              </w:rPr>
              <w:t>Hoffmann-La Roche</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578942D" w14:textId="77777777" w:rsidR="00277515" w:rsidRDefault="00000000">
            <w:r>
              <w:rPr>
                <w:sz w:val="16"/>
                <w:szCs w:val="16"/>
              </w:rPr>
              <w:t>Started 5 Jul 2022; primary completion 20 Nov 2024; completion 7 Nov 2025.</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DD960E8" w14:textId="77777777" w:rsidR="00277515" w:rsidRDefault="00000000">
            <w:r>
              <w:rPr>
                <w:sz w:val="16"/>
                <w:szCs w:val="16"/>
              </w:rPr>
              <w:t>Early or locally advanced/inflammatory HER2-positive breast cancer; Phase 3b; pertuzumab–trastuzumab fixed-dose SC, hospital versus home administration.</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767926C" w14:textId="77777777" w:rsidR="00277515" w:rsidRDefault="00000000">
            <w:r>
              <w:rPr>
                <w:sz w:val="16"/>
                <w:szCs w:val="16"/>
              </w:rPr>
              <w:t>Multinational, multicentre; sample size not surfaced in indexed snippets.</w:t>
            </w:r>
          </w:p>
        </w:tc>
        <w:tc>
          <w:tcPr>
            <w:tcW w:w="232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B6939E3" w14:textId="77777777" w:rsidR="00277515" w:rsidRDefault="00000000">
            <w:r>
              <w:rPr>
                <w:sz w:val="16"/>
                <w:szCs w:val="16"/>
              </w:rPr>
              <w:t>Primary: PPQ Q1 (“All things considered, which setting for your treatment did you prefer?”; options: hospital, home, no preference). Q2 strength of preference; Q3 reasons (less stressful; time and cost saving; feels safe; feels more comfortable; reduces infection risk; can continue treatment; other).</w:t>
            </w:r>
          </w:p>
        </w:tc>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EDE8EA8" w14:textId="77777777" w:rsidR="00277515" w:rsidRDefault="00000000">
            <w:r>
              <w:rPr>
                <w:sz w:val="16"/>
                <w:szCs w:val="16"/>
              </w:rPr>
              <w:t>During the adjuvant crossover period, up to approximately 7.8 months.</w:t>
            </w:r>
          </w:p>
        </w:tc>
        <w:tc>
          <w:tcPr>
            <w:tcW w:w="691"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B13B106" w14:textId="58315E3A" w:rsidR="00277515" w:rsidRDefault="00383BE1">
            <w:hyperlink r:id="rId15" w:history="1">
              <w:r w:rsidR="004D0494">
                <w:rPr>
                  <w:rStyle w:val="Hyperlink"/>
                  <w:sz w:val="16"/>
                  <w:szCs w:val="16"/>
                </w:rPr>
                <w:t>7</w:t>
              </w:r>
            </w:hyperlink>
          </w:p>
        </w:tc>
      </w:tr>
      <w:tr w:rsidR="00277515" w14:paraId="058B4BEC" w14:textId="77777777">
        <w:tblPrEx>
          <w:tblCellMar>
            <w:top w:w="0" w:type="dxa"/>
            <w:bottom w:w="0" w:type="dxa"/>
          </w:tblCellMar>
        </w:tblPrEx>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94C5EE4" w14:textId="77777777" w:rsidR="00277515" w:rsidRDefault="00000000">
            <w:r>
              <w:rPr>
                <w:sz w:val="16"/>
                <w:szCs w:val="16"/>
              </w:rPr>
              <w:t>NCT06101134</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1E110BE" w14:textId="77777777" w:rsidR="00277515" w:rsidRDefault="00000000">
            <w:r>
              <w:rPr>
                <w:sz w:val="16"/>
                <w:szCs w:val="16"/>
              </w:rPr>
              <w:t>Nivolumab and nivolumab + relatlimab SC vs IV</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24C208A" w14:textId="77777777" w:rsidR="00277515" w:rsidRDefault="00000000">
            <w:r>
              <w:rPr>
                <w:sz w:val="16"/>
                <w:szCs w:val="16"/>
              </w:rPr>
              <w:t>Bristol-Myers Squibb</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D892DF6" w14:textId="77777777" w:rsidR="00277515" w:rsidRDefault="00000000">
            <w:r>
              <w:rPr>
                <w:sz w:val="16"/>
                <w:szCs w:val="16"/>
              </w:rPr>
              <w:t>Started 6 Nov 2023; primary completion 10 Apr 2025; estimated completion 31 Aug 2027.</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2B542C9" w14:textId="77777777" w:rsidR="00277515" w:rsidRDefault="00000000">
            <w:r>
              <w:rPr>
                <w:sz w:val="16"/>
                <w:szCs w:val="16"/>
              </w:rPr>
              <w:t>Melanoma; Phase 2; nivolumab SC versus IV, and nivolumab + relatlimab fixed-dose SC versus IV.</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ECFDBA1" w14:textId="77777777" w:rsidR="00277515" w:rsidRDefault="00000000">
            <w:r>
              <w:rPr>
                <w:sz w:val="16"/>
                <w:szCs w:val="16"/>
              </w:rPr>
              <w:t>Multicohort study; n = 100.</w:t>
            </w:r>
          </w:p>
        </w:tc>
        <w:tc>
          <w:tcPr>
            <w:tcW w:w="232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7299BB0" w14:textId="77777777" w:rsidR="00277515" w:rsidRDefault="00000000">
            <w:r>
              <w:rPr>
                <w:sz w:val="16"/>
                <w:szCs w:val="16"/>
              </w:rPr>
              <w:t xml:space="preserve">Registry frames the objective as assessing patient preference and generating patient experience data by route of administration. Exact PPQ wording was not publicly </w:t>
            </w:r>
            <w:r>
              <w:rPr>
                <w:sz w:val="16"/>
                <w:szCs w:val="16"/>
              </w:rPr>
              <w:lastRenderedPageBreak/>
              <w:t>surfaced in indexed sources.</w:t>
            </w:r>
          </w:p>
        </w:tc>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2466D81" w14:textId="77777777" w:rsidR="00277515" w:rsidRDefault="00000000">
            <w:r>
              <w:rPr>
                <w:sz w:val="16"/>
                <w:szCs w:val="16"/>
              </w:rPr>
              <w:lastRenderedPageBreak/>
              <w:t>Not yet reported in detail.</w:t>
            </w:r>
          </w:p>
        </w:tc>
        <w:tc>
          <w:tcPr>
            <w:tcW w:w="691"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2E3BB0A" w14:textId="516EAD5D" w:rsidR="00277515" w:rsidRDefault="00383BE1">
            <w:hyperlink r:id="rId16" w:history="1">
              <w:r w:rsidR="004D0494">
                <w:rPr>
                  <w:rStyle w:val="Hyperlink"/>
                  <w:sz w:val="16"/>
                  <w:szCs w:val="16"/>
                </w:rPr>
                <w:t>8</w:t>
              </w:r>
            </w:hyperlink>
          </w:p>
        </w:tc>
      </w:tr>
      <w:tr w:rsidR="00277515" w14:paraId="6AA0DDBF" w14:textId="77777777">
        <w:tblPrEx>
          <w:tblCellMar>
            <w:top w:w="0" w:type="dxa"/>
            <w:bottom w:w="0" w:type="dxa"/>
          </w:tblCellMar>
        </w:tblPrEx>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BEC55AE" w14:textId="77777777" w:rsidR="00277515" w:rsidRDefault="00000000">
            <w:r>
              <w:rPr>
                <w:sz w:val="16"/>
                <w:szCs w:val="16"/>
              </w:rPr>
              <w:t>NCT04161495</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49FCFD9" w14:textId="77777777" w:rsidR="00277515" w:rsidRDefault="00000000">
            <w:r>
              <w:rPr>
                <w:sz w:val="16"/>
                <w:szCs w:val="16"/>
              </w:rPr>
              <w:t>XTEND-1</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1F5974A" w14:textId="77777777" w:rsidR="00277515" w:rsidRDefault="00000000">
            <w:r>
              <w:rPr>
                <w:sz w:val="16"/>
                <w:szCs w:val="16"/>
              </w:rPr>
              <w:t>Sanofi / Sobi</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5B9DB76" w14:textId="77777777" w:rsidR="00277515" w:rsidRDefault="00000000">
            <w:r>
              <w:rPr>
                <w:sz w:val="16"/>
                <w:szCs w:val="16"/>
              </w:rPr>
              <w:t>Registry posted 13 Nov 2019; results posted 24 May 2023.</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624EEB8" w14:textId="77777777" w:rsidR="00277515" w:rsidRDefault="00000000">
            <w:r>
              <w:rPr>
                <w:sz w:val="16"/>
                <w:szCs w:val="16"/>
              </w:rPr>
              <w:t>Severe haemophilia A; Phase 3; once-weekly efanesoctocog alfa prophylaxis.</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1E6F32C" w14:textId="77777777" w:rsidR="00277515" w:rsidRDefault="00000000">
            <w:r>
              <w:rPr>
                <w:sz w:val="16"/>
                <w:szCs w:val="16"/>
              </w:rPr>
              <w:t>Global parent trial; 159 enrolled, 29 interviewed.</w:t>
            </w:r>
          </w:p>
        </w:tc>
        <w:tc>
          <w:tcPr>
            <w:tcW w:w="232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40B88CB" w14:textId="77777777" w:rsidR="00277515" w:rsidRDefault="00000000">
            <w:r>
              <w:rPr>
                <w:sz w:val="16"/>
                <w:szCs w:val="16"/>
              </w:rPr>
              <w:t>Exploratory qualitative exit interviews using a semi-structured guide on pre- and post-study experience, treatment experience, and targeted discussion of Haem-A-QoL Physical Health and PROMIS Pain Intensity 3a (especially the worst-pain item).</w:t>
            </w:r>
          </w:p>
        </w:tc>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98BBB39" w14:textId="77777777" w:rsidR="00277515" w:rsidRDefault="00000000">
            <w:r>
              <w:rPr>
                <w:sz w:val="16"/>
                <w:szCs w:val="16"/>
              </w:rPr>
              <w:t>Following study completion, in an optional subset.</w:t>
            </w:r>
          </w:p>
        </w:tc>
        <w:tc>
          <w:tcPr>
            <w:tcW w:w="691"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09A4DA0" w14:textId="556BB0D8" w:rsidR="00277515" w:rsidRDefault="00383BE1">
            <w:hyperlink r:id="rId17" w:history="1">
              <w:r w:rsidR="004D0494">
                <w:rPr>
                  <w:rStyle w:val="Hyperlink"/>
                  <w:sz w:val="16"/>
                  <w:szCs w:val="16"/>
                </w:rPr>
                <w:t>9</w:t>
              </w:r>
            </w:hyperlink>
          </w:p>
        </w:tc>
      </w:tr>
      <w:tr w:rsidR="00277515" w14:paraId="4239BB46" w14:textId="77777777">
        <w:tblPrEx>
          <w:tblCellMar>
            <w:top w:w="0" w:type="dxa"/>
            <w:bottom w:w="0" w:type="dxa"/>
          </w:tblCellMar>
        </w:tblPrEx>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867D482" w14:textId="77777777" w:rsidR="00277515" w:rsidRDefault="00000000">
            <w:r>
              <w:rPr>
                <w:sz w:val="16"/>
                <w:szCs w:val="16"/>
              </w:rPr>
              <w:t>NCT03985943</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2505D31" w14:textId="77777777" w:rsidR="00277515" w:rsidRDefault="00000000">
            <w:r>
              <w:rPr>
                <w:sz w:val="16"/>
                <w:szCs w:val="16"/>
              </w:rPr>
              <w:t>ARCADIA</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013CBBC" w14:textId="77777777" w:rsidR="00277515" w:rsidRDefault="00000000">
            <w:r>
              <w:rPr>
                <w:sz w:val="16"/>
                <w:szCs w:val="16"/>
              </w:rPr>
              <w:t>Galderma R&amp;D</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27BC835" w14:textId="77777777" w:rsidR="00277515" w:rsidRDefault="00000000">
            <w:r>
              <w:rPr>
                <w:sz w:val="16"/>
                <w:szCs w:val="16"/>
              </w:rPr>
              <w:t>Started 27 Jun 2019; primary completion 29 Dec 2021; completion 11 Aug 2022.</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1BC9317" w14:textId="77777777" w:rsidR="00277515" w:rsidRDefault="00000000">
            <w:r>
              <w:rPr>
                <w:sz w:val="16"/>
                <w:szCs w:val="16"/>
              </w:rPr>
              <w:t>Moderate-to-severe atopic dermatitis; Phase 3; nemolizumab versus placebo.</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A639A2C" w14:textId="77777777" w:rsidR="00277515" w:rsidRDefault="00000000">
            <w:r>
              <w:rPr>
                <w:sz w:val="16"/>
                <w:szCs w:val="16"/>
              </w:rPr>
              <w:t>174 locations; n = 941. Interview substudy at sites in Canada, Australia, Great Britain, and the USA.</w:t>
            </w:r>
          </w:p>
        </w:tc>
        <w:tc>
          <w:tcPr>
            <w:tcW w:w="232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A1E4208" w14:textId="77777777" w:rsidR="00277515" w:rsidRDefault="00000000">
            <w:r>
              <w:rPr>
                <w:sz w:val="16"/>
                <w:szCs w:val="16"/>
              </w:rPr>
              <w:t>Exploratory in-trial interview substudy: blinded telephone interviews using a semi-structured guide on pre-trial symptoms/impacts, during-trial change, alignment with expectations, helpfulness, and willingness to recommend.</w:t>
            </w:r>
          </w:p>
        </w:tc>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5D801A6" w14:textId="77777777" w:rsidR="00277515" w:rsidRDefault="00000000">
            <w:r>
              <w:rPr>
                <w:sz w:val="16"/>
                <w:szCs w:val="16"/>
              </w:rPr>
              <w:t>Within 2 weeks of treatment completion.</w:t>
            </w:r>
          </w:p>
        </w:tc>
        <w:tc>
          <w:tcPr>
            <w:tcW w:w="691"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AC427DB" w14:textId="79F95F6C" w:rsidR="00277515" w:rsidRDefault="00383BE1">
            <w:hyperlink r:id="rId18" w:history="1">
              <w:r w:rsidR="004D0494">
                <w:rPr>
                  <w:rStyle w:val="Hyperlink"/>
                  <w:sz w:val="16"/>
                  <w:szCs w:val="16"/>
                </w:rPr>
                <w:t>10</w:t>
              </w:r>
            </w:hyperlink>
          </w:p>
        </w:tc>
      </w:tr>
      <w:tr w:rsidR="00277515" w14:paraId="34D33073" w14:textId="77777777">
        <w:tblPrEx>
          <w:tblCellMar>
            <w:top w:w="0" w:type="dxa"/>
            <w:bottom w:w="0" w:type="dxa"/>
          </w:tblCellMar>
        </w:tblPrEx>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BD2478B" w14:textId="77777777" w:rsidR="00277515" w:rsidRDefault="00000000">
            <w:r>
              <w:rPr>
                <w:sz w:val="16"/>
                <w:szCs w:val="16"/>
              </w:rPr>
              <w:t>NCT03987919, NCT03882970</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D0F748B" w14:textId="77777777" w:rsidR="00277515" w:rsidRDefault="00000000">
            <w:r>
              <w:rPr>
                <w:sz w:val="16"/>
                <w:szCs w:val="16"/>
              </w:rPr>
              <w:t>SURPASS-2 and SURPASS-3 pooled exit-interview substudy</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4F6B231" w14:textId="77777777" w:rsidR="00277515" w:rsidRDefault="00000000">
            <w:r>
              <w:rPr>
                <w:sz w:val="16"/>
                <w:szCs w:val="16"/>
              </w:rPr>
              <w:t>Eli Lilly and Company</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71ED666" w14:textId="77777777" w:rsidR="00277515" w:rsidRDefault="00000000">
            <w:r>
              <w:rPr>
                <w:sz w:val="16"/>
                <w:szCs w:val="16"/>
              </w:rPr>
              <w:t>SURPASS-2 started 30 Jul 2019; completed 15 Feb 2021. SURPASS-3 registry details not re-extracted.</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513BD4D" w14:textId="77777777" w:rsidR="00277515" w:rsidRDefault="00000000">
            <w:r>
              <w:rPr>
                <w:sz w:val="16"/>
                <w:szCs w:val="16"/>
              </w:rPr>
              <w:t>Type 2 diabetes; Phase 3; tirzepatide in SURPASS-2 and SURPASS-3.</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152204B" w14:textId="77777777" w:rsidR="00277515" w:rsidRDefault="00000000">
            <w:r>
              <w:rPr>
                <w:sz w:val="16"/>
                <w:szCs w:val="16"/>
              </w:rPr>
              <w:t>SURPASS-2 n = 1,879; pooled interview substudy n = 28.</w:t>
            </w:r>
          </w:p>
        </w:tc>
        <w:tc>
          <w:tcPr>
            <w:tcW w:w="232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6ADB79D" w14:textId="77777777" w:rsidR="00277515" w:rsidRDefault="00000000">
            <w:r>
              <w:rPr>
                <w:sz w:val="16"/>
                <w:szCs w:val="16"/>
              </w:rPr>
              <w:t>Exploratory qualitative exit interviews conducted by telephone using a semi-structured guide, capturing treatment benefits, downsides, and overall patient experience.</w:t>
            </w:r>
          </w:p>
        </w:tc>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169B7C2" w14:textId="77777777" w:rsidR="00277515" w:rsidRDefault="00000000">
            <w:r>
              <w:rPr>
                <w:sz w:val="16"/>
                <w:szCs w:val="16"/>
              </w:rPr>
              <w:t>Soon after trial completion.</w:t>
            </w:r>
          </w:p>
        </w:tc>
        <w:tc>
          <w:tcPr>
            <w:tcW w:w="691"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FBB7061" w14:textId="4955C1B8" w:rsidR="00277515" w:rsidRDefault="00383BE1">
            <w:hyperlink r:id="rId19" w:history="1">
              <w:r w:rsidR="004D0494">
                <w:rPr>
                  <w:rStyle w:val="Hyperlink"/>
                  <w:sz w:val="16"/>
                  <w:szCs w:val="16"/>
                </w:rPr>
                <w:t>11</w:t>
              </w:r>
            </w:hyperlink>
          </w:p>
        </w:tc>
      </w:tr>
      <w:tr w:rsidR="00277515" w14:paraId="5138A75A" w14:textId="77777777">
        <w:tblPrEx>
          <w:tblCellMar>
            <w:top w:w="0" w:type="dxa"/>
            <w:bottom w:w="0" w:type="dxa"/>
          </w:tblCellMar>
        </w:tblPrEx>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4F6853E" w14:textId="77777777" w:rsidR="00277515" w:rsidRDefault="00000000">
            <w:r>
              <w:rPr>
                <w:sz w:val="16"/>
                <w:szCs w:val="16"/>
              </w:rPr>
              <w:t>NCT04881760</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06270B8" w14:textId="77777777" w:rsidR="00277515" w:rsidRDefault="00000000">
            <w:r>
              <w:rPr>
                <w:sz w:val="16"/>
                <w:szCs w:val="16"/>
              </w:rPr>
              <w:t>Retatrutide Phase 2 obesity trial</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B8B0A79" w14:textId="77777777" w:rsidR="00277515" w:rsidRDefault="00000000">
            <w:r>
              <w:rPr>
                <w:sz w:val="16"/>
                <w:szCs w:val="16"/>
              </w:rPr>
              <w:t>Eli Lilly and Company</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01DB6AD" w14:textId="77777777" w:rsidR="00277515" w:rsidRDefault="00000000">
            <w:r>
              <w:rPr>
                <w:sz w:val="16"/>
                <w:szCs w:val="16"/>
              </w:rPr>
              <w:t>Started 20 May 2021; primary completion 16 May 2022; completion 22 Nov 2022.</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EF5C1EC" w14:textId="77777777" w:rsidR="00277515" w:rsidRDefault="00000000">
            <w:r>
              <w:rPr>
                <w:sz w:val="16"/>
                <w:szCs w:val="16"/>
              </w:rPr>
              <w:t>Obesity or overweight with comorbidities; Phase 2; weekly retatrutide versus placebo.</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51D419E" w14:textId="77777777" w:rsidR="00277515" w:rsidRDefault="00000000">
            <w:r>
              <w:rPr>
                <w:sz w:val="16"/>
                <w:szCs w:val="16"/>
              </w:rPr>
              <w:t>28 US sites; n = 338.</w:t>
            </w:r>
          </w:p>
        </w:tc>
        <w:tc>
          <w:tcPr>
            <w:tcW w:w="232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E6B1DCB" w14:textId="147006C9" w:rsidR="00277515" w:rsidRDefault="00000000">
            <w:r>
              <w:rPr>
                <w:sz w:val="16"/>
                <w:szCs w:val="16"/>
              </w:rPr>
              <w:t xml:space="preserve">Exploratory qualitative exit interviews using a semi-structured guide covering eating </w:t>
            </w:r>
            <w:r w:rsidR="00EA32EB">
              <w:rPr>
                <w:sz w:val="16"/>
                <w:szCs w:val="16"/>
              </w:rPr>
              <w:t>behaviors</w:t>
            </w:r>
            <w:r>
              <w:rPr>
                <w:sz w:val="16"/>
                <w:szCs w:val="16"/>
              </w:rPr>
              <w:t xml:space="preserve">, physical aspects, emotions, </w:t>
            </w:r>
            <w:r>
              <w:rPr>
                <w:sz w:val="16"/>
                <w:szCs w:val="16"/>
              </w:rPr>
              <w:lastRenderedPageBreak/>
              <w:t>lifestyle, and goal achievement.</w:t>
            </w:r>
          </w:p>
        </w:tc>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E62D4F5" w14:textId="77777777" w:rsidR="00277515" w:rsidRDefault="00000000">
            <w:r>
              <w:rPr>
                <w:sz w:val="16"/>
                <w:szCs w:val="16"/>
              </w:rPr>
              <w:lastRenderedPageBreak/>
              <w:t xml:space="preserve">At trial exit; the publication notes that many perceived </w:t>
            </w:r>
            <w:r>
              <w:rPr>
                <w:sz w:val="16"/>
                <w:szCs w:val="16"/>
              </w:rPr>
              <w:lastRenderedPageBreak/>
              <w:t>changes occurred within the first 8 weeks.</w:t>
            </w:r>
          </w:p>
        </w:tc>
        <w:tc>
          <w:tcPr>
            <w:tcW w:w="691"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090772C" w14:textId="0DB6BC0F" w:rsidR="00277515" w:rsidRDefault="00383BE1">
            <w:hyperlink r:id="rId20" w:history="1">
              <w:r w:rsidR="004D0494">
                <w:rPr>
                  <w:rStyle w:val="Hyperlink"/>
                  <w:sz w:val="16"/>
                  <w:szCs w:val="16"/>
                </w:rPr>
                <w:t>12</w:t>
              </w:r>
            </w:hyperlink>
          </w:p>
        </w:tc>
      </w:tr>
      <w:tr w:rsidR="00277515" w14:paraId="2BD87ED3" w14:textId="77777777">
        <w:tblPrEx>
          <w:tblCellMar>
            <w:top w:w="0" w:type="dxa"/>
            <w:bottom w:w="0" w:type="dxa"/>
          </w:tblCellMar>
        </w:tblPrEx>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57915C5" w14:textId="77777777" w:rsidR="00277515" w:rsidRDefault="00000000">
            <w:r>
              <w:rPr>
                <w:sz w:val="16"/>
                <w:szCs w:val="16"/>
              </w:rPr>
              <w:t>NCT03715153, NCT03715166</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144D387" w14:textId="77777777" w:rsidR="00277515" w:rsidRDefault="00000000">
            <w:r>
              <w:rPr>
                <w:sz w:val="16"/>
                <w:szCs w:val="16"/>
              </w:rPr>
              <w:t>Bumetanide paired Phase 3 ASD studies</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87394EC" w14:textId="77777777" w:rsidR="00277515" w:rsidRDefault="00000000">
            <w:r>
              <w:rPr>
                <w:sz w:val="16"/>
                <w:szCs w:val="16"/>
              </w:rPr>
              <w:t>Institut de Recherches Internationales Servier</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524E206" w14:textId="77777777" w:rsidR="00277515" w:rsidRDefault="00000000">
            <w:r>
              <w:rPr>
                <w:sz w:val="16"/>
                <w:szCs w:val="16"/>
              </w:rPr>
              <w:t>NCT03715153 first posted 23 Oct 2018; results posted 5 Jun 2023.</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2FFD42D" w14:textId="77777777" w:rsidR="00277515" w:rsidRDefault="00000000">
            <w:r>
              <w:rPr>
                <w:sz w:val="16"/>
                <w:szCs w:val="16"/>
              </w:rPr>
              <w:t>Autism spectrum disorder in young children; Phase 3; oral bumetanide versus placebo.</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B7B8D93" w14:textId="77777777" w:rsidR="00277515" w:rsidRDefault="00000000">
            <w:r>
              <w:rPr>
                <w:sz w:val="16"/>
                <w:szCs w:val="16"/>
              </w:rPr>
              <w:t>NCT03715153 had 50 locations; pooled qualitative publication concerned both Phase 3 trials.</w:t>
            </w:r>
          </w:p>
        </w:tc>
        <w:tc>
          <w:tcPr>
            <w:tcW w:w="232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DF32854" w14:textId="77777777" w:rsidR="00277515" w:rsidRDefault="00000000">
            <w:r>
              <w:rPr>
                <w:sz w:val="16"/>
                <w:szCs w:val="16"/>
              </w:rPr>
              <w:t>Exploratory caregiver exit interviews. Caregivers were interviewed once after pivotal Phase-3 completion and, for continuing participants, again 3 months later, to elicit meaningful symptom/impact changes and what constituted meaningful improvement.</w:t>
            </w:r>
          </w:p>
        </w:tc>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45EF5F6" w14:textId="77777777" w:rsidR="00277515" w:rsidRDefault="00000000">
            <w:r>
              <w:rPr>
                <w:sz w:val="16"/>
                <w:szCs w:val="16"/>
              </w:rPr>
              <w:t>Immediately after completion; optional second interview 3 months later if treatment continued.</w:t>
            </w:r>
          </w:p>
        </w:tc>
        <w:tc>
          <w:tcPr>
            <w:tcW w:w="691"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A0E90DE" w14:textId="1A67613D" w:rsidR="00277515" w:rsidRDefault="00383BE1">
            <w:hyperlink r:id="rId21" w:history="1">
              <w:r w:rsidR="004D0494">
                <w:rPr>
                  <w:rStyle w:val="Hyperlink"/>
                  <w:sz w:val="16"/>
                  <w:szCs w:val="16"/>
                </w:rPr>
                <w:t>13</w:t>
              </w:r>
            </w:hyperlink>
          </w:p>
        </w:tc>
      </w:tr>
      <w:tr w:rsidR="00277515" w14:paraId="203DEE51" w14:textId="77777777">
        <w:tblPrEx>
          <w:tblCellMar>
            <w:top w:w="0" w:type="dxa"/>
            <w:bottom w:w="0" w:type="dxa"/>
          </w:tblCellMar>
        </w:tblPrEx>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B8626E4" w14:textId="77777777" w:rsidR="00277515" w:rsidRDefault="00000000">
            <w:r>
              <w:rPr>
                <w:sz w:val="16"/>
                <w:szCs w:val="16"/>
              </w:rPr>
              <w:t>NCT03926130</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48EC22F" w14:textId="77777777" w:rsidR="00277515" w:rsidRDefault="00000000">
            <w:r>
              <w:rPr>
                <w:sz w:val="16"/>
                <w:szCs w:val="16"/>
              </w:rPr>
              <w:t>VIVID-1</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3BC5840" w14:textId="77777777" w:rsidR="00277515" w:rsidRDefault="00000000">
            <w:r>
              <w:rPr>
                <w:sz w:val="16"/>
                <w:szCs w:val="16"/>
              </w:rPr>
              <w:t>Eli Lilly and Company</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B923430" w14:textId="77777777" w:rsidR="00277515" w:rsidRDefault="00000000">
            <w:r>
              <w:rPr>
                <w:sz w:val="16"/>
                <w:szCs w:val="16"/>
              </w:rPr>
              <w:t>52-week trial; Phase 3 readout published 2024.</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2E90454" w14:textId="77777777" w:rsidR="00277515" w:rsidRDefault="00000000">
            <w:r>
              <w:rPr>
                <w:sz w:val="16"/>
                <w:szCs w:val="16"/>
              </w:rPr>
              <w:t>Moderately to severely active Crohn’s disease; Phase 3; mirikizumab versus placebo and active control.</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0580420" w14:textId="77777777" w:rsidR="00277515" w:rsidRDefault="00000000">
            <w:r>
              <w:rPr>
                <w:sz w:val="16"/>
                <w:szCs w:val="16"/>
              </w:rPr>
              <w:t>Global Phase 3 trial at 324 sites in 33 countries; exit-interview substudy at 34 sites in the USA, Poland, Czech Republic, Australia, Germany, Canada, and the UK; n = 62.</w:t>
            </w:r>
          </w:p>
        </w:tc>
        <w:tc>
          <w:tcPr>
            <w:tcW w:w="232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BA311E5" w14:textId="77777777" w:rsidR="00277515" w:rsidRDefault="00000000">
            <w:r>
              <w:rPr>
                <w:sz w:val="16"/>
                <w:szCs w:val="16"/>
              </w:rPr>
              <w:t>Exploratory exit interviews with cognitive debriefing and meaningful-change elicitation for Urgency NRS, CDAI Stool Frequency, CDAI Abdominal Pain, Patient Global Rating of Severity, and PGIC.</w:t>
            </w:r>
          </w:p>
        </w:tc>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9F268F6" w14:textId="77777777" w:rsidR="00277515" w:rsidRDefault="00000000">
            <w:r>
              <w:rPr>
                <w:sz w:val="16"/>
                <w:szCs w:val="16"/>
              </w:rPr>
              <w:t>Targeted within 3 weeks of the week-52/final visit.</w:t>
            </w:r>
          </w:p>
        </w:tc>
        <w:tc>
          <w:tcPr>
            <w:tcW w:w="691"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3B19F6E" w14:textId="326195AE" w:rsidR="00277515" w:rsidRDefault="00383BE1">
            <w:hyperlink r:id="rId22" w:history="1">
              <w:r w:rsidR="004D0494">
                <w:rPr>
                  <w:rStyle w:val="Hyperlink"/>
                  <w:sz w:val="16"/>
                  <w:szCs w:val="16"/>
                </w:rPr>
                <w:t>14</w:t>
              </w:r>
            </w:hyperlink>
          </w:p>
        </w:tc>
      </w:tr>
      <w:tr w:rsidR="00277515" w14:paraId="13865ADC" w14:textId="77777777">
        <w:tblPrEx>
          <w:tblCellMar>
            <w:top w:w="0" w:type="dxa"/>
            <w:bottom w:w="0" w:type="dxa"/>
          </w:tblCellMar>
        </w:tblPrEx>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2EC6B7A" w14:textId="77777777" w:rsidR="00277515" w:rsidRDefault="00000000">
            <w:r>
              <w:rPr>
                <w:sz w:val="16"/>
                <w:szCs w:val="16"/>
              </w:rPr>
              <w:t>NCT05412004</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2E3D6D3" w14:textId="77777777" w:rsidR="00277515" w:rsidRDefault="00000000">
            <w:r>
              <w:rPr>
                <w:sz w:val="16"/>
                <w:szCs w:val="16"/>
              </w:rPr>
              <w:t>SURMOUNT-OSA</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9B53CA3" w14:textId="77777777" w:rsidR="00277515" w:rsidRDefault="00000000">
            <w:r>
              <w:rPr>
                <w:sz w:val="16"/>
                <w:szCs w:val="16"/>
              </w:rPr>
              <w:t>Eli Lilly and Company</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8E41DD7" w14:textId="77777777" w:rsidR="00277515" w:rsidRDefault="00000000">
            <w:r>
              <w:rPr>
                <w:sz w:val="16"/>
                <w:szCs w:val="16"/>
              </w:rPr>
              <w:t>Publication describes week-52 Phase 3 trials.</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259BF22" w14:textId="77777777" w:rsidR="00277515" w:rsidRDefault="00000000">
            <w:r>
              <w:rPr>
                <w:sz w:val="16"/>
                <w:szCs w:val="16"/>
              </w:rPr>
              <w:t>Moderate-to-severe obstructive sleep apnoea and obesity; Phase 3; tirzepatide versus placebo (one study in PAP-unwilling/unable patients; one in PAP users).</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8066920" w14:textId="77777777" w:rsidR="00277515" w:rsidRDefault="00000000">
            <w:r>
              <w:rPr>
                <w:sz w:val="16"/>
                <w:szCs w:val="16"/>
              </w:rPr>
              <w:t>Exit-interview sample from 11 US sites and 4 German sites; n = 82.</w:t>
            </w:r>
          </w:p>
        </w:tc>
        <w:tc>
          <w:tcPr>
            <w:tcW w:w="232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8FBA813" w14:textId="77777777" w:rsidR="00277515" w:rsidRDefault="00000000">
            <w:r>
              <w:rPr>
                <w:sz w:val="16"/>
                <w:szCs w:val="16"/>
              </w:rPr>
              <w:t>Exploratory exit interviews on symptoms, impacts, sleep quality before and after the trial, meaningfulness of change, satisfaction, and treatment likes/dislikes.</w:t>
            </w:r>
          </w:p>
        </w:tc>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96BA444" w14:textId="77777777" w:rsidR="00277515" w:rsidRDefault="00000000">
            <w:r>
              <w:rPr>
                <w:sz w:val="16"/>
                <w:szCs w:val="16"/>
              </w:rPr>
              <w:t>Recruited during or after the primary outcome visit at week 52; most interviews conducted within 2 weeks of the safety follow-up visit.</w:t>
            </w:r>
          </w:p>
        </w:tc>
        <w:tc>
          <w:tcPr>
            <w:tcW w:w="691"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189837F" w14:textId="5F633A06" w:rsidR="00277515" w:rsidRDefault="00383BE1">
            <w:hyperlink r:id="rId23" w:history="1">
              <w:r w:rsidR="004D0494">
                <w:rPr>
                  <w:rStyle w:val="Hyperlink"/>
                  <w:sz w:val="16"/>
                  <w:szCs w:val="16"/>
                </w:rPr>
                <w:t>15</w:t>
              </w:r>
            </w:hyperlink>
          </w:p>
        </w:tc>
      </w:tr>
      <w:tr w:rsidR="00277515" w14:paraId="5BF8ED27" w14:textId="77777777">
        <w:tblPrEx>
          <w:tblCellMar>
            <w:top w:w="0" w:type="dxa"/>
            <w:bottom w:w="0" w:type="dxa"/>
          </w:tblCellMar>
        </w:tblPrEx>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458547C" w14:textId="77777777" w:rsidR="00277515" w:rsidRDefault="00000000">
            <w:r>
              <w:rPr>
                <w:sz w:val="16"/>
                <w:szCs w:val="16"/>
              </w:rPr>
              <w:lastRenderedPageBreak/>
              <w:t>NCT03950739</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BADDE9E" w14:textId="77777777" w:rsidR="00277515" w:rsidRDefault="00000000">
            <w:r>
              <w:rPr>
                <w:sz w:val="16"/>
                <w:szCs w:val="16"/>
              </w:rPr>
              <w:t>BREEZE</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8423320" w14:textId="77777777" w:rsidR="00277515" w:rsidRDefault="00000000">
            <w:r>
              <w:rPr>
                <w:sz w:val="16"/>
                <w:szCs w:val="16"/>
              </w:rPr>
              <w:t>United Therapeutics</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EAFF4B7" w14:textId="77777777" w:rsidR="00277515" w:rsidRDefault="00000000">
            <w:r>
              <w:rPr>
                <w:sz w:val="16"/>
                <w:szCs w:val="16"/>
              </w:rPr>
              <w:t>Published 2022.</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6F4C031E" w14:textId="77777777" w:rsidR="00277515" w:rsidRDefault="00000000">
            <w:r>
              <w:rPr>
                <w:sz w:val="16"/>
                <w:szCs w:val="16"/>
              </w:rPr>
              <w:t>Pulmonary arterial hypertension; open-label switch study; treprostinil inhalation solution switched to treprostinil inhalation powder.</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22092A7" w14:textId="77777777" w:rsidR="00277515" w:rsidRDefault="00000000">
            <w:r>
              <w:rPr>
                <w:sz w:val="16"/>
                <w:szCs w:val="16"/>
              </w:rPr>
              <w:t>n = 51.</w:t>
            </w:r>
          </w:p>
        </w:tc>
        <w:tc>
          <w:tcPr>
            <w:tcW w:w="232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6A6FB24" w14:textId="77777777" w:rsidR="00277515" w:rsidRDefault="00000000">
            <w:r>
              <w:rPr>
                <w:sz w:val="16"/>
                <w:szCs w:val="16"/>
              </w:rPr>
              <w:t>Secondary device preference and satisfaction via the Preference Questionnaire for Inhaled Treprostinil Devices (12 statements with 5-point Likert responses); PAH-SYMPACT also used.</w:t>
            </w:r>
          </w:p>
        </w:tc>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EFD7231" w14:textId="77777777" w:rsidR="00277515" w:rsidRDefault="00000000">
            <w:r>
              <w:rPr>
                <w:sz w:val="16"/>
                <w:szCs w:val="16"/>
              </w:rPr>
              <w:t>Baseline on inhalation solution and Week 3 on dry-powder inhaler.</w:t>
            </w:r>
          </w:p>
        </w:tc>
        <w:tc>
          <w:tcPr>
            <w:tcW w:w="691"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C127AAC" w14:textId="375977D2" w:rsidR="00277515" w:rsidRDefault="00383BE1">
            <w:hyperlink r:id="rId24" w:history="1">
              <w:r w:rsidR="004D0494">
                <w:rPr>
                  <w:rStyle w:val="Hyperlink"/>
                  <w:sz w:val="16"/>
                  <w:szCs w:val="16"/>
                </w:rPr>
                <w:t>16</w:t>
              </w:r>
            </w:hyperlink>
          </w:p>
        </w:tc>
      </w:tr>
      <w:tr w:rsidR="00277515" w14:paraId="09347A76" w14:textId="77777777">
        <w:tblPrEx>
          <w:tblCellMar>
            <w:top w:w="0" w:type="dxa"/>
            <w:bottom w:w="0" w:type="dxa"/>
          </w:tblCellMar>
        </w:tblPrEx>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7AED4BF" w14:textId="77777777" w:rsidR="00277515" w:rsidRDefault="00000000">
            <w:r>
              <w:rPr>
                <w:sz w:val="16"/>
                <w:szCs w:val="16"/>
              </w:rPr>
              <w:t>NCT05059262</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9248C97" w14:textId="77777777" w:rsidR="00277515" w:rsidRDefault="00000000">
            <w:r>
              <w:rPr>
                <w:sz w:val="16"/>
                <w:szCs w:val="16"/>
              </w:rPr>
              <w:t>MOTION</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A32313B" w14:textId="7EF32C73" w:rsidR="00277515" w:rsidRDefault="004D0494">
            <w:r w:rsidRPr="00EA32EB">
              <w:rPr>
                <w:sz w:val="16"/>
                <w:szCs w:val="16"/>
              </w:rPr>
              <w:t>Deciphera Pharmaceuticals</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2977CFF" w14:textId="77777777" w:rsidR="00277515" w:rsidRDefault="00000000">
            <w:r>
              <w:rPr>
                <w:sz w:val="16"/>
                <w:szCs w:val="16"/>
              </w:rPr>
              <w:t>—</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18A3374E" w14:textId="77777777" w:rsidR="00277515" w:rsidRDefault="00000000">
            <w:r>
              <w:rPr>
                <w:sz w:val="16"/>
                <w:szCs w:val="16"/>
              </w:rPr>
              <w:t>Tenosynovial giant cell tumour; Phase 3; vimseltinib versus placebo.</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88D57B1" w14:textId="77777777" w:rsidR="00277515" w:rsidRDefault="00000000">
            <w:r>
              <w:rPr>
                <w:sz w:val="16"/>
                <w:szCs w:val="16"/>
              </w:rPr>
              <w:t>123 trial participants; 96 exit interviews.</w:t>
            </w:r>
          </w:p>
        </w:tc>
        <w:tc>
          <w:tcPr>
            <w:tcW w:w="232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16A0F85" w14:textId="77777777" w:rsidR="00277515" w:rsidRDefault="00000000">
            <w:r>
              <w:rPr>
                <w:sz w:val="16"/>
                <w:szCs w:val="16"/>
              </w:rPr>
              <w:t>Embedded exit interviews on PGIC anchors, active range of motion, PROMIS-PF, and Worst Stiffness NRS to derive responder thresholds.</w:t>
            </w:r>
          </w:p>
        </w:tc>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0CE24294" w14:textId="77777777" w:rsidR="00277515" w:rsidRDefault="00000000">
            <w:r>
              <w:rPr>
                <w:sz w:val="16"/>
                <w:szCs w:val="16"/>
              </w:rPr>
              <w:t>Embedded during MOTION; detailed timing not surfaced in the snippet reviewed.</w:t>
            </w:r>
          </w:p>
        </w:tc>
        <w:tc>
          <w:tcPr>
            <w:tcW w:w="691"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5F20D266" w14:textId="0F43C9CB" w:rsidR="00277515" w:rsidRDefault="00383BE1">
            <w:hyperlink r:id="rId25" w:history="1">
              <w:r w:rsidR="004D0494">
                <w:rPr>
                  <w:rStyle w:val="Hyperlink"/>
                  <w:sz w:val="16"/>
                  <w:szCs w:val="16"/>
                </w:rPr>
                <w:t>17</w:t>
              </w:r>
            </w:hyperlink>
          </w:p>
        </w:tc>
      </w:tr>
      <w:tr w:rsidR="00277515" w14:paraId="73DEE1E5" w14:textId="77777777">
        <w:tblPrEx>
          <w:tblCellMar>
            <w:top w:w="0" w:type="dxa"/>
            <w:bottom w:w="0" w:type="dxa"/>
          </w:tblCellMar>
        </w:tblPrEx>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D4AA775" w14:textId="77777777" w:rsidR="00277515" w:rsidRDefault="00000000">
            <w:r>
              <w:rPr>
                <w:sz w:val="16"/>
                <w:szCs w:val="16"/>
              </w:rPr>
              <w:t>NCT05089708</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406FBE2" w14:textId="77777777" w:rsidR="00277515" w:rsidRDefault="00000000">
            <w:r>
              <w:rPr>
                <w:sz w:val="16"/>
                <w:szCs w:val="16"/>
              </w:rPr>
              <w:t>LEAP</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AF9F8C6" w14:textId="77777777" w:rsidR="00277515" w:rsidRDefault="00000000">
            <w:r>
              <w:rPr>
                <w:sz w:val="16"/>
                <w:szCs w:val="16"/>
              </w:rPr>
              <w:t>Galderma-linked Phase 4 study</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2C99E84" w14:textId="77777777" w:rsidR="00277515" w:rsidRDefault="00000000">
            <w:r>
              <w:rPr>
                <w:sz w:val="16"/>
                <w:szCs w:val="16"/>
              </w:rPr>
              <w:t>Interview window June–November 2022.</w:t>
            </w:r>
          </w:p>
        </w:tc>
        <w:tc>
          <w:tcPr>
            <w:tcW w:w="167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3BD31EF2" w14:textId="77777777" w:rsidR="00277515" w:rsidRDefault="00000000">
            <w:r>
              <w:rPr>
                <w:sz w:val="16"/>
                <w:szCs w:val="16"/>
              </w:rPr>
              <w:t>Acne-induced hyperpigmentation; Phase 4; trifarotene cream + skincare versus vehicle + skincare.</w:t>
            </w:r>
          </w:p>
        </w:tc>
        <w:tc>
          <w:tcPr>
            <w:tcW w:w="1477"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2D570075" w14:textId="77777777" w:rsidR="00277515" w:rsidRDefault="00000000">
            <w:r>
              <w:rPr>
                <w:sz w:val="16"/>
                <w:szCs w:val="16"/>
              </w:rPr>
              <w:t>9 US sites in the qualitative substudy; n = 30.</w:t>
            </w:r>
          </w:p>
        </w:tc>
        <w:tc>
          <w:tcPr>
            <w:tcW w:w="2324"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7DB95A79" w14:textId="77777777" w:rsidR="00277515" w:rsidRDefault="00000000">
            <w:r>
              <w:rPr>
                <w:sz w:val="16"/>
                <w:szCs w:val="16"/>
              </w:rPr>
              <w:t>Embedded qualitative exit-interview study covering baseline symptoms, perceived week-24 changes, emotional/social effects, and treatment satisfaction.</w:t>
            </w:r>
          </w:p>
        </w:tc>
        <w:tc>
          <w:tcPr>
            <w:tcW w:w="1083"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AD0C938" w14:textId="77777777" w:rsidR="00277515" w:rsidRDefault="00000000">
            <w:r>
              <w:rPr>
                <w:sz w:val="16"/>
                <w:szCs w:val="16"/>
              </w:rPr>
              <w:t>After confirming the end-of-treatment visit at week 24.</w:t>
            </w:r>
          </w:p>
        </w:tc>
        <w:tc>
          <w:tcPr>
            <w:tcW w:w="691" w:type="dxa"/>
            <w:tcBorders>
              <w:top w:val="single" w:sz="4" w:space="0" w:color="E8DFD3"/>
              <w:left w:val="single" w:sz="4" w:space="0" w:color="E8DFD3"/>
              <w:bottom w:val="single" w:sz="4" w:space="0" w:color="E8DFD3"/>
              <w:right w:val="single" w:sz="4" w:space="0" w:color="E8DFD3"/>
            </w:tcBorders>
            <w:tcMar>
              <w:top w:w="100" w:type="dxa"/>
              <w:left w:w="140" w:type="dxa"/>
              <w:bottom w:w="100" w:type="dxa"/>
              <w:right w:w="140" w:type="dxa"/>
            </w:tcMar>
          </w:tcPr>
          <w:p w14:paraId="46C44D86" w14:textId="18AC00C7" w:rsidR="00277515" w:rsidRDefault="00383BE1">
            <w:r>
              <w:rPr>
                <w:sz w:val="16"/>
                <w:szCs w:val="16"/>
              </w:rPr>
              <w:fldChar w:fldCharType="begin"/>
            </w:r>
            <w:r>
              <w:rPr>
                <w:sz w:val="16"/>
                <w:szCs w:val="16"/>
              </w:rPr>
              <w:instrText>HYPERLINK "https://pubmed.ncbi.nlm.nih.gov/41286546/"</w:instrText>
            </w:r>
            <w:r>
              <w:rPr>
                <w:sz w:val="16"/>
                <w:szCs w:val="16"/>
              </w:rPr>
            </w:r>
            <w:r>
              <w:rPr>
                <w:sz w:val="16"/>
                <w:szCs w:val="16"/>
              </w:rPr>
              <w:fldChar w:fldCharType="separate"/>
            </w:r>
            <w:r w:rsidR="004D0494">
              <w:rPr>
                <w:rStyle w:val="Hyperlink"/>
                <w:sz w:val="16"/>
                <w:szCs w:val="16"/>
              </w:rPr>
              <w:t>18</w:t>
            </w:r>
            <w:r>
              <w:rPr>
                <w:sz w:val="16"/>
                <w:szCs w:val="16"/>
              </w:rPr>
              <w:fldChar w:fldCharType="end"/>
            </w:r>
          </w:p>
        </w:tc>
      </w:tr>
    </w:tbl>
    <w:p w14:paraId="603A2F76" w14:textId="77777777" w:rsidR="00277515" w:rsidRDefault="00000000">
      <w:r>
        <w:br w:type="page"/>
      </w:r>
    </w:p>
    <w:p w14:paraId="35D9B89B" w14:textId="77777777" w:rsidR="00277515" w:rsidRDefault="00277515">
      <w:pPr>
        <w:sectPr w:rsidR="00277515">
          <w:footerReference w:type="default" r:id="rId26"/>
          <w:pgSz w:w="15840" w:h="12240" w:orient="landscape"/>
          <w:pgMar w:top="1080" w:right="1440" w:bottom="1080" w:left="1440" w:header="708" w:footer="708" w:gutter="0"/>
          <w:cols w:space="720"/>
          <w:docGrid w:linePitch="360"/>
        </w:sectPr>
      </w:pPr>
    </w:p>
    <w:p w14:paraId="7C8BEAA5" w14:textId="77777777" w:rsidR="00277515" w:rsidRDefault="00000000">
      <w:pPr>
        <w:pStyle w:val="Heading2"/>
      </w:pPr>
      <w:r>
        <w:lastRenderedPageBreak/>
        <w:t>Discussion: open questions and limitations</w:t>
      </w:r>
    </w:p>
    <w:p w14:paraId="1EB5C211" w14:textId="01CB65CA" w:rsidR="00277515" w:rsidRDefault="00000000">
      <w:pPr>
        <w:spacing w:after="160" w:line="320" w:lineRule="auto"/>
        <w:jc w:val="both"/>
      </w:pPr>
      <w:r>
        <w:t xml:space="preserve">Confidence in this evidence map is highest where the registry record itself exposed the preference endpoint, questionnaire wording, and timing. </w:t>
      </w:r>
      <w:r w:rsidR="004D0494">
        <w:t>PHranceSCa and ProHer therefore represent</w:t>
      </w:r>
      <w:r>
        <w:t xml:space="preserve"> the most precisely </w:t>
      </w:r>
      <w:r w:rsidR="00EA32EB">
        <w:t>characterized</w:t>
      </w:r>
      <w:r>
        <w:t xml:space="preserve"> entries in Table 1. Confidence is comparatively lower for several </w:t>
      </w:r>
      <w:r>
        <w:rPr>
          <w:i/>
          <w:iCs/>
        </w:rPr>
        <w:t>probable</w:t>
      </w:r>
      <w:r>
        <w:t xml:space="preserve"> within-trial preference studies for which the qualitative publication is clear but for which not every registry field could be re-extracted at the same level of confidence. These include the dupilumab chronic cold urticaria study linked to LIBERTY-CINDU CUrIADS, the pooled iptacopan paroxysmal nocturnal </w:t>
      </w:r>
      <w:r w:rsidR="00EA32EB">
        <w:t>hemoglobinuria</w:t>
      </w:r>
      <w:r>
        <w:t xml:space="preserve"> qualitative study, the ACTION-Galactosemia Kids caregiver exit interviews, and the glepaglutide short-bowel-syndrome exit-interview paper. Each is plausibly includable in a fuller audit and is omitted from the principal table only because complete field-level extraction at the prevailing confidence standard was not feasible.</w:t>
      </w:r>
      <w:r>
        <w:rPr>
          <w:color w:val="D85A3F"/>
          <w:sz w:val="16"/>
          <w:szCs w:val="16"/>
          <w:vertAlign w:val="superscript"/>
        </w:rPr>
        <w:t xml:space="preserve"> </w:t>
      </w:r>
      <w:r w:rsidR="004D0494">
        <w:rPr>
          <w:color w:val="D85A3F"/>
          <w:sz w:val="16"/>
          <w:szCs w:val="16"/>
          <w:vertAlign w:val="superscript"/>
        </w:rPr>
        <w:t>[20]</w:t>
      </w:r>
    </w:p>
    <w:p w14:paraId="3DE2BEE6" w14:textId="77777777" w:rsidR="00277515" w:rsidRDefault="00000000">
      <w:pPr>
        <w:spacing w:after="160" w:line="320" w:lineRule="auto"/>
        <w:jc w:val="both"/>
      </w:pPr>
      <w:r>
        <w:t xml:space="preserve">Three structural limitations should be noted. First, registry search-index snippets sometimes expose outcomes and instruments more comprehensively than the corresponding fully rendered page, producing uneven exact-extraction quality across trials. Second, sponsor qualitative substudies are often described only in publications or protocols, rather than as standalone outcomes within the registry. Third, downstream use of parent-trial participants in </w:t>
      </w:r>
      <w:r>
        <w:rPr>
          <w:i/>
          <w:iCs/>
        </w:rPr>
        <w:t>separate</w:t>
      </w:r>
      <w:r>
        <w:t xml:space="preserve"> external preference studies is plausibly underreported, particularly when the follow-on study is framed as implementation research, acceptability work, or service design rather than as preference research per se.</w:t>
      </w:r>
    </w:p>
    <w:p w14:paraId="3EC2444A" w14:textId="77777777" w:rsidR="00277515" w:rsidRDefault="00000000">
      <w:pPr>
        <w:pStyle w:val="Heading2"/>
      </w:pPr>
      <w:r>
        <w:t>References</w:t>
      </w:r>
    </w:p>
    <w:p w14:paraId="3DC29058" w14:textId="19E9E293" w:rsidR="00277515" w:rsidRDefault="00000000">
      <w:pPr>
        <w:spacing w:after="80" w:line="280" w:lineRule="auto"/>
        <w:ind w:left="360" w:hanging="360"/>
      </w:pPr>
      <w:r>
        <w:rPr>
          <w:b/>
          <w:bCs/>
          <w:color w:val="39594D"/>
          <w:sz w:val="18"/>
          <w:szCs w:val="18"/>
        </w:rPr>
        <w:t xml:space="preserve">[1] </w:t>
      </w:r>
      <w:r>
        <w:rPr>
          <w:sz w:val="18"/>
          <w:szCs w:val="18"/>
        </w:rPr>
        <w:t>PHranceSCa registry record (ClinicalTrials.gov, NCT03674112).</w:t>
      </w:r>
      <w:r w:rsidR="00EA32EB">
        <w:rPr>
          <w:sz w:val="18"/>
          <w:szCs w:val="18"/>
        </w:rPr>
        <w:t xml:space="preserve"> </w:t>
      </w:r>
      <w:r>
        <w:rPr>
          <w:color w:val="D85A3F"/>
          <w:sz w:val="18"/>
          <w:szCs w:val="18"/>
          <w:u w:val="single" w:color="D85A3F"/>
        </w:rPr>
        <w:t>https://www.clinicaltrials.gov/study/NCT03674112</w:t>
      </w:r>
    </w:p>
    <w:p w14:paraId="6C28420E" w14:textId="77777777" w:rsidR="00277515" w:rsidRDefault="00000000">
      <w:pPr>
        <w:spacing w:after="80" w:line="280" w:lineRule="auto"/>
        <w:ind w:left="360" w:hanging="360"/>
      </w:pPr>
      <w:r>
        <w:rPr>
          <w:b/>
          <w:bCs/>
          <w:color w:val="39594D"/>
          <w:sz w:val="18"/>
          <w:szCs w:val="18"/>
        </w:rPr>
        <w:t xml:space="preserve">[2] </w:t>
      </w:r>
      <w:r>
        <w:rPr>
          <w:sz w:val="18"/>
          <w:szCs w:val="18"/>
        </w:rPr>
        <w:t xml:space="preserve">PHranceSCa registry record (ClinicalTrials.gov, NCT03674112). </w:t>
      </w:r>
      <w:hyperlink r:id="rId27" w:history="1">
        <w:r>
          <w:rPr>
            <w:color w:val="D85A3F"/>
            <w:sz w:val="18"/>
            <w:szCs w:val="18"/>
            <w:u w:val="single" w:color="D85A3F"/>
          </w:rPr>
          <w:t>https://www.clinicaltrials.gov/study/NCT03674112</w:t>
        </w:r>
      </w:hyperlink>
    </w:p>
    <w:p w14:paraId="0B10C424" w14:textId="738B12CC" w:rsidR="00277515" w:rsidRDefault="004D0494">
      <w:pPr>
        <w:spacing w:after="80" w:line="280" w:lineRule="auto"/>
        <w:ind w:left="360" w:hanging="360"/>
      </w:pPr>
      <w:r>
        <w:rPr>
          <w:b/>
          <w:bCs/>
          <w:color w:val="39594D"/>
          <w:sz w:val="18"/>
          <w:szCs w:val="18"/>
        </w:rPr>
        <w:t>[3]</w:t>
      </w:r>
      <w:r w:rsidR="00000000">
        <w:rPr>
          <w:b/>
          <w:bCs/>
          <w:color w:val="39594D"/>
          <w:sz w:val="18"/>
          <w:szCs w:val="18"/>
        </w:rPr>
        <w:t xml:space="preserve"> </w:t>
      </w:r>
      <w:r w:rsidR="00000000">
        <w:rPr>
          <w:sz w:val="18"/>
          <w:szCs w:val="18"/>
        </w:rPr>
        <w:t xml:space="preserve">PHranceSCa registry record (ClinicalTrials.gov, NCT03674112). </w:t>
      </w:r>
      <w:hyperlink r:id="rId28" w:history="1">
        <w:r w:rsidR="00000000">
          <w:rPr>
            <w:color w:val="D85A3F"/>
            <w:sz w:val="18"/>
            <w:szCs w:val="18"/>
            <w:u w:val="single" w:color="D85A3F"/>
          </w:rPr>
          <w:t>https://www.clinicaltrials.gov/study/NCT03674112</w:t>
        </w:r>
      </w:hyperlink>
    </w:p>
    <w:p w14:paraId="1D41443D" w14:textId="3A360296" w:rsidR="00277515" w:rsidRDefault="004D0494">
      <w:pPr>
        <w:spacing w:after="80" w:line="280" w:lineRule="auto"/>
        <w:ind w:left="360" w:hanging="360"/>
      </w:pPr>
      <w:r>
        <w:rPr>
          <w:b/>
          <w:bCs/>
          <w:color w:val="39594D"/>
          <w:sz w:val="18"/>
          <w:szCs w:val="18"/>
        </w:rPr>
        <w:t>[4]</w:t>
      </w:r>
      <w:r w:rsidR="00000000">
        <w:rPr>
          <w:b/>
          <w:bCs/>
          <w:color w:val="39594D"/>
          <w:sz w:val="18"/>
          <w:szCs w:val="18"/>
        </w:rPr>
        <w:t xml:space="preserve"> </w:t>
      </w:r>
      <w:r w:rsidR="00000000">
        <w:rPr>
          <w:sz w:val="18"/>
          <w:szCs w:val="18"/>
        </w:rPr>
        <w:t xml:space="preserve">XTEND-1 exit-interview qualitative report (PubMed 39414418). </w:t>
      </w:r>
      <w:hyperlink r:id="rId29" w:history="1">
        <w:r w:rsidR="00000000">
          <w:rPr>
            <w:color w:val="D85A3F"/>
            <w:sz w:val="18"/>
            <w:szCs w:val="18"/>
            <w:u w:val="single" w:color="D85A3F"/>
          </w:rPr>
          <w:t>https://pubmed.ncbi.nlm.nih.gov/39414418/</w:t>
        </w:r>
      </w:hyperlink>
    </w:p>
    <w:p w14:paraId="6BE3A39C" w14:textId="1B1118BC" w:rsidR="00277515" w:rsidRDefault="004D0494">
      <w:pPr>
        <w:spacing w:after="80" w:line="280" w:lineRule="auto"/>
        <w:ind w:left="360" w:hanging="360"/>
      </w:pPr>
      <w:r>
        <w:rPr>
          <w:b/>
          <w:bCs/>
          <w:color w:val="39594D"/>
          <w:sz w:val="18"/>
          <w:szCs w:val="18"/>
        </w:rPr>
        <w:t>[5]</w:t>
      </w:r>
      <w:r w:rsidR="00000000">
        <w:rPr>
          <w:b/>
          <w:bCs/>
          <w:color w:val="39594D"/>
          <w:sz w:val="18"/>
          <w:szCs w:val="18"/>
        </w:rPr>
        <w:t xml:space="preserve"> </w:t>
      </w:r>
      <w:r w:rsidR="00000000">
        <w:rPr>
          <w:sz w:val="18"/>
          <w:szCs w:val="18"/>
        </w:rPr>
        <w:t xml:space="preserve">PHranceSCa registry record (ClinicalTrials.gov, NCT03674112). </w:t>
      </w:r>
      <w:hyperlink r:id="rId30" w:history="1">
        <w:r w:rsidR="00000000">
          <w:rPr>
            <w:color w:val="D85A3F"/>
            <w:sz w:val="18"/>
            <w:szCs w:val="18"/>
            <w:u w:val="single" w:color="D85A3F"/>
          </w:rPr>
          <w:t>https://www.clinicaltrials.gov/study/NCT03674112</w:t>
        </w:r>
      </w:hyperlink>
    </w:p>
    <w:p w14:paraId="17089481" w14:textId="14442832" w:rsidR="00277515" w:rsidRDefault="004D0494">
      <w:pPr>
        <w:spacing w:after="80" w:line="280" w:lineRule="auto"/>
        <w:ind w:left="360" w:hanging="360"/>
      </w:pPr>
      <w:r>
        <w:rPr>
          <w:b/>
          <w:bCs/>
          <w:color w:val="39594D"/>
          <w:sz w:val="18"/>
          <w:szCs w:val="18"/>
        </w:rPr>
        <w:t>[6]</w:t>
      </w:r>
      <w:r w:rsidR="00000000">
        <w:rPr>
          <w:b/>
          <w:bCs/>
          <w:color w:val="39594D"/>
          <w:sz w:val="18"/>
          <w:szCs w:val="18"/>
        </w:rPr>
        <w:t xml:space="preserve"> </w:t>
      </w:r>
      <w:r w:rsidR="00000000">
        <w:rPr>
          <w:sz w:val="18"/>
          <w:szCs w:val="18"/>
        </w:rPr>
        <w:t xml:space="preserve">PHranceSCa registry record (ClinicalTrials.gov, NCT03674112). </w:t>
      </w:r>
      <w:hyperlink r:id="rId31" w:history="1">
        <w:r w:rsidR="00000000">
          <w:rPr>
            <w:color w:val="D85A3F"/>
            <w:sz w:val="18"/>
            <w:szCs w:val="18"/>
            <w:u w:val="single" w:color="D85A3F"/>
          </w:rPr>
          <w:t>https://www.clinicaltrials.gov/study/NCT03674112</w:t>
        </w:r>
      </w:hyperlink>
    </w:p>
    <w:p w14:paraId="3F35E3DE" w14:textId="49C71AB9" w:rsidR="00277515" w:rsidRDefault="004D0494">
      <w:pPr>
        <w:spacing w:after="80" w:line="280" w:lineRule="auto"/>
        <w:ind w:left="360" w:hanging="360"/>
      </w:pPr>
      <w:r>
        <w:rPr>
          <w:b/>
          <w:bCs/>
          <w:color w:val="39594D"/>
          <w:sz w:val="18"/>
          <w:szCs w:val="18"/>
        </w:rPr>
        <w:t>[7]</w:t>
      </w:r>
      <w:r w:rsidR="00000000">
        <w:rPr>
          <w:b/>
          <w:bCs/>
          <w:color w:val="39594D"/>
          <w:sz w:val="18"/>
          <w:szCs w:val="18"/>
        </w:rPr>
        <w:t xml:space="preserve"> </w:t>
      </w:r>
      <w:r w:rsidR="00000000">
        <w:rPr>
          <w:sz w:val="18"/>
          <w:szCs w:val="18"/>
        </w:rPr>
        <w:t xml:space="preserve">ProHer registry record (ClinicalTrials.gov, NCT05415215). </w:t>
      </w:r>
      <w:hyperlink r:id="rId32" w:history="1">
        <w:r w:rsidR="00000000">
          <w:rPr>
            <w:color w:val="D85A3F"/>
            <w:sz w:val="18"/>
            <w:szCs w:val="18"/>
            <w:u w:val="single" w:color="D85A3F"/>
          </w:rPr>
          <w:t>https://clinicaltrials.gov/study/NCT05415215?cond=NCT05415215&amp;rank=1</w:t>
        </w:r>
      </w:hyperlink>
    </w:p>
    <w:p w14:paraId="193519DA" w14:textId="1EBA0C86" w:rsidR="00277515" w:rsidRDefault="004D0494">
      <w:pPr>
        <w:spacing w:after="80" w:line="280" w:lineRule="auto"/>
        <w:ind w:left="360" w:hanging="360"/>
      </w:pPr>
      <w:r>
        <w:rPr>
          <w:b/>
          <w:bCs/>
          <w:color w:val="39594D"/>
          <w:sz w:val="18"/>
          <w:szCs w:val="18"/>
        </w:rPr>
        <w:t>[8]</w:t>
      </w:r>
      <w:r w:rsidR="00000000">
        <w:rPr>
          <w:b/>
          <w:bCs/>
          <w:color w:val="39594D"/>
          <w:sz w:val="18"/>
          <w:szCs w:val="18"/>
        </w:rPr>
        <w:t xml:space="preserve"> </w:t>
      </w:r>
      <w:r w:rsidR="00000000">
        <w:rPr>
          <w:sz w:val="18"/>
          <w:szCs w:val="18"/>
        </w:rPr>
        <w:t xml:space="preserve">Nivolumab and nivolumab + relatlimab SC vs IV (NCT06101134). </w:t>
      </w:r>
      <w:hyperlink r:id="rId33" w:history="1">
        <w:r w:rsidR="00000000">
          <w:rPr>
            <w:color w:val="D85A3F"/>
            <w:sz w:val="18"/>
            <w:szCs w:val="18"/>
            <w:u w:val="single" w:color="D85A3F"/>
          </w:rPr>
          <w:t>https://www.clinicaltrials.gov/study/NCT06101134</w:t>
        </w:r>
      </w:hyperlink>
    </w:p>
    <w:p w14:paraId="252D90F8" w14:textId="227C65ED" w:rsidR="00277515" w:rsidRDefault="004D0494">
      <w:pPr>
        <w:spacing w:after="80" w:line="280" w:lineRule="auto"/>
        <w:ind w:left="360" w:hanging="360"/>
      </w:pPr>
      <w:r>
        <w:rPr>
          <w:b/>
          <w:bCs/>
          <w:color w:val="39594D"/>
          <w:sz w:val="18"/>
          <w:szCs w:val="18"/>
        </w:rPr>
        <w:t>[9]</w:t>
      </w:r>
      <w:r w:rsidR="00000000">
        <w:rPr>
          <w:b/>
          <w:bCs/>
          <w:color w:val="39594D"/>
          <w:sz w:val="18"/>
          <w:szCs w:val="18"/>
        </w:rPr>
        <w:t xml:space="preserve"> </w:t>
      </w:r>
      <w:r w:rsidR="00000000">
        <w:rPr>
          <w:sz w:val="18"/>
          <w:szCs w:val="18"/>
        </w:rPr>
        <w:t xml:space="preserve">XTEND-1 exit-interview qualitative report (PubMed 39414418). </w:t>
      </w:r>
      <w:hyperlink r:id="rId34" w:history="1">
        <w:r w:rsidR="00000000">
          <w:rPr>
            <w:color w:val="D85A3F"/>
            <w:sz w:val="18"/>
            <w:szCs w:val="18"/>
            <w:u w:val="single" w:color="D85A3F"/>
          </w:rPr>
          <w:t>https://pubmed.ncbi.nlm.nih.gov/39414418/</w:t>
        </w:r>
      </w:hyperlink>
    </w:p>
    <w:p w14:paraId="601F4C97" w14:textId="3B911678" w:rsidR="00277515" w:rsidRDefault="004D0494">
      <w:pPr>
        <w:spacing w:after="80" w:line="280" w:lineRule="auto"/>
        <w:ind w:left="360" w:hanging="360"/>
      </w:pPr>
      <w:r>
        <w:rPr>
          <w:b/>
          <w:bCs/>
          <w:color w:val="39594D"/>
          <w:sz w:val="18"/>
          <w:szCs w:val="18"/>
        </w:rPr>
        <w:t>[10]</w:t>
      </w:r>
      <w:r w:rsidR="00000000">
        <w:rPr>
          <w:b/>
          <w:bCs/>
          <w:color w:val="39594D"/>
          <w:sz w:val="18"/>
          <w:szCs w:val="18"/>
        </w:rPr>
        <w:t xml:space="preserve"> </w:t>
      </w:r>
      <w:r w:rsidR="00000000">
        <w:rPr>
          <w:sz w:val="18"/>
          <w:szCs w:val="18"/>
        </w:rPr>
        <w:t xml:space="preserve">ARCADIA in-trial interview substudy (PubMed 40360966). </w:t>
      </w:r>
      <w:hyperlink r:id="rId35" w:history="1">
        <w:r w:rsidR="00000000">
          <w:rPr>
            <w:color w:val="D85A3F"/>
            <w:sz w:val="18"/>
            <w:szCs w:val="18"/>
            <w:u w:val="single" w:color="D85A3F"/>
          </w:rPr>
          <w:t>https://pubmed.ncbi.nlm.nih.gov/40360966/</w:t>
        </w:r>
      </w:hyperlink>
    </w:p>
    <w:p w14:paraId="2BCA162C" w14:textId="39358DE4" w:rsidR="00277515" w:rsidRDefault="004D0494">
      <w:pPr>
        <w:spacing w:after="80" w:line="280" w:lineRule="auto"/>
        <w:ind w:left="360" w:hanging="360"/>
      </w:pPr>
      <w:r>
        <w:rPr>
          <w:b/>
          <w:bCs/>
          <w:color w:val="39594D"/>
          <w:sz w:val="18"/>
          <w:szCs w:val="18"/>
        </w:rPr>
        <w:t>[11]</w:t>
      </w:r>
      <w:r w:rsidR="00000000">
        <w:rPr>
          <w:b/>
          <w:bCs/>
          <w:color w:val="39594D"/>
          <w:sz w:val="18"/>
          <w:szCs w:val="18"/>
        </w:rPr>
        <w:t xml:space="preserve"> </w:t>
      </w:r>
      <w:r w:rsidR="00000000">
        <w:rPr>
          <w:sz w:val="18"/>
          <w:szCs w:val="18"/>
        </w:rPr>
        <w:t xml:space="preserve">SURPASS-2/3 pooled qualitative exit-interview study (PubMed 35513765). </w:t>
      </w:r>
      <w:hyperlink r:id="rId36" w:history="1">
        <w:r w:rsidR="00000000">
          <w:rPr>
            <w:color w:val="D85A3F"/>
            <w:sz w:val="18"/>
            <w:szCs w:val="18"/>
            <w:u w:val="single" w:color="D85A3F"/>
          </w:rPr>
          <w:t>https://pubmed.ncbi.nlm.nih.gov/35513765/</w:t>
        </w:r>
      </w:hyperlink>
    </w:p>
    <w:p w14:paraId="02C15D3F" w14:textId="375C6B47" w:rsidR="00277515" w:rsidRDefault="004D0494">
      <w:pPr>
        <w:spacing w:after="80" w:line="280" w:lineRule="auto"/>
        <w:ind w:left="360" w:hanging="360"/>
      </w:pPr>
      <w:r>
        <w:rPr>
          <w:b/>
          <w:bCs/>
          <w:color w:val="39594D"/>
          <w:sz w:val="18"/>
          <w:szCs w:val="18"/>
        </w:rPr>
        <w:lastRenderedPageBreak/>
        <w:t>[12]</w:t>
      </w:r>
      <w:r w:rsidR="00000000">
        <w:rPr>
          <w:b/>
          <w:bCs/>
          <w:color w:val="39594D"/>
          <w:sz w:val="18"/>
          <w:szCs w:val="18"/>
        </w:rPr>
        <w:t xml:space="preserve"> </w:t>
      </w:r>
      <w:r w:rsidR="00000000">
        <w:rPr>
          <w:sz w:val="18"/>
          <w:szCs w:val="18"/>
        </w:rPr>
        <w:t xml:space="preserve">Retatrutide Phase 2 obesity exit-interview report (PubMed 41216380). </w:t>
      </w:r>
      <w:hyperlink r:id="rId37" w:history="1">
        <w:r w:rsidR="00000000">
          <w:rPr>
            <w:color w:val="D85A3F"/>
            <w:sz w:val="18"/>
            <w:szCs w:val="18"/>
            <w:u w:val="single" w:color="D85A3F"/>
          </w:rPr>
          <w:t>https://pubmed.ncbi.nlm.nih.gov/41216380/</w:t>
        </w:r>
      </w:hyperlink>
    </w:p>
    <w:p w14:paraId="4F22E365" w14:textId="6060BC0D" w:rsidR="00277515" w:rsidRDefault="004D0494">
      <w:pPr>
        <w:spacing w:after="80" w:line="280" w:lineRule="auto"/>
        <w:ind w:left="360" w:hanging="360"/>
      </w:pPr>
      <w:r>
        <w:rPr>
          <w:b/>
          <w:bCs/>
          <w:color w:val="39594D"/>
          <w:sz w:val="18"/>
          <w:szCs w:val="18"/>
        </w:rPr>
        <w:t>[13]</w:t>
      </w:r>
      <w:r w:rsidR="00000000">
        <w:rPr>
          <w:b/>
          <w:bCs/>
          <w:color w:val="39594D"/>
          <w:sz w:val="18"/>
          <w:szCs w:val="18"/>
        </w:rPr>
        <w:t xml:space="preserve"> </w:t>
      </w:r>
      <w:r w:rsidR="00000000">
        <w:rPr>
          <w:sz w:val="18"/>
          <w:szCs w:val="18"/>
        </w:rPr>
        <w:t xml:space="preserve">Bumetanide ASD caregiver exit-interview study (PubMed 39816573). </w:t>
      </w:r>
      <w:hyperlink r:id="rId38" w:history="1">
        <w:r w:rsidR="00000000">
          <w:rPr>
            <w:color w:val="D85A3F"/>
            <w:sz w:val="18"/>
            <w:szCs w:val="18"/>
            <w:u w:val="single" w:color="D85A3F"/>
          </w:rPr>
          <w:t>https://pubmed.ncbi.nlm.nih.gov/39816573/</w:t>
        </w:r>
      </w:hyperlink>
    </w:p>
    <w:p w14:paraId="087A8BAA" w14:textId="4EA3C43B" w:rsidR="00277515" w:rsidRDefault="004D0494">
      <w:pPr>
        <w:spacing w:after="80" w:line="280" w:lineRule="auto"/>
        <w:ind w:left="360" w:hanging="360"/>
      </w:pPr>
      <w:r>
        <w:rPr>
          <w:b/>
          <w:bCs/>
          <w:color w:val="39594D"/>
          <w:sz w:val="18"/>
          <w:szCs w:val="18"/>
        </w:rPr>
        <w:t>[14]</w:t>
      </w:r>
      <w:r w:rsidR="00000000">
        <w:rPr>
          <w:b/>
          <w:bCs/>
          <w:color w:val="39594D"/>
          <w:sz w:val="18"/>
          <w:szCs w:val="18"/>
        </w:rPr>
        <w:t xml:space="preserve"> </w:t>
      </w:r>
      <w:r w:rsidR="00000000">
        <w:rPr>
          <w:sz w:val="18"/>
          <w:szCs w:val="18"/>
        </w:rPr>
        <w:t xml:space="preserve">VIVID-1 exit-interview substudy in Crohn’s disease (PMC11744098). </w:t>
      </w:r>
      <w:hyperlink r:id="rId39" w:history="1">
        <w:r w:rsidR="00000000">
          <w:rPr>
            <w:color w:val="D85A3F"/>
            <w:sz w:val="18"/>
            <w:szCs w:val="18"/>
            <w:u w:val="single" w:color="D85A3F"/>
          </w:rPr>
          <w:t>https://pmc.ncbi.nlm.nih.gov/articles/PMC11744098/</w:t>
        </w:r>
      </w:hyperlink>
    </w:p>
    <w:p w14:paraId="604CA770" w14:textId="29B3EFD5" w:rsidR="00277515" w:rsidRDefault="004D0494">
      <w:pPr>
        <w:spacing w:after="80" w:line="280" w:lineRule="auto"/>
        <w:ind w:left="360" w:hanging="360"/>
      </w:pPr>
      <w:r>
        <w:rPr>
          <w:b/>
          <w:bCs/>
          <w:color w:val="39594D"/>
          <w:sz w:val="18"/>
          <w:szCs w:val="18"/>
        </w:rPr>
        <w:t>[15]</w:t>
      </w:r>
      <w:r w:rsidR="00000000">
        <w:rPr>
          <w:b/>
          <w:bCs/>
          <w:color w:val="39594D"/>
          <w:sz w:val="18"/>
          <w:szCs w:val="18"/>
        </w:rPr>
        <w:t xml:space="preserve"> </w:t>
      </w:r>
      <w:r w:rsidR="00000000">
        <w:rPr>
          <w:sz w:val="18"/>
          <w:szCs w:val="18"/>
        </w:rPr>
        <w:t xml:space="preserve">SURMOUNT-OSA exit-interview report (Springer, 2026). </w:t>
      </w:r>
      <w:hyperlink r:id="rId40" w:history="1">
        <w:r w:rsidR="00000000">
          <w:rPr>
            <w:color w:val="D85A3F"/>
            <w:sz w:val="18"/>
            <w:szCs w:val="18"/>
            <w:u w:val="single" w:color="D85A3F"/>
          </w:rPr>
          <w:t>https://link.springer.com/article/10.1007/s40271-026-00808-3</w:t>
        </w:r>
      </w:hyperlink>
    </w:p>
    <w:p w14:paraId="77C053BE" w14:textId="3A09EB31" w:rsidR="00277515" w:rsidRDefault="004D0494">
      <w:pPr>
        <w:spacing w:after="80" w:line="280" w:lineRule="auto"/>
        <w:ind w:left="360" w:hanging="360"/>
      </w:pPr>
      <w:r>
        <w:rPr>
          <w:b/>
          <w:bCs/>
          <w:color w:val="39594D"/>
          <w:sz w:val="18"/>
          <w:szCs w:val="18"/>
        </w:rPr>
        <w:t>[16]</w:t>
      </w:r>
      <w:r w:rsidR="00000000">
        <w:rPr>
          <w:b/>
          <w:bCs/>
          <w:color w:val="39594D"/>
          <w:sz w:val="18"/>
          <w:szCs w:val="18"/>
        </w:rPr>
        <w:t xml:space="preserve"> </w:t>
      </w:r>
      <w:r w:rsidR="00000000">
        <w:rPr>
          <w:sz w:val="18"/>
          <w:szCs w:val="18"/>
        </w:rPr>
        <w:t xml:space="preserve">BREEZE inhaled treprostinil device-preference study (PMC9063953). </w:t>
      </w:r>
      <w:hyperlink r:id="rId41" w:history="1">
        <w:r w:rsidR="00000000">
          <w:rPr>
            <w:color w:val="D85A3F"/>
            <w:sz w:val="18"/>
            <w:szCs w:val="18"/>
            <w:u w:val="single" w:color="D85A3F"/>
          </w:rPr>
          <w:t>https://pmc.ncbi.nlm.nih.gov/articles/PMC9063953/</w:t>
        </w:r>
      </w:hyperlink>
    </w:p>
    <w:p w14:paraId="28599AFC" w14:textId="19EB76DB" w:rsidR="00277515" w:rsidRDefault="004D0494">
      <w:pPr>
        <w:spacing w:after="80" w:line="280" w:lineRule="auto"/>
        <w:ind w:left="360" w:hanging="360"/>
      </w:pPr>
      <w:r>
        <w:rPr>
          <w:b/>
          <w:bCs/>
          <w:color w:val="39594D"/>
          <w:sz w:val="18"/>
          <w:szCs w:val="18"/>
        </w:rPr>
        <w:t>[17]</w:t>
      </w:r>
      <w:r w:rsidR="00000000">
        <w:rPr>
          <w:b/>
          <w:bCs/>
          <w:color w:val="39594D"/>
          <w:sz w:val="18"/>
          <w:szCs w:val="18"/>
        </w:rPr>
        <w:t xml:space="preserve"> </w:t>
      </w:r>
      <w:r w:rsidR="00000000">
        <w:rPr>
          <w:sz w:val="18"/>
          <w:szCs w:val="18"/>
        </w:rPr>
        <w:t xml:space="preserve">MOTION meaningful-change paper (PubMed 41621028). </w:t>
      </w:r>
      <w:hyperlink r:id="rId42" w:history="1">
        <w:r w:rsidR="00000000">
          <w:rPr>
            <w:color w:val="D85A3F"/>
            <w:sz w:val="18"/>
            <w:szCs w:val="18"/>
            <w:u w:val="single" w:color="D85A3F"/>
          </w:rPr>
          <w:t>https://pubmed.ncbi.nlm.nih.gov/41621028/</w:t>
        </w:r>
      </w:hyperlink>
    </w:p>
    <w:p w14:paraId="109B6BE0" w14:textId="2B735F69" w:rsidR="00277515" w:rsidRDefault="004D0494">
      <w:pPr>
        <w:spacing w:after="80" w:line="280" w:lineRule="auto"/>
        <w:ind w:left="360" w:hanging="360"/>
      </w:pPr>
      <w:r>
        <w:rPr>
          <w:b/>
          <w:bCs/>
          <w:color w:val="39594D"/>
          <w:sz w:val="18"/>
          <w:szCs w:val="18"/>
        </w:rPr>
        <w:t>[18]</w:t>
      </w:r>
      <w:r w:rsidR="00000000">
        <w:rPr>
          <w:b/>
          <w:bCs/>
          <w:color w:val="39594D"/>
          <w:sz w:val="18"/>
          <w:szCs w:val="18"/>
        </w:rPr>
        <w:t xml:space="preserve"> </w:t>
      </w:r>
      <w:r w:rsidR="00000000">
        <w:rPr>
          <w:sz w:val="18"/>
          <w:szCs w:val="18"/>
        </w:rPr>
        <w:t xml:space="preserve">LEAP qualitative exit-interview study (PubMed 41286546). </w:t>
      </w:r>
      <w:hyperlink r:id="rId43" w:history="1">
        <w:r w:rsidR="00000000">
          <w:rPr>
            <w:color w:val="D85A3F"/>
            <w:sz w:val="18"/>
            <w:szCs w:val="18"/>
            <w:u w:val="single" w:color="D85A3F"/>
          </w:rPr>
          <w:t>https://pubmed.ncbi.nlm.nih.gov/41286546/</w:t>
        </w:r>
      </w:hyperlink>
    </w:p>
    <w:p w14:paraId="059E8602" w14:textId="6DB507EA" w:rsidR="00277515" w:rsidRDefault="004D0494">
      <w:pPr>
        <w:spacing w:after="80" w:line="280" w:lineRule="auto"/>
        <w:ind w:left="360" w:hanging="360"/>
      </w:pPr>
      <w:r>
        <w:rPr>
          <w:b/>
          <w:bCs/>
          <w:color w:val="39594D"/>
          <w:sz w:val="18"/>
          <w:szCs w:val="18"/>
        </w:rPr>
        <w:t>[19]</w:t>
      </w:r>
      <w:r w:rsidR="00000000">
        <w:rPr>
          <w:b/>
          <w:bCs/>
          <w:color w:val="39594D"/>
          <w:sz w:val="18"/>
          <w:szCs w:val="18"/>
        </w:rPr>
        <w:t xml:space="preserve"> </w:t>
      </w:r>
      <w:r w:rsidR="00000000">
        <w:rPr>
          <w:sz w:val="18"/>
          <w:szCs w:val="18"/>
        </w:rPr>
        <w:t xml:space="preserve">PHranceSCa registry record (ClinicalTrials.gov, NCT03674112). </w:t>
      </w:r>
      <w:hyperlink r:id="rId44" w:history="1">
        <w:r w:rsidR="00000000">
          <w:rPr>
            <w:color w:val="D85A3F"/>
            <w:sz w:val="18"/>
            <w:szCs w:val="18"/>
            <w:u w:val="single" w:color="D85A3F"/>
          </w:rPr>
          <w:t>https://www.clinicaltrials.gov/study/NCT03674112</w:t>
        </w:r>
      </w:hyperlink>
    </w:p>
    <w:p w14:paraId="2D87AFB4" w14:textId="62069E22" w:rsidR="00277515" w:rsidRDefault="004D0494">
      <w:pPr>
        <w:spacing w:after="80" w:line="280" w:lineRule="auto"/>
        <w:ind w:left="360" w:hanging="360"/>
      </w:pPr>
      <w:r>
        <w:rPr>
          <w:b/>
          <w:bCs/>
          <w:color w:val="39594D"/>
          <w:sz w:val="18"/>
          <w:szCs w:val="18"/>
        </w:rPr>
        <w:t>[20]</w:t>
      </w:r>
      <w:r w:rsidR="00000000">
        <w:rPr>
          <w:b/>
          <w:bCs/>
          <w:color w:val="39594D"/>
          <w:sz w:val="18"/>
          <w:szCs w:val="18"/>
        </w:rPr>
        <w:t xml:space="preserve"> </w:t>
      </w:r>
      <w:r w:rsidR="00000000">
        <w:rPr>
          <w:sz w:val="18"/>
          <w:szCs w:val="18"/>
        </w:rPr>
        <w:t xml:space="preserve">Probable in-trial preference studies (PubMed 40696090). </w:t>
      </w:r>
      <w:hyperlink r:id="rId45" w:history="1">
        <w:r w:rsidR="00000000">
          <w:rPr>
            <w:color w:val="D85A3F"/>
            <w:sz w:val="18"/>
            <w:szCs w:val="18"/>
            <w:u w:val="single" w:color="D85A3F"/>
          </w:rPr>
          <w:t>https://pubmed.ncbi.nlm.nih.gov/40696090/</w:t>
        </w:r>
      </w:hyperlink>
    </w:p>
    <w:sectPr w:rsidR="00277515">
      <w:footerReference w:type="default" r:id="rId4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E303E" w14:textId="77777777" w:rsidR="00250389" w:rsidRDefault="00250389">
      <w:r>
        <w:separator/>
      </w:r>
    </w:p>
  </w:endnote>
  <w:endnote w:type="continuationSeparator" w:id="0">
    <w:p w14:paraId="33448CE3" w14:textId="77777777" w:rsidR="00250389" w:rsidRDefault="00250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D4120" w14:textId="77777777" w:rsidR="007649C6" w:rsidRDefault="007649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2FD9" w14:textId="77777777" w:rsidR="007649C6" w:rsidRDefault="007649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20222" w14:textId="77777777" w:rsidR="007649C6" w:rsidRDefault="007649C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2715" w14:textId="5467518C" w:rsidR="00277515" w:rsidRDefault="00000000">
    <w:pPr>
      <w:jc w:val="right"/>
    </w:pP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7649C6">
      <w:rPr>
        <w:noProof/>
        <w:color w:val="6B6B6B"/>
        <w:sz w:val="16"/>
        <w:szCs w:val="16"/>
      </w:rPr>
      <w:t>2</w:t>
    </w:r>
    <w:r>
      <w:rPr>
        <w:color w:val="6B6B6B"/>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8036" w14:textId="1AB058C7" w:rsidR="00277515" w:rsidRDefault="00000000">
    <w:pPr>
      <w:jc w:val="right"/>
    </w:pP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7649C6">
      <w:rPr>
        <w:noProof/>
        <w:color w:val="6B6B6B"/>
        <w:sz w:val="16"/>
        <w:szCs w:val="16"/>
      </w:rPr>
      <w:t>4</w:t>
    </w:r>
    <w:r>
      <w:rPr>
        <w:color w:val="6B6B6B"/>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4C563" w14:textId="7A4A99DD" w:rsidR="00277515" w:rsidRDefault="00000000">
    <w:pPr>
      <w:jc w:val="right"/>
    </w:pP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7649C6">
      <w:rPr>
        <w:noProof/>
        <w:color w:val="6B6B6B"/>
        <w:sz w:val="16"/>
        <w:szCs w:val="16"/>
      </w:rPr>
      <w:t>10</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F86CD" w14:textId="77777777" w:rsidR="00250389" w:rsidRDefault="00250389">
      <w:r>
        <w:separator/>
      </w:r>
    </w:p>
  </w:footnote>
  <w:footnote w:type="continuationSeparator" w:id="0">
    <w:p w14:paraId="0EE8585D" w14:textId="77777777" w:rsidR="00250389" w:rsidRDefault="002503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0967" w14:textId="77777777" w:rsidR="007649C6" w:rsidRDefault="007649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5422E" w14:textId="77777777" w:rsidR="007649C6" w:rsidRDefault="007649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2C652" w14:textId="77777777" w:rsidR="007649C6" w:rsidRDefault="007649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A2DCA"/>
    <w:multiLevelType w:val="hybridMultilevel"/>
    <w:tmpl w:val="CA1E9D4E"/>
    <w:lvl w:ilvl="0" w:tplc="533C83BC">
      <w:start w:val="1"/>
      <w:numFmt w:val="bullet"/>
      <w:lvlText w:val="●"/>
      <w:lvlJc w:val="left"/>
      <w:pPr>
        <w:ind w:left="720" w:hanging="360"/>
      </w:pPr>
    </w:lvl>
    <w:lvl w:ilvl="1" w:tplc="55D68930">
      <w:start w:val="1"/>
      <w:numFmt w:val="bullet"/>
      <w:lvlText w:val="○"/>
      <w:lvlJc w:val="left"/>
      <w:pPr>
        <w:ind w:left="1440" w:hanging="360"/>
      </w:pPr>
    </w:lvl>
    <w:lvl w:ilvl="2" w:tplc="5A1A0FCC">
      <w:start w:val="1"/>
      <w:numFmt w:val="bullet"/>
      <w:lvlText w:val="■"/>
      <w:lvlJc w:val="left"/>
      <w:pPr>
        <w:ind w:left="2160" w:hanging="360"/>
      </w:pPr>
    </w:lvl>
    <w:lvl w:ilvl="3" w:tplc="875EC732">
      <w:start w:val="1"/>
      <w:numFmt w:val="bullet"/>
      <w:lvlText w:val="●"/>
      <w:lvlJc w:val="left"/>
      <w:pPr>
        <w:ind w:left="2880" w:hanging="360"/>
      </w:pPr>
    </w:lvl>
    <w:lvl w:ilvl="4" w:tplc="8300FC16">
      <w:start w:val="1"/>
      <w:numFmt w:val="bullet"/>
      <w:lvlText w:val="○"/>
      <w:lvlJc w:val="left"/>
      <w:pPr>
        <w:ind w:left="3600" w:hanging="360"/>
      </w:pPr>
    </w:lvl>
    <w:lvl w:ilvl="5" w:tplc="69FC6472">
      <w:start w:val="1"/>
      <w:numFmt w:val="bullet"/>
      <w:lvlText w:val="■"/>
      <w:lvlJc w:val="left"/>
      <w:pPr>
        <w:ind w:left="4320" w:hanging="360"/>
      </w:pPr>
    </w:lvl>
    <w:lvl w:ilvl="6" w:tplc="ED0EBAC2">
      <w:start w:val="1"/>
      <w:numFmt w:val="bullet"/>
      <w:lvlText w:val="●"/>
      <w:lvlJc w:val="left"/>
      <w:pPr>
        <w:ind w:left="5040" w:hanging="360"/>
      </w:pPr>
    </w:lvl>
    <w:lvl w:ilvl="7" w:tplc="31061926">
      <w:start w:val="1"/>
      <w:numFmt w:val="bullet"/>
      <w:lvlText w:val="●"/>
      <w:lvlJc w:val="left"/>
      <w:pPr>
        <w:ind w:left="5760" w:hanging="360"/>
      </w:pPr>
    </w:lvl>
    <w:lvl w:ilvl="8" w:tplc="41C819A2">
      <w:start w:val="1"/>
      <w:numFmt w:val="bullet"/>
      <w:lvlText w:val="●"/>
      <w:lvlJc w:val="left"/>
      <w:pPr>
        <w:ind w:left="6480" w:hanging="360"/>
      </w:pPr>
    </w:lvl>
  </w:abstractNum>
  <w:num w:numId="1" w16cid:durableId="19405211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515"/>
    <w:rsid w:val="00250389"/>
    <w:rsid w:val="00277515"/>
    <w:rsid w:val="00383BE1"/>
    <w:rsid w:val="004D0494"/>
    <w:rsid w:val="006A3DE4"/>
    <w:rsid w:val="007649C6"/>
    <w:rsid w:val="009F7F57"/>
    <w:rsid w:val="00AF057C"/>
    <w:rsid w:val="00E25123"/>
    <w:rsid w:val="00EA32EB"/>
    <w:rsid w:val="00F56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5DEEF"/>
  <w15:docId w15:val="{9F0B5269-2FDB-0040-B402-07CB7B52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FF7759"/>
      </w:pBdr>
      <w:spacing w:before="360" w:after="240"/>
      <w:outlineLvl w:val="0"/>
    </w:pPr>
    <w:rPr>
      <w:b/>
      <w:bCs/>
      <w:color w:val="FF7759"/>
      <w:spacing w:val="-10"/>
      <w:sz w:val="44"/>
      <w:szCs w:val="44"/>
    </w:rPr>
  </w:style>
  <w:style w:type="paragraph" w:styleId="Heading2">
    <w:name w:val="heading 2"/>
    <w:uiPriority w:val="9"/>
    <w:unhideWhenUsed/>
    <w:qFormat/>
    <w:pPr>
      <w:spacing w:before="320" w:after="160"/>
      <w:outlineLvl w:val="1"/>
    </w:pPr>
    <w:rPr>
      <w:b/>
      <w:bCs/>
      <w:color w:val="D85A3F"/>
      <w:spacing w:val="-6"/>
      <w:sz w:val="28"/>
      <w:szCs w:val="28"/>
    </w:rPr>
  </w:style>
  <w:style w:type="paragraph" w:styleId="Heading3">
    <w:name w:val="heading 3"/>
    <w:uiPriority w:val="9"/>
    <w:semiHidden/>
    <w:unhideWhenUsed/>
    <w:qFormat/>
    <w:pPr>
      <w:spacing w:before="220" w:after="110"/>
      <w:outlineLvl w:val="2"/>
    </w:pPr>
    <w:rPr>
      <w:b/>
      <w:bCs/>
      <w:color w:val="39594D"/>
      <w:spacing w:val="-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D85A3F"/>
      <w:u w:val="single" w:color="D85A3F"/>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649C6"/>
    <w:pPr>
      <w:tabs>
        <w:tab w:val="center" w:pos="4680"/>
        <w:tab w:val="right" w:pos="9360"/>
      </w:tabs>
    </w:pPr>
  </w:style>
  <w:style w:type="character" w:customStyle="1" w:styleId="HeaderChar">
    <w:name w:val="Header Char"/>
    <w:basedOn w:val="DefaultParagraphFont"/>
    <w:link w:val="Header"/>
    <w:uiPriority w:val="99"/>
    <w:rsid w:val="007649C6"/>
  </w:style>
  <w:style w:type="paragraph" w:styleId="Footer">
    <w:name w:val="footer"/>
    <w:basedOn w:val="Normal"/>
    <w:link w:val="FooterChar"/>
    <w:uiPriority w:val="99"/>
    <w:unhideWhenUsed/>
    <w:rsid w:val="007649C6"/>
    <w:pPr>
      <w:tabs>
        <w:tab w:val="center" w:pos="4680"/>
        <w:tab w:val="right" w:pos="9360"/>
      </w:tabs>
    </w:pPr>
  </w:style>
  <w:style w:type="character" w:customStyle="1" w:styleId="FooterChar">
    <w:name w:val="Footer Char"/>
    <w:basedOn w:val="DefaultParagraphFont"/>
    <w:link w:val="Footer"/>
    <w:uiPriority w:val="99"/>
    <w:rsid w:val="007649C6"/>
  </w:style>
  <w:style w:type="character" w:styleId="UnresolvedMention">
    <w:name w:val="Unresolved Mention"/>
    <w:basedOn w:val="DefaultParagraphFont"/>
    <w:uiPriority w:val="99"/>
    <w:semiHidden/>
    <w:unhideWhenUsed/>
    <w:rsid w:val="00383BE1"/>
    <w:rPr>
      <w:color w:val="605E5C"/>
      <w:shd w:val="clear" w:color="auto" w:fill="E1DFDD"/>
    </w:rPr>
  </w:style>
  <w:style w:type="character" w:styleId="FollowedHyperlink">
    <w:name w:val="FollowedHyperlink"/>
    <w:basedOn w:val="DefaultParagraphFont"/>
    <w:uiPriority w:val="99"/>
    <w:semiHidden/>
    <w:unhideWhenUsed/>
    <w:rsid w:val="00EA32E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s://pubmed.ncbi.nlm.nih.gov/40360966/" TargetMode="External"/><Relationship Id="rId26" Type="http://schemas.openxmlformats.org/officeDocument/2006/relationships/footer" Target="footer5.xml"/><Relationship Id="rId39" Type="http://schemas.openxmlformats.org/officeDocument/2006/relationships/hyperlink" Target="https://pmc.ncbi.nlm.nih.gov/articles/PMC11744098/" TargetMode="External"/><Relationship Id="rId21" Type="http://schemas.openxmlformats.org/officeDocument/2006/relationships/hyperlink" Target="https://pubmed.ncbi.nlm.nih.gov/39816573/" TargetMode="External"/><Relationship Id="rId34" Type="http://schemas.openxmlformats.org/officeDocument/2006/relationships/hyperlink" Target="https://pubmed.ncbi.nlm.nih.gov/39414418/" TargetMode="External"/><Relationship Id="rId42" Type="http://schemas.openxmlformats.org/officeDocument/2006/relationships/hyperlink" Target="https://pubmed.ncbi.nlm.nih.gov/41621028/" TargetMode="External"/><Relationship Id="rId47"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clinicaltrials.gov/study/NCT06101134" TargetMode="External"/><Relationship Id="rId29" Type="http://schemas.openxmlformats.org/officeDocument/2006/relationships/hyperlink" Target="https://pubmed.ncbi.nlm.nih.gov/3941441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pmc.ncbi.nlm.nih.gov/articles/PMC9063953/" TargetMode="External"/><Relationship Id="rId32" Type="http://schemas.openxmlformats.org/officeDocument/2006/relationships/hyperlink" Target="https://clinicaltrials.gov/study/NCT05415215?cond=NCT05415215&amp;rank=1" TargetMode="External"/><Relationship Id="rId37" Type="http://schemas.openxmlformats.org/officeDocument/2006/relationships/hyperlink" Target="https://pubmed.ncbi.nlm.nih.gov/41216380/" TargetMode="External"/><Relationship Id="rId40" Type="http://schemas.openxmlformats.org/officeDocument/2006/relationships/hyperlink" Target="https://link.springer.com/article/10.1007/s40271-026-00808-3" TargetMode="External"/><Relationship Id="rId45" Type="http://schemas.openxmlformats.org/officeDocument/2006/relationships/hyperlink" Target="https://pubmed.ncbi.nlm.nih.gov/40696090/" TargetMode="External"/><Relationship Id="rId5" Type="http://schemas.openxmlformats.org/officeDocument/2006/relationships/footnotes" Target="footnotes.xml"/><Relationship Id="rId15" Type="http://schemas.openxmlformats.org/officeDocument/2006/relationships/hyperlink" Target="https://clinicaltrials.gov/study/NCT05415215?cond=NCT05415215&amp;rank=1" TargetMode="External"/><Relationship Id="rId23" Type="http://schemas.openxmlformats.org/officeDocument/2006/relationships/hyperlink" Target="https://link.springer.com/article/10.1007/s40271-026-00808-3" TargetMode="External"/><Relationship Id="rId28" Type="http://schemas.openxmlformats.org/officeDocument/2006/relationships/hyperlink" Target="https://www.clinicaltrials.gov/study/NCT03674112" TargetMode="External"/><Relationship Id="rId36" Type="http://schemas.openxmlformats.org/officeDocument/2006/relationships/hyperlink" Target="https://pubmed.ncbi.nlm.nih.gov/35513765/" TargetMode="External"/><Relationship Id="rId10" Type="http://schemas.openxmlformats.org/officeDocument/2006/relationships/footer" Target="footer2.xml"/><Relationship Id="rId19" Type="http://schemas.openxmlformats.org/officeDocument/2006/relationships/hyperlink" Target="https://pubmed.ncbi.nlm.nih.gov/35513765/" TargetMode="External"/><Relationship Id="rId31" Type="http://schemas.openxmlformats.org/officeDocument/2006/relationships/hyperlink" Target="https://www.clinicaltrials.gov/study/NCT03674112" TargetMode="External"/><Relationship Id="rId44" Type="http://schemas.openxmlformats.org/officeDocument/2006/relationships/hyperlink" Target="https://www.clinicaltrials.gov/study/NCT03674112"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clinicaltrials.gov/study/NCT03674112" TargetMode="External"/><Relationship Id="rId22" Type="http://schemas.openxmlformats.org/officeDocument/2006/relationships/hyperlink" Target="https://pmc.ncbi.nlm.nih.gov/articles/PMC11744098/" TargetMode="External"/><Relationship Id="rId27" Type="http://schemas.openxmlformats.org/officeDocument/2006/relationships/hyperlink" Target="https://www.clinicaltrials.gov/study/NCT03674112" TargetMode="External"/><Relationship Id="rId30" Type="http://schemas.openxmlformats.org/officeDocument/2006/relationships/hyperlink" Target="https://www.clinicaltrials.gov/study/NCT03674112" TargetMode="External"/><Relationship Id="rId35" Type="http://schemas.openxmlformats.org/officeDocument/2006/relationships/hyperlink" Target="https://pubmed.ncbi.nlm.nih.gov/40360966/" TargetMode="External"/><Relationship Id="rId43" Type="http://schemas.openxmlformats.org/officeDocument/2006/relationships/hyperlink" Target="https://pubmed.ncbi.nlm.nih.gov/41286546/" TargetMode="External"/><Relationship Id="rId48" Type="http://schemas.openxmlformats.org/officeDocument/2006/relationships/theme" Target="theme/theme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https://pubmed.ncbi.nlm.nih.gov/39414418/" TargetMode="External"/><Relationship Id="rId25" Type="http://schemas.openxmlformats.org/officeDocument/2006/relationships/hyperlink" Target="https://pubmed.ncbi.nlm.nih.gov/41621028/" TargetMode="External"/><Relationship Id="rId33" Type="http://schemas.openxmlformats.org/officeDocument/2006/relationships/hyperlink" Target="https://www.clinicaltrials.gov/study/NCT06101134" TargetMode="External"/><Relationship Id="rId38" Type="http://schemas.openxmlformats.org/officeDocument/2006/relationships/hyperlink" Target="https://pubmed.ncbi.nlm.nih.gov/39816573/" TargetMode="External"/><Relationship Id="rId46" Type="http://schemas.openxmlformats.org/officeDocument/2006/relationships/footer" Target="footer6.xml"/><Relationship Id="rId20" Type="http://schemas.openxmlformats.org/officeDocument/2006/relationships/hyperlink" Target="https://pubmed.ncbi.nlm.nih.gov/41216380/" TargetMode="External"/><Relationship Id="rId41" Type="http://schemas.openxmlformats.org/officeDocument/2006/relationships/hyperlink" Target="https://pmc.ncbi.nlm.nih.gov/articles/PMC90639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F2CD7B-7646-1844-9BE4-7C8EEC7BDBAD}">
  <we:reference id="WA200010453" version="1.0.0.1" store="Omex" storeType="OMEX"/>
  <we:alternateReferences>
    <we:reference id="WA200010453" version="1.0.0.1" store="WA200010453" storeType="OMEX"/>
  </we:alternateReferences>
  <we:properties>
    <we:property name="claude.fileId" value="&quot;569e442f-c4ce-4b1a-8959-2cbeefe2886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250</TotalTime>
  <Pages>9</Pages>
  <Words>2748</Words>
  <Characters>16160</Characters>
  <Application>Microsoft Office Word</Application>
  <DocSecurity>0</DocSecurity>
  <Lines>299</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Justin Yu</cp:lastModifiedBy>
  <cp:revision>1</cp:revision>
  <dcterms:created xsi:type="dcterms:W3CDTF">2026-05-02T02:56:00Z</dcterms:created>
  <dcterms:modified xsi:type="dcterms:W3CDTF">2026-05-02T23:11:00Z</dcterms:modified>
</cp:coreProperties>
</file>