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AF6F1"/>
  <w:body>
    <w:p>
      <w:pPr>
        <w:pStyle w:val="Heading1"/>
      </w:pPr>
      <w:r>
        <w:t xml:space="preserve">Industry-Sponsored Pre-Approval HEOR Evidence in FDA Single-Arm Trial Approvals</w:t>
      </w:r>
    </w:p>
    <w:p>
      <w:pPr>
        <w:spacing w:after="160"/>
      </w:pPr>
      <w:r>
        <w:t xml:space="preserve">This document re-runs the inventory of pre-approval HEOR evidence under a stricter inclusion rule: studies are retained only if they were (a) published in peer-reviewed venues before the FDA calendar approval date, (b) directly relevant to the disease state, endpoint, or comparator framework used in the FDA submission, </w:t>
      </w:r>
      <w:r>
        <w:rPr>
          <w:b/>
          <w:bCs/>
        </w:rPr>
        <w:t xml:space="preserve">and (c) sponsored by industry</w:t>
      </w:r>
      <w:r>
        <w:t xml:space="preserve"> — typically the eventual product sponsor or a corporate predecessor — based on the published funding statement or a directly equivalent disclosure. The objective is to surface the studies that were </w:t>
      </w:r>
      <w:r>
        <w:rPr>
          <w:b/>
          <w:bCs/>
        </w:rPr>
        <w:t xml:space="preserve">likely conducted to support a specific approval</w:t>
      </w:r>
      <w:r>
        <w:t xml:space="preserve"> rather than studies that happened to be in the academic literature on the disease.</w:t>
      </w:r>
    </w:p>
    <w:p>
      <w:pPr>
        <w:pStyle w:val="Heading2"/>
      </w:pPr>
      <w:r>
        <w:t xml:space="preserve">Headline finding</w:t>
      </w:r>
    </w:p>
    <w:p>
      <w:pPr>
        <w:spacing w:after="160"/>
      </w:pPr>
      <w:r>
        <w:t xml:space="preserve">Of the approximately sixty pre-approval HEOR sources identified across the 22 single-arm-trial approvals reviewed, </w:t>
      </w:r>
      <w:r>
        <w:rPr>
          <w:b/>
          <w:bCs/>
        </w:rPr>
        <w:t xml:space="preserve">only six unambiguously qualify under this filter</w:t>
      </w:r>
      <w:r>
        <w:t xml:space="preserve"> (with two additional sources retained as partial industry sponsorship). </w:t>
      </w:r>
      <w:r>
        <w:rPr>
          <w:b/>
          <w:bCs/>
        </w:rPr>
        <w:t xml:space="preserve">Sixteen of the 22 inventoried treatments have no qualifying industry-sponsored pre-approval HEOR identified.</w:t>
      </w:r>
      <w:r>
        <w:t xml:space="preserve"> For these sixteen, the regulatory submission relied on a combination of academic, NIH-funded, and disease-foundation-funded natural-history cohorts; on registry data held by sponsors but not published in peer-reviewed venues before approval; or on within-patient pre/post comparison built into the registration trial.</w:t>
      </w:r>
    </w:p>
    <w:p>
      <w:pPr>
        <w:spacing w:after="160"/>
      </w:pPr>
      <w:r>
        <w:t xml:space="preserve">Three implications follow. First, </w:t>
      </w:r>
      <w:r>
        <w:rPr>
          <w:b/>
          <w:bCs/>
        </w:rPr>
        <w:t xml:space="preserve">industry sponsors typically rely on pre-existing academic and government natural-history infrastructure</w:t>
      </w:r>
      <w:r>
        <w:t xml:space="preserve"> as the external comparator for single-arm submissions rather than commissioning their own. The CINRG Duchenne natural-history study, the NCI NF1 Natural History Study, the PNCR and NeuroNEXT SMA cohorts, the CIBMTR HSCT registry, the Sickle Cell Disease Implementation Consortium, the T1D Exchange, and the various academic registries that anchored the submissions for EXONDYS 51, KOSELUGO, GOMEKLI, ZOLGENSMA, REZUROCK, CASGEVY, LYFGENIA, and LANTIDRA were all funded by NIH institutes, academic medical centers, or disease-specific foundations rather than by the eventual product sponsor.</w:t>
      </w:r>
    </w:p>
    <w:p>
      <w:pPr>
        <w:spacing w:after="160"/>
      </w:pPr>
      <w:r>
        <w:t xml:space="preserve">Second, the exception cluster — gene therapies for ultra-rare disease (LENMELDY, SKYSONA, KEBILIDI, BRINEURA), CAR-T (YESCARTA), the PIK3CA-overgrowth program (VIJOICE), and the hemophilia gene-therapy program (HEMGENIX) — corresponds to disease areas in which </w:t>
      </w:r>
      <w:r>
        <w:rPr>
          <w:b/>
          <w:bCs/>
        </w:rPr>
        <w:t xml:space="preserve">no usable academic natural-history infrastructure existed at the relevant time</w:t>
      </w:r>
      <w:r>
        <w:t xml:space="preserve">. In these cases the sponsor was effectively forced to fund its own comparator dataset, and that dataset was published, often in collaboration with academic investigators, in the years immediately preceding approval.</w:t>
      </w:r>
    </w:p>
    <w:p>
      <w:pPr>
        <w:spacing w:after="160"/>
      </w:pPr>
      <w:r>
        <w:t xml:space="preserve">Third, for most </w:t>
      </w:r>
      <w:r>
        <w:rPr>
          <w:b/>
          <w:bCs/>
        </w:rPr>
        <w:t xml:space="preserve">precision-oncology</w:t>
      </w:r>
      <w:r>
        <w:t xml:space="preserve"> approvals — BALVERSA, AYVAKIT, PEMAZYRE, WELIREG, and others — the industry-sponsored "comparator work" supporting the regulatory submission is the registration trial itself; the agency relied on competitor-sponsored or academic post-platinum / post-TKI benchmarks (KEYNOTE-045 for BALVERSA, ABC trials for PEMAZYRE) rather than on sponsor-funded HEOR. In oncology, peer-reviewed pre-approval HEOR funded by the eventual approver is rare even where the indication is biomarker-defined and the unmet need is clearly characterized.</w:t>
      </w:r>
    </w:p>
    <w:p>
      <w:pPr>
        <w:pStyle w:val="Heading2"/>
      </w:pPr>
      <w:r>
        <w:t xml:space="preserve">Filter applied</w:t>
      </w:r>
    </w:p>
    <w:p>
      <w:pPr>
        <w:spacing w:after="160"/>
      </w:pPr>
      <w:r>
        <w:t xml:space="preserve">For each of the ~60 sources in the prior inventory, the published funding/conflict-of-interest statement was retrieved (where available) and the study was classified as: </w:t>
      </w:r>
      <w:r>
        <w:rPr>
          <w:b/>
          <w:bCs/>
        </w:rPr>
        <w:t xml:space="preserve">industry-sponsored</w:t>
      </w:r>
      <w:r>
        <w:t xml:space="preserve"> if the funding statement named a pharmaceutical company; </w:t>
      </w:r>
      <w:r>
        <w:rPr>
          <w:b/>
          <w:bCs/>
        </w:rPr>
        <w:t xml:space="preserve">partial industry</w:t>
      </w:r>
      <w:r>
        <w:t xml:space="preserve"> if industry support was disclosed at the author level but not at the study level, or if the study was developed in collaboration with industry but funded primarily by academic or government sources; or </w:t>
      </w:r>
      <w:r>
        <w:rPr>
          <w:b/>
          <w:bCs/>
        </w:rPr>
        <w:t xml:space="preserve">not industry-sponsored</w:t>
      </w:r>
      <w:r>
        <w:t xml:space="preserve"> if the funding statement named only NIH institutes, foundation grants, academic medical centers, or government funders. Studies in the first two categories were further screened for </w:t>
      </w:r>
      <w:r>
        <w:rPr>
          <w:b/>
          <w:bCs/>
        </w:rPr>
        <w:t xml:space="preserve">alignment between funder and eventual approver</w:t>
      </w:r>
      <w:r>
        <w:t xml:space="preserve"> and for </w:t>
      </w:r>
      <w:r>
        <w:rPr>
          <w:b/>
          <w:bCs/>
        </w:rPr>
        <w:t xml:space="preserve">publication timing relative to approval</w:t>
      </w:r>
      <w:r>
        <w:t xml:space="preserve"> (typically within 1–8 years pre-approval). Only studies passing both the industry-sponsorship test and the alignment test are retained in the inventory below.</w:t>
      </w:r>
    </w:p>
    <w:p>
      <w:pPr>
        <w:pStyle w:val="Heading2"/>
      </w:pPr>
      <w:r>
        <w:t xml:space="preserve">Levels of evidentiary rigor recap</w:t>
      </w:r>
    </w:p>
    <w:p>
      <w:pPr>
        <w:spacing w:after="160"/>
      </w:pPr>
      <w:r>
        <w:t xml:space="preserve">The same five-level rigor framework introduced in the broader companion document applies here: Level 1 (descriptive epidemiology), Level 2 (disease-specific natural-history characterization), Level 3 (endpoint-aligned prospective natural-history cohorts), Level 4 (trial-matched external control arms with explicit application of trial inclusion/exclusion criteria, individual-level matching, propensity scoring, or pooled retrospective harmonization), and Level 5 (prospectively designed natural-history comparators with trial-aligned protocols, blinded adjudication, and pre-specified analytic plans). </w:t>
      </w:r>
      <w:hyperlink w:history="1" r:id="rId-uzoimjqm5wkvltnnxoud">
        <w:r>
          <w:rPr>
            <w:rStyle w:val="Hyperlink"/>
          </w:rPr>
          <w:t xml:space="preserve">[2]</w:t>
        </w:r>
      </w:hyperlink>
      <w:r>
        <w:t xml:space="preserve"> Notably, </w:t>
      </w:r>
      <w:r>
        <w:rPr>
          <w:b/>
          <w:bCs/>
        </w:rPr>
        <w:t xml:space="preserve">all six unambiguously qualifying industry-sponsored sources sit at Level 4 or Level 5</w:t>
      </w:r>
      <w:r>
        <w:t xml:space="preserve"> — they are not generic burden-of-disease studies but purpose-built comparator analyses designed to support a specific submission. This is consistent with the broader observation that sponsor-funded pre-approval HEOR, where it exists at all, is typically directly tied to the registration trial’s comparator structure.</w:t>
      </w:r>
    </w:p>
    <w:p>
      <w:pPr>
        <w:pStyle w:val="Heading2"/>
      </w:pPr>
      <w:r>
        <w:t xml:space="preserve">Inventory of industry-sponsored pre-approval sources</w:t>
      </w:r>
    </w:p>
    <w:p>
      <w:pPr>
        <w:spacing w:after="160"/>
      </w:pPr>
      <w:r>
        <w:rPr>
          <w:i/>
          <w:iCs/>
        </w:rPr>
        <w:t xml:space="preserve">Sources are organized by treatment, in chronological order of first FDA approval. Bracketed numbers are hyperlinks to the corresponding entry in the References section. The "Pre-approval gap" column records the time between source publication and FDA calendar approval date — a smaller gap typically indicates that the source was conducted explicitly to support the regulatory submission, while a larger gap indicates that the source served as foundational evidence for a multi-year development program.</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900"/>
        <w:gridCol w:w="1900"/>
        <w:gridCol w:w="1500"/>
        <w:gridCol w:w="3460"/>
      </w:tblGrid>
      <w:tr>
        <w:trPr>
          <w:tblHeader/>
        </w:trPr>
        <w:tc>
          <w:tcPr>
            <w:tcW w:type="dxa" w:w="17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Treatment</w:t>
            </w:r>
          </w:p>
        </w:tc>
        <w:tc>
          <w:tcPr>
            <w:tcW w:type="dxa" w:w="15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Sponsor (eventual approver)</w:t>
            </w:r>
          </w:p>
        </w:tc>
        <w:tc>
          <w:tcPr>
            <w:tcW w:type="dxa" w:w="29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Industry-sponsored pre-approval source</w:t>
            </w:r>
          </w:p>
        </w:tc>
        <w:tc>
          <w:tcPr>
            <w:tcW w:type="dxa" w:w="19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Funder identified</w:t>
            </w:r>
          </w:p>
        </w:tc>
        <w:tc>
          <w:tcPr>
            <w:tcW w:type="dxa" w:w="15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Pre-approval gap</w:t>
            </w:r>
          </w:p>
        </w:tc>
        <w:tc>
          <w:tcPr>
            <w:tcW w:type="dxa" w:w="346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Role in the regulatory submission</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YESCARTA</w:t>
            </w:r>
            <w:r>
              <w:t xml:space="preserve"> (axicabtagene ciloleucel)</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Kite Pharma (a Gilead company)</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SCHOLAR-1: pooled retrospective natural-history meta-analysis of refractory DLBCL outcomes (n=636 evaluable). </w:t>
            </w:r>
            <w:hyperlink w:history="1" r:id="rIdqqvcck2frakoey8iaqu8y">
              <w:r>
                <w:rPr>
                  <w:rStyle w:val="Hyperlink"/>
                </w:rPr>
                <w:t xml:space="preserve">[4]</w:t>
              </w:r>
            </w:hyperlink>
          </w:p>
        </w:tc>
        <w:tc>
          <w:tcPr>
            <w:tcW w:type="dxa" w:w="1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Kite Pharma (unrestricted grant)</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 months</w:t>
            </w:r>
          </w:p>
        </w:tc>
        <w:tc>
          <w:tcPr>
            <w:tcW w:type="dxa" w:w="34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Sponsor-funded, sponsor-curated external comparator. Aggregated patient-level data from two Phase 3 trials (LARO-CORAL, CCTG LY.12) and two academic registries (MD Anderson, Iowa/Mayo) and re-applied a uniform definition of refractory DLBCL across all four sources. </w:t>
            </w:r>
            <w:r>
              <w:rPr>
                <w:b/>
                <w:bCs/>
              </w:rPr>
              <w:t xml:space="preserve">The canonical external benchmark cited in the FDA review for ZUMA-1.</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SKYSONA</w:t>
            </w:r>
            <w:r>
              <w:t xml:space="preserve"> (elivaldogene autotemcel)</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bluebird bio</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Multicenter retrospective cohort comparing survival and major functional disability-free survival in CALD patients with and without allogeneic HSCT. </w:t>
            </w:r>
            <w:hyperlink w:history="1" r:id="rIdli4u064ktogw4vo5hy_zu">
              <w:r>
                <w:rPr>
                  <w:rStyle w:val="Hyperlink"/>
                </w:rPr>
                <w:t xml:space="preserve">[8]</w:t>
              </w:r>
            </w:hyperlink>
          </w:p>
        </w:tc>
        <w:tc>
          <w:tcPr>
            <w:tcW w:type="dxa" w:w="1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bluebird bio (a co-author was a bluebird bio employee at the time of the study)</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~3.5 years</w:t>
            </w:r>
          </w:p>
        </w:tc>
        <w:tc>
          <w:tcPr>
            <w:tcW w:type="dxa" w:w="34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Sponsor-funded comparator analysis that established the major functional disability-free survival benchmark used as the SKYSONA primary endpoint. The pivotal evidence package combined the Starbeam/ALD-102 single-arm cohort with this allo-HSCT comparator and a separate untreated natural-history cohort. </w:t>
            </w:r>
            <w:r>
              <w:rPr>
                <w:b/>
                <w:bCs/>
              </w:rPr>
              <w:t xml:space="preserve">FDA classified the approval under its real-world evidence framework. </w:t>
            </w:r>
            <w:hyperlink w:history="1" r:id="rIdgjusayaxlr7ule62vawjo">
              <w:r>
                <w:rPr>
                  <w:rStyle w:val="Hyperlink"/>
                </w:rPr>
                <w:t xml:space="preserve">[1]</w:t>
              </w:r>
            </w:hyperlink>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LENMELDY</w:t>
            </w:r>
            <w:r>
              <w:t xml:space="preserve"> (atidarsagene autotemcel)</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Orchard Therapeutics (program originated at SR-Tiget; licensed from GSK in 2018)</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Phase 1/2 ad-hoc analysis: first treated cohort with matched untreated natural-history controls. </w:t>
            </w:r>
            <w:hyperlink w:history="1" r:id="rIdzxcbdn5tb-p_8aptvyhn3">
              <w:r>
                <w:rPr>
                  <w:rStyle w:val="Hyperlink"/>
                </w:rPr>
                <w:t xml:space="preserve">[5]</w:t>
              </w:r>
            </w:hyperlink>
          </w:p>
          <w:p>
            <w:pPr>
              <w:spacing w:after="60"/>
            </w:pPr>
            <w:r>
              <w:t xml:space="preserve">Long-term Phase 1/2 trial plus expanded access: treated cohort (n=29) matched to untreated controls (n=31) on age at onset, MLD subtype, and baseline GMFM-88. </w:t>
            </w:r>
            <w:hyperlink w:history="1" r:id="rId9vpxmcgdc6yhwyfeojlfa">
              <w:r>
                <w:rPr>
                  <w:rStyle w:val="Hyperlink"/>
                </w:rPr>
                <w:t xml:space="preserve">[6]</w:t>
              </w:r>
            </w:hyperlink>
          </w:p>
        </w:tc>
        <w:tc>
          <w:tcPr>
            <w:tcW w:type="dxa" w:w="1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Fondazione Telethon, GlaxoSmithKline (Sessa 2016); Orchard Therapeutics, Fondazione Telethon, GlaxoSmithKline (Fumagalli 2022)</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~8 years (Sessa 2016); ~2 years (Fumagalli 2022)</w:t>
            </w:r>
          </w:p>
        </w:tc>
        <w:tc>
          <w:tcPr>
            <w:tcW w:type="dxa" w:w="34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The matched untreated natural-history comparator used in the FDA submission was prospectively built at SR-Tiget alongside the treated cohort, using identical motor-function instruments (GMFC-MLD, GMFM-88) and follow-up intervals. Fumagalli 2022 is the principal pre-approval publication describing this comparator structure; Sessa 2016 established the prototype. </w:t>
            </w:r>
            <w:r>
              <w:rPr>
                <w:b/>
                <w:bCs/>
              </w:rPr>
              <w:t xml:space="preserve">FDA classified the approval under its real-world evidence framework. </w:t>
            </w:r>
            <w:hyperlink w:history="1" r:id="rIdf1llrqkf-hjg6emunzpgu">
              <w:r>
                <w:rPr>
                  <w:rStyle w:val="Hyperlink"/>
                </w:rPr>
                <w:t xml:space="preserve">[1]</w:t>
              </w:r>
            </w:hyperlink>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KEBILIDI</w:t>
            </w:r>
            <w:r>
              <w:t xml:space="preserve"> (eladocagene exuparvovec-tneq)</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PTC Therapeutics</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Long-term efficacy and safety pooled analysis (n=26, up to 7-year follow-up across AADC-CU/01 and AADC-1601/1602). </w:t>
            </w:r>
            <w:hyperlink w:history="1" r:id="rIdnldfxegq_w_mqx_ilq5yf">
              <w:r>
                <w:rPr>
                  <w:rStyle w:val="Hyperlink"/>
                </w:rPr>
                <w:t xml:space="preserve">[7]</w:t>
              </w:r>
            </w:hyperlink>
          </w:p>
          <w:p>
            <w:pPr>
              <w:spacing w:after="60"/>
            </w:pPr>
            <w:r>
              <w:t xml:space="preserve">Retrospective natural-history cohort of 37 Taiwanese AADC-deficiency patients documenting motor-milestone non-acquisition under standard care. </w:t>
            </w:r>
            <w:hyperlink w:history="1" r:id="rId26rxw3ppouosx85iyjp9r">
              <w:r>
                <w:rPr>
                  <w:rStyle w:val="Hyperlink"/>
                </w:rPr>
                <w:t xml:space="preserve">[9]</w:t>
              </w:r>
            </w:hyperlink>
          </w:p>
        </w:tc>
        <w:tc>
          <w:tcPr>
            <w:tcW w:type="dxa" w:w="1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PTC Therapeutics (Tai 2022, partial study and full manuscript funding); senior author held PTC Therapeutics consulting and research relationships at the time (Hwu 2018)</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~2.5 years (Tai 2022); ~6 years (Hwu 2018)</w:t>
            </w:r>
          </w:p>
        </w:tc>
        <w:tc>
          <w:tcPr>
            <w:tcW w:type="dxa" w:w="34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Tai 2022 is the principal sponsor-funded pre-approval RWE publication on durability and developmental outcomes. Hwu 2018 documents the untreated natural-history trajectory (no head control, sitting, standing, or speech in 36 of 37 patients) that served as the comparator for the AADC-CU/01 and AADC-1601/1602 single-arm trials.</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VIJOICE</w:t>
            </w:r>
            <w:r>
              <w:t xml:space="preserve"> (alpelisib)</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Novartis Pharmaceuticals</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Compassionate-use case series in 19 PROS patients at a single French centre, the predecessor cohort to the EPIK-P1 study used for FDA approval. </w:t>
            </w:r>
            <w:hyperlink w:history="1" r:id="rIdxm4x-apikccpmtqfmnq9q">
              <w:r>
                <w:rPr>
                  <w:rStyle w:val="Hyperlink"/>
                </w:rPr>
                <w:t xml:space="preserve">[10]</w:t>
              </w:r>
            </w:hyperlink>
          </w:p>
        </w:tc>
        <w:tc>
          <w:tcPr>
            <w:tcW w:type="dxa" w:w="1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rPr>
              <w:t xml:space="preserve">Partial industry: </w:t>
            </w:r>
            <w:r>
              <w:t xml:space="preserve">INSERM/CNRS/AP-HP filed the patent on BYL719 in PROS; Novartis subsequently operationalized the global managed-access program (BYL719F12001M) from May 2018 onward, providing alpelisib to 59 patients across 10 countries by May 2019. The 2018 publication itself is academic-French government but was developed in close collaboration with Novartis.</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~4 years</w:t>
            </w:r>
          </w:p>
        </w:tc>
        <w:tc>
          <w:tcPr>
            <w:tcW w:type="dxa" w:w="34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The 19 patients in the Venot 2018 series and the patients receiving alpelisib through the subsequent Novartis global managed-access program were aggregated to form the EPIK-P1 single-arm dataset on which VIJOICE was approved. </w:t>
            </w:r>
            <w:r>
              <w:rPr>
                <w:b/>
                <w:bCs/>
              </w:rPr>
              <w:t xml:space="preserve">FDA classified this approval under its real-world evidence framework. </w:t>
            </w:r>
            <w:hyperlink w:history="1" r:id="rIdbrd89svtqxocvux5yqa8t">
              <w:r>
                <w:rPr>
                  <w:rStyle w:val="Hyperlink"/>
                </w:rPr>
                <w:t xml:space="preserve">[1]</w:t>
              </w:r>
            </w:hyperlink>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HEMGENIX</w:t>
            </w:r>
            <w:r>
              <w:t xml:space="preserve"> (etranacogene dezaparvovec-drlb)</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CSL Behring (manufactured by uniQure)</w:t>
            </w:r>
          </w:p>
        </w:tc>
        <w:tc>
          <w:tcPr>
            <w:tcW w:type="dxa" w:w="2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CHESS study: cross-sectional clinical and economic burden of severe hemophilia in five European countries (n=1,285). </w:t>
            </w:r>
            <w:hyperlink w:history="1" r:id="rIdrpsesuq3jb5xsyhuloax4">
              <w:r>
                <w:rPr>
                  <w:rStyle w:val="Hyperlink"/>
                </w:rPr>
                <w:t xml:space="preserve">[11]</w:t>
              </w:r>
            </w:hyperlink>
          </w:p>
        </w:tc>
        <w:tc>
          <w:tcPr>
            <w:tcW w:type="dxa" w:w="19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rPr>
              <w:t xml:space="preserve">Industry-consortium: </w:t>
            </w:r>
            <w:r>
              <w:t xml:space="preserve">CHESS and successor CHESS II were funded by an industry consortium of hemophilia treatment manufacturers including Bayer, CSL Behring, Pfizer, Shire, Novo Nordisk, Sobi, and Octapharma. CSL Behring is HEMGENIX’s eventual sponsor.</w:t>
            </w:r>
          </w:p>
        </w:tc>
        <w:tc>
          <w:tcPr>
            <w:tcW w:type="dxa" w:w="15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~5 years</w:t>
            </w:r>
          </w:p>
        </w:tc>
        <w:tc>
          <w:tcPr>
            <w:tcW w:type="dxa" w:w="34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CHESS provided the contemporary annualized bleeding rate, factor IX consumption, and care-burden benchmarks against which the HOPE-B single-arm trial’s 6-month FIX-prophylaxis lead-in was contextualized. The HOPE-B program itself used a within-patient pre/post comparison rather than an external-control cohort.</w:t>
            </w:r>
          </w:p>
        </w:tc>
      </w:tr>
    </w:tbl>
    <w:p>
      <w:pPr>
        <w:pStyle w:val="Heading2"/>
      </w:pPr>
      <w:r>
        <w:t xml:space="preserve">Treatments with no qualifying industry-sponsored pre-approval HEOR</w:t>
      </w:r>
    </w:p>
    <w:p>
      <w:pPr>
        <w:spacing w:after="160"/>
      </w:pPr>
      <w:r>
        <w:t xml:space="preserve">The following sixteen treatments — which together account for the majority of single-arm-trial approvals in the 2016–2025 window — have </w:t>
      </w:r>
      <w:r>
        <w:rPr>
          <w:b/>
          <w:bCs/>
        </w:rPr>
        <w:t xml:space="preserve">no qualifying industry-sponsored pre-approval HEOR</w:t>
      </w:r>
      <w:r>
        <w:t xml:space="preserve"> identified in this review. For each, the dominant pre-approval comparator/burden-of-disease evidence was either academic, NIH-funded, foundation-funded, or held by the sponsor in unpublished form.</w:t>
      </w:r>
    </w:p>
    <w:p>
      <w:pPr>
        <w:spacing w:after="160"/>
      </w:pPr>
      <w:r>
        <w:rPr>
          <w:i/>
          <w:iCs/>
        </w:rPr>
        <w:t xml:space="preserve">EXONDYS 51 (eteplirsen, Sarepta) — the CINRG Duchenne Natural History Study (Bello 2015–2016) was funded by the NIH National Institute on Disability and Rehabilitation Research, the U.S. Department of Defense, and the Muscular Dystrophy Association.</w:t>
      </w:r>
    </w:p>
    <w:p>
      <w:pPr>
        <w:spacing w:after="160"/>
      </w:pPr>
      <w:r>
        <w:rPr>
          <w:i/>
          <w:iCs/>
        </w:rPr>
        <w:t xml:space="preserve">BRINEURA (cerliponase alfa, BioMarin) — the principal pre-approval natural-history characterization (Steinfeld 2002, Nickel 2018) was academic. The DEM-CHILD CLN2 registry comparator was sponsor-curated but not published before approval. The pivotal trial (Schulz 2018, BioMarin-sponsored) was published 13 months after approval. </w:t>
      </w:r>
      <w:hyperlink w:history="1" r:id="rIdhtqyvy7wgxlcpjiyxjdbp">
        <w:r>
          <w:rPr>
            <w:rStyle w:val="Hyperlink"/>
          </w:rPr>
          <w:t xml:space="preserve">[12]</w:t>
        </w:r>
      </w:hyperlink>
    </w:p>
    <w:p>
      <w:pPr>
        <w:spacing w:after="160"/>
      </w:pPr>
      <w:r>
        <w:rPr>
          <w:i/>
          <w:iCs/>
        </w:rPr>
        <w:t xml:space="preserve">BAVENCIO (avelumab, EMD Serono/Pfizer) — the principal Merkel cell carcinoma chemotherapy benchmark (Iyer 2016) was funded by NIH grants K24-CA139052, R01-CA162522, and R01-CA176841 and private foundations.</w:t>
      </w:r>
    </w:p>
    <w:p>
      <w:pPr>
        <w:spacing w:after="160"/>
      </w:pPr>
      <w:r>
        <w:rPr>
          <w:i/>
          <w:iCs/>
        </w:rPr>
        <w:t xml:space="preserve">KYMRIAH (tisagenlecleucel, Novartis) — pediatric r/r ALL salvage benchmarks (von Stackelberg 2016, Bhojwani 2013) and historical COG/BFM cooperative-group cohorts were funded by NIH-NCI and academic consortia.</w:t>
      </w:r>
    </w:p>
    <w:p>
      <w:pPr>
        <w:spacing w:after="160"/>
      </w:pPr>
      <w:r>
        <w:rPr>
          <w:i/>
          <w:iCs/>
        </w:rPr>
        <w:t xml:space="preserve">BALVERSA (erdafitinib, Janssen) — KEYNOTE-045 (Bellmunt 2017) was Merck-sponsored and supported pembrolizumab, not erdafitinib; FGFR-landscape studies (Helsten 2016) were academic. No Janssen-sponsored pre-approval HEOR for erdafitinib was identified.</w:t>
      </w:r>
    </w:p>
    <w:p>
      <w:pPr>
        <w:spacing w:after="160"/>
      </w:pPr>
      <w:r>
        <w:rPr>
          <w:i/>
          <w:iCs/>
        </w:rPr>
        <w:t xml:space="preserve">ZOLGENSMA (onasemnogene abeparvovec-xioi, AveXis/Novartis) — the PNCR (Finkel 2014) and NeuroNEXT (Kolb 2017) prospective natural-history cohorts that served as the principal external comparator were funded by NIH-NINDS (and NIH-NCATS for NeuroNEXT) — not by AveXis.</w:t>
      </w:r>
    </w:p>
    <w:p>
      <w:pPr>
        <w:spacing w:after="160"/>
      </w:pPr>
      <w:r>
        <w:rPr>
          <w:i/>
          <w:iCs/>
        </w:rPr>
        <w:t xml:space="preserve">AYVAKIT (avapritinib, Blueprint Medicines) — the PDGFRA D842V GIST natural-history cohorts (Cassier 2012, Farag 2017) were academic and predate Blueprint’s development program by several years.</w:t>
      </w:r>
    </w:p>
    <w:p>
      <w:pPr>
        <w:spacing w:after="160"/>
      </w:pPr>
      <w:r>
        <w:rPr>
          <w:i/>
          <w:iCs/>
        </w:rPr>
        <w:t xml:space="preserve">KOSELUGO (selumetinib, AstraZeneca) — the NCI NF1 Natural History Study (Dombi 2007, Gross 2018, Akshintala 2020) was an NCI intramural program. The REiNS PRO recommendations (Wolters 2013) were academic-consortium-developed.</w:t>
      </w:r>
    </w:p>
    <w:p>
      <w:pPr>
        <w:spacing w:after="160"/>
      </w:pPr>
      <w:r>
        <w:rPr>
          <w:i/>
          <w:iCs/>
        </w:rPr>
        <w:t xml:space="preserve">PEMAZYRE (pemigatinib, Incyte) — second-line cholangiocarcinoma benchmarks (Lamarca 2014) were academic systematic reviews. No Incyte-sponsored pre-approval HEOR identified.</w:t>
      </w:r>
    </w:p>
    <w:p>
      <w:pPr>
        <w:spacing w:after="160"/>
      </w:pPr>
      <w:r>
        <w:rPr>
          <w:i/>
          <w:iCs/>
        </w:rPr>
        <w:t xml:space="preserve">NULIBRY (fosdenopterin, Origin Biosciences/BridgeBio) — the published MoCD natural history (Mechler 2015) was an academic systematic-literature analysis. The 15-country sponsor-curated genotype-matched cohort that served as the FDA comparator was not published in peer-reviewed venues before approval.</w:t>
      </w:r>
    </w:p>
    <w:p>
      <w:pPr>
        <w:spacing w:after="160"/>
      </w:pPr>
      <w:r>
        <w:rPr>
          <w:i/>
          <w:iCs/>
        </w:rPr>
        <w:t xml:space="preserve">WELIREG (belzutifan, Merck) — VHL natural-history characterization (Lonser 2003, Maher 2011) was academic and NIH-funded. The Jonasch 2018 pazopanib VHL trial was a single-academic-centre study at MD Anderson; no Merck-sponsored pre-approval HEOR for belzutifan was identified.</w:t>
      </w:r>
    </w:p>
    <w:p>
      <w:pPr>
        <w:spacing w:after="160"/>
      </w:pPr>
      <w:r>
        <w:rPr>
          <w:i/>
          <w:iCs/>
        </w:rPr>
        <w:t xml:space="preserve">REZUROCK (belumosudil, Kadmon) — the cGVHD failure-free survival benchmark (Inamoto 2013) and CIBMTR registry analyses (Arai 2015) were academic-cooperative-group-funded. The NIH 2014 cGVHD response criteria (Lee 2015) and Lee Symptom Scale (Lee 2002) were academic-consortium-developed.</w:t>
      </w:r>
    </w:p>
    <w:p>
      <w:pPr>
        <w:spacing w:after="160"/>
      </w:pPr>
      <w:r>
        <w:rPr>
          <w:i/>
          <w:iCs/>
        </w:rPr>
        <w:t xml:space="preserve">ZYNTEGLO (betibeglogene autotemcel, bluebird bio) — the UK Thalassaemia Register (Modell 2008) and TDT burden literature (Musallam 2013) were academic and registry-based. The TranQol PRO (Klaassen 2013) was developed at Canadian academic medical centers.</w:t>
      </w:r>
    </w:p>
    <w:p>
      <w:pPr>
        <w:spacing w:after="160"/>
      </w:pPr>
      <w:r>
        <w:rPr>
          <w:i/>
          <w:iCs/>
        </w:rPr>
        <w:t xml:space="preserve">ADSTILADRIN (nadofaragene firadenovec, Ferring) — IBCG endpoint definitions (Kamat 2018) and the FDA-AUA-BCAN-SUO consensus on BCG-unresponsive disease states (Lerner 2015) were academic-consensus documents.</w:t>
      </w:r>
    </w:p>
    <w:p>
      <w:pPr>
        <w:spacing w:after="160"/>
      </w:pPr>
      <w:r>
        <w:rPr>
          <w:i/>
          <w:iCs/>
        </w:rPr>
        <w:t xml:space="preserve">LANTIDRA (donislecel, CellTrans) — severe-hypoglycemia incidence data from the T1D Exchange (Weinstock 2013) was funded by the Helmsley Charitable Trust. The Hypoglycemia Fear Survey (Cox 1987), Clarke Score (Clarke 1995), and CIT-07 islet transplantation Phase 3 trial (Hering 2016) were NIDDK- and academic-funded.</w:t>
      </w:r>
    </w:p>
    <w:p>
      <w:pPr>
        <w:spacing w:after="160"/>
      </w:pPr>
      <w:r>
        <w:rPr>
          <w:i/>
          <w:iCs/>
        </w:rPr>
        <w:t xml:space="preserve">CASGEVY (exagamglogene autotemcel, Vertex/CRISPR) and LYFGENIA (lovotibeglogene autotemcel, bluebird bio) — the SCD mortality (Platt 1994), acute-care utilization (Brousseau 2010), and contemporary epidemiology (Kanter 2021) literature was academic. The SCDIC PRO assessment (Knisely 2020) was NHLBI-funded. ASCQ-Me (Treadwell 2014) was NIH-PROMIS funded.</w:t>
      </w:r>
    </w:p>
    <w:p>
      <w:pPr>
        <w:spacing w:after="160"/>
      </w:pPr>
      <w:r>
        <w:rPr>
          <w:i/>
          <w:iCs/>
        </w:rPr>
        <w:t xml:space="preserve">GOMEKLI (mirdametinib, SpringWorks) — relied on the same NCI NF1 Natural History Study evidence base as KOSELUGO; no SpringWorks-sponsored pre-approval HEOR identified.</w:t>
      </w:r>
    </w:p>
    <w:p>
      <w:pPr>
        <w:pStyle w:val="Heading2"/>
      </w:pPr>
      <w:r>
        <w:t xml:space="preserve">Discussion</w:t>
      </w:r>
    </w:p>
    <w:p>
      <w:pPr>
        <w:pStyle w:val="Heading3"/>
      </w:pPr>
      <w:r>
        <w:t xml:space="preserve">Why is industry-sponsored pre-approval HEOR concentrated in gene therapy and CAR-T?</w:t>
      </w:r>
    </w:p>
    <w:p>
      <w:pPr>
        <w:spacing w:after="160"/>
      </w:pPr>
      <w:r>
        <w:t xml:space="preserve">Three structural factors concentrate sponsor-funded HEOR in advanced-therapy approvals. First, </w:t>
      </w:r>
      <w:r>
        <w:rPr>
          <w:b/>
          <w:bCs/>
        </w:rPr>
        <w:t xml:space="preserve">the targeted patient populations are too rare to support pre-existing academic natural-history infrastructure</w:t>
      </w:r>
      <w:r>
        <w:t xml:space="preserve"> at the granularity required for an external-control submission. The total worldwide untreated CALD, MLD, AADC-deficiency, and PROS populations are each on the order of dozens to low hundreds of patients per year, and academic cohorts at this granularity did not exist with the endpoint structure required for FDA. Sponsors building gene-therapy programs therefore had to construct their own comparator cohorts, often at the same investigator sites that conducted the registration trial, using the same instruments and assessors. Sessa 2016 </w:t>
      </w:r>
      <w:hyperlink w:history="1" r:id="rIdlzlnwt69cvgefyso1ieyh">
        <w:r>
          <w:rPr>
            <w:rStyle w:val="Hyperlink"/>
          </w:rPr>
          <w:t xml:space="preserve">[5]</w:t>
        </w:r>
      </w:hyperlink>
      <w:r>
        <w:t xml:space="preserve"> / Fumagalli 2022 </w:t>
      </w:r>
      <w:hyperlink w:history="1" r:id="rIdue7upcakgcwm8__1cw8qe">
        <w:r>
          <w:rPr>
            <w:rStyle w:val="Hyperlink"/>
          </w:rPr>
          <w:t xml:space="preserve">[6]</w:t>
        </w:r>
      </w:hyperlink>
      <w:r>
        <w:t xml:space="preserve"> for LENMELDY and Raymond 2019 </w:t>
      </w:r>
      <w:hyperlink w:history="1" r:id="rId3-6tnhyiqgg4cgrihypr2">
        <w:r>
          <w:rPr>
            <w:rStyle w:val="Hyperlink"/>
          </w:rPr>
          <w:t xml:space="preserve">[8]</w:t>
        </w:r>
      </w:hyperlink>
      <w:r>
        <w:t xml:space="preserve"> for SKYSONA are direct illustrations.</w:t>
      </w:r>
    </w:p>
    <w:p>
      <w:pPr>
        <w:spacing w:after="160"/>
      </w:pPr>
      <w:r>
        <w:t xml:space="preserve">Second, </w:t>
      </w:r>
      <w:r>
        <w:rPr>
          <w:b/>
          <w:bCs/>
        </w:rPr>
        <w:t xml:space="preserve">the FDA’s real-world-evidence pathway requires a peer-reviewed publication of the comparator structure or methodology as a precondition for regulatory acceptance</w:t>
      </w:r>
      <w:r>
        <w:t xml:space="preserve"> in many cases. The four products explicitly classified by FDA under its real-world evidence framework — NULIBRY, VIJOICE, SKYSONA, and LENMELDY — all have either a published comparator analysis (LENMELDY, SKYSONA) or a sponsor-curated unpublished comparator with explicit FDA acknowledgment (NULIBRY, VIJOICE). </w:t>
      </w:r>
      <w:hyperlink w:history="1" r:id="rIdoz_q_ojj7aeyneczcdmgl">
        <w:r>
          <w:rPr>
            <w:rStyle w:val="Hyperlink"/>
          </w:rPr>
          <w:t xml:space="preserve">[1]</w:t>
        </w:r>
      </w:hyperlink>
      <w:r>
        <w:t xml:space="preserve"> This regulatory expectation effectively requires sponsors to fund and publish HEOR work that, in oncology programs operating under accelerated approval with later randomized confirmatory trials, would not be required.</w:t>
      </w:r>
    </w:p>
    <w:p>
      <w:pPr>
        <w:spacing w:after="160"/>
      </w:pPr>
      <w:r>
        <w:t xml:space="preserve">Third, </w:t>
      </w:r>
      <w:r>
        <w:rPr>
          <w:b/>
          <w:bCs/>
        </w:rPr>
        <w:t xml:space="preserve">CAR-T and gene therapy compete on durability and one-time treatment burden against well-characterized chronic alternatives</w:t>
      </w:r>
      <w:r>
        <w:t xml:space="preserve"> (allo-HSCT, chronic transfusion, lifelong factor replacement). Sponsor-funded comparator analyses are required to make this trade-off legible to FDA and to payers. SCHOLAR-1 </w:t>
      </w:r>
      <w:hyperlink w:history="1" r:id="rIdkcbjrdzyuwz9givbhcvyg">
        <w:r>
          <w:rPr>
            <w:rStyle w:val="Hyperlink"/>
          </w:rPr>
          <w:t xml:space="preserve">[4]</w:t>
        </w:r>
      </w:hyperlink>
      <w:r>
        <w:t xml:space="preserve"> was constructed by Kite Pharma in part to establish that CAR-T was being measured against an appropriately refractory population rather than against a more responsive earlier-line cohort. CHESS </w:t>
      </w:r>
      <w:hyperlink w:history="1" r:id="rIdhguluy55kunrlen6qpo-3">
        <w:r>
          <w:rPr>
            <w:rStyle w:val="Hyperlink"/>
          </w:rPr>
          <w:t xml:space="preserve">[11]</w:t>
        </w:r>
      </w:hyperlink>
      <w:r>
        <w:t xml:space="preserve"> was constructed in part to quantify the chronic-care burden against which gene therapy for hemophilia would later be measured.</w:t>
      </w:r>
    </w:p>
    <w:p>
      <w:pPr>
        <w:pStyle w:val="Heading3"/>
      </w:pPr>
      <w:r>
        <w:t xml:space="preserve">Why is industry-sponsored pre-approval HEOR rare in precision oncology?</w:t>
      </w:r>
    </w:p>
    <w:p>
      <w:pPr>
        <w:spacing w:after="160"/>
      </w:pPr>
      <w:r>
        <w:t xml:space="preserve">In precision oncology, the registration trial’s biomarker-defined indication is typically the principal evidence package; FDA accepts ORR and DOR in molecularly selected refractory populations as evidence of effect, with confirmatory randomized trials required postmarketing. </w:t>
      </w:r>
      <w:hyperlink w:history="1" r:id="rIdtb9uy20q1b-rm0w3bouxy">
        <w:r>
          <w:rPr>
            <w:rStyle w:val="Hyperlink"/>
          </w:rPr>
          <w:t xml:space="preserve">[3]</w:t>
        </w:r>
      </w:hyperlink>
      <w:r>
        <w:t xml:space="preserve"> Under this framework, sponsor-funded pre-approval HEOR is structurally unnecessary: the registration trial itself plays the role that an external comparator plays in rare-disease gene-therapy submissions. The result is that academic natural-history characterization (Cassier 2012 for D842V GIST; Lamarca 2014 for second-line cholangiocarcinoma; Helsten 2016 for FGFR landscape) provides the framing for the unmet-need narrative without sponsor-funded supplementation.</w:t>
      </w:r>
    </w:p>
    <w:p>
      <w:pPr>
        <w:pStyle w:val="Heading3"/>
      </w:pPr>
      <w:r>
        <w:t xml:space="preserve">Implications for sponsors</w:t>
      </w:r>
    </w:p>
    <w:p>
      <w:pPr>
        <w:spacing w:after="160"/>
      </w:pPr>
      <w:r>
        <w:t xml:space="preserve">Three implications follow for sponsors planning to use single-arm evidence as the principal regulatory basis for an approval.</w:t>
      </w:r>
    </w:p>
    <w:p>
      <w:pPr>
        <w:spacing w:after="160"/>
      </w:pPr>
      <w:r>
        <w:rPr>
          <w:b/>
          <w:bCs/>
        </w:rPr>
        <w:t xml:space="preserve">First, the structural question is whether an academic natural-history dataset already exists with the endpoint resolution and population alignment required for the planned indication.</w:t>
      </w:r>
      <w:r>
        <w:t xml:space="preserve"> If yes — as is typically the case in DMD, NF1, SMA, sickle cell disease, transfusion-dependent thalassemia, hemophilia, cGVHD, and most oncology indications — the sponsor is unlikely to need to fund and publish its own pre-approval HEOR; the academic literature can be cited directly. If no, as in most ultra-rare metabolic and neurodegenerative disease and most non-canonical CAR-T target populations, the sponsor will likely need to commission, fund, and publish its own comparator analysis well in advance of submission.</w:t>
      </w:r>
    </w:p>
    <w:p>
      <w:pPr>
        <w:spacing w:after="160"/>
      </w:pPr>
      <w:r>
        <w:rPr>
          <w:b/>
          <w:bCs/>
        </w:rPr>
        <w:t xml:space="preserve">Second, where sponsor-funded HEOR is required, it should be designed to occupy Level 4 or Level 5 in the rigor hierarchy</w:t>
      </w:r>
      <w:r>
        <w:t xml:space="preserve"> — that is, it should explicitly apply the registration trial’s inclusion/exclusion criteria to the comparator cohort and, where feasible, use the same assessment instruments, intervals, and adjudication procedures. Burden-of-disease studies aggregated to the broad disease population (Level 1) and disease-specific natural-history characterizations without trial alignment (Level 2) provide little incremental regulatory value once the registration trial is underway.</w:t>
      </w:r>
    </w:p>
    <w:p>
      <w:pPr>
        <w:spacing w:after="160"/>
      </w:pPr>
      <w:r>
        <w:rPr>
          <w:b/>
          <w:bCs/>
        </w:rPr>
        <w:t xml:space="preserve">Third, peer-reviewed publication of the comparator analysis before submission materially de-risks the regulatory package.</w:t>
      </w:r>
      <w:r>
        <w:t xml:space="preserve"> SCHOLAR-1 was published two months before the YESCARTA approval. Fumagalli 2022 was published two years before the LENMELDY approval. Raymond 2019 was published three and a half years before the SKYSONA approval. Where the comparator dataset is funded by the sponsor but remains unpublished at submission, the residual regulatory uncertainty is typically offset through postmarketing requirements, continued natural-history follow-up, and longer durability monitoring.</w:t>
      </w:r>
    </w:p>
    <w:p>
      <w:pPr>
        <w:pStyle w:val="Heading2"/>
      </w:pPr>
      <w:r>
        <w:t xml:space="preserve">Limitations</w:t>
      </w:r>
    </w:p>
    <w:p>
      <w:pPr>
        <w:spacing w:after="160"/>
      </w:pPr>
      <w:r>
        <w:t xml:space="preserve">This filtered inventory is subject to two material limitations. First, </w:t>
      </w:r>
      <w:r>
        <w:rPr>
          <w:b/>
          <w:bCs/>
        </w:rPr>
        <w:t xml:space="preserve">the funding-statement classification is based on the published disclosure section of each source</w:t>
      </w:r>
      <w:r>
        <w:t xml:space="preserve">. Where funding statements are incomplete, ambiguous, or paywall-restricted, the classification reflects best inference from author affiliations, institutional disclosures, and program-level context. The "partial industry" classification (used here for Venot 2018 </w:t>
      </w:r>
      <w:hyperlink w:history="1" r:id="rIdieguj0pol-hcxlry8gidy">
        <w:r>
          <w:rPr>
            <w:rStyle w:val="Hyperlink"/>
          </w:rPr>
          <w:t xml:space="preserve">[10]</w:t>
        </w:r>
      </w:hyperlink>
      <w:r>
        <w:t xml:space="preserve"> and CHESS / O’Hara 2017 </w:t>
      </w:r>
      <w:hyperlink w:history="1" r:id="rIdo4sdpkoxntki7q0lkymp_">
        <w:r>
          <w:rPr>
            <w:rStyle w:val="Hyperlink"/>
          </w:rPr>
          <w:t xml:space="preserve">[11]</w:t>
        </w:r>
      </w:hyperlink>
      <w:r>
        <w:t xml:space="preserve">) captures cases where the picture is mixed.</w:t>
      </w:r>
    </w:p>
    <w:p>
      <w:pPr>
        <w:spacing w:after="160"/>
      </w:pPr>
      <w:r>
        <w:t xml:space="preserve">Second, </w:t>
      </w:r>
      <w:r>
        <w:rPr>
          <w:b/>
          <w:bCs/>
        </w:rPr>
        <w:t xml:space="preserve">the absence of a qualifying industry-sponsored pre-approval HEOR source for a given treatment does not imply absence of sponsor-curated comparator data</w:t>
      </w:r>
      <w:r>
        <w:t xml:space="preserve">. Several of the sixteen treatments without qualifying sources — BRINEURA, NULIBRY, ZYNTEGLO, HEMGENIX — were nevertheless approved on the basis of sponsor-curated external-control or natural-history comparators that were either unpublished at the time of approval, published only in regulatory filings (not PubMed-indexed venues), or published as the pivotal-trial article shortly after approval. This document inventories peer-reviewed sources only; the regulatory submissions themselves draw on a broader unpublished evidentiary base.</w:t>
      </w:r>
    </w:p>
    <w:p>
      <w:pPr>
        <w:pStyle w:val="Heading2"/>
      </w:pPr>
      <w:r>
        <w:t xml:space="preserve">References</w:t>
      </w:r>
    </w:p>
    <w:p>
      <w:pPr>
        <w:spacing w:after="160"/>
      </w:pPr>
      <w:r>
        <w:rPr>
          <w:i/>
          <w:iCs/>
        </w:rPr>
        <w:t xml:space="preserve">References listed in numerical order of first appearance. Bracketed numerals hyperlink to the source DOI or canonical URL. Funding statements are noted parenthetically in each entry where applicable.</w:t>
      </w:r>
    </w:p>
    <w:p>
      <w:pPr>
        <w:spacing w:after="80"/>
      </w:pPr>
      <w:hyperlink w:history="1" r:id="rIdnpisq3y5jv-jq_a6n99jp">
        <w:r>
          <w:rPr>
            <w:rStyle w:val="Hyperlink"/>
            <w:b/>
            <w:bCs/>
          </w:rPr>
          <w:t xml:space="preserve">[1] </w:t>
        </w:r>
      </w:hyperlink>
      <w:r>
        <w:t xml:space="preserve">U.S. Food and Drug Administration. FDA’s Use of Real-World Evidence in Regulatory Decision-Making. </w:t>
      </w:r>
      <w:hyperlink w:history="1" r:id="rIdev5kr85eo5i6poyp6ypeb">
        <w:r>
          <w:rPr>
            <w:rStyle w:val="Hyperlink"/>
            <w:sz w:val="18"/>
            <w:szCs w:val="18"/>
          </w:rPr>
          <w:t xml:space="preserve">https://www.fda.gov/science-research/real-world-evidence/fda-use-real-world-evidence-regulatory-decision-making</w:t>
        </w:r>
      </w:hyperlink>
    </w:p>
    <w:p>
      <w:pPr>
        <w:spacing w:after="80"/>
      </w:pPr>
      <w:hyperlink w:history="1" r:id="rId1jh4v15ac-pduvseeahai">
        <w:r>
          <w:rPr>
            <w:rStyle w:val="Hyperlink"/>
            <w:b/>
            <w:bCs/>
          </w:rPr>
          <w:t xml:space="preserve">[2] </w:t>
        </w:r>
      </w:hyperlink>
      <w:r>
        <w:t xml:space="preserve">U.S. Food and Drug Administration. Considerations for the Design and Conduct of Externally Controlled Trials for Drug and Biological Products. Draft Guidance for Industry, 2023. </w:t>
      </w:r>
      <w:hyperlink w:history="1" r:id="rIdofstqdfj0nfcn0zxz9yns">
        <w:r>
          <w:rPr>
            <w:rStyle w:val="Hyperlink"/>
            <w:sz w:val="18"/>
            <w:szCs w:val="18"/>
          </w:rPr>
          <w:t xml:space="preserve">https://www.fda.gov/media/170827/download</w:t>
        </w:r>
      </w:hyperlink>
    </w:p>
    <w:p>
      <w:pPr>
        <w:spacing w:after="80"/>
      </w:pPr>
      <w:hyperlink w:history="1" r:id="rIdvncasqne5vg0-2qhzsxkt">
        <w:r>
          <w:rPr>
            <w:rStyle w:val="Hyperlink"/>
            <w:b/>
            <w:bCs/>
          </w:rPr>
          <w:t xml:space="preserve">[3] </w:t>
        </w:r>
      </w:hyperlink>
      <w:r>
        <w:t xml:space="preserve">U.S. Food and Drug Administration. Accelerated Approval Program. </w:t>
      </w:r>
      <w:hyperlink w:history="1" r:id="rIddjosuux5a0sbcl5kqxfet">
        <w:r>
          <w:rPr>
            <w:rStyle w:val="Hyperlink"/>
            <w:sz w:val="18"/>
            <w:szCs w:val="18"/>
          </w:rPr>
          <w:t xml:space="preserve">https://www.fda.gov/drugs/nda-and-bla-approvals/accelerated-approval-program</w:t>
        </w:r>
      </w:hyperlink>
    </w:p>
    <w:p>
      <w:pPr>
        <w:spacing w:after="80"/>
      </w:pPr>
      <w:hyperlink w:history="1" r:id="rIdisfprsum21171np16oj9t">
        <w:r>
          <w:rPr>
            <w:rStyle w:val="Hyperlink"/>
            <w:b/>
            <w:bCs/>
          </w:rPr>
          <w:t xml:space="preserve">[4] </w:t>
        </w:r>
      </w:hyperlink>
      <w:r>
        <w:t xml:space="preserve">Crump M, Neelapu SS, Farooq U, et al. Outcomes in refractory diffuse large B-cell lymphoma: results from the international SCHOLAR-1 study. Blood. 2017;130(16):1800–1808. (Funded by Kite Pharma unrestricted grant.) </w:t>
      </w:r>
      <w:hyperlink w:history="1" r:id="rId1vi3o3ugqtrulgebkeios">
        <w:r>
          <w:rPr>
            <w:rStyle w:val="Hyperlink"/>
            <w:sz w:val="18"/>
            <w:szCs w:val="18"/>
          </w:rPr>
          <w:t xml:space="preserve">https://doi.org/10.1182/blood-2017-03-769620</w:t>
        </w:r>
      </w:hyperlink>
    </w:p>
    <w:p>
      <w:pPr>
        <w:spacing w:after="80"/>
      </w:pPr>
      <w:hyperlink w:history="1" r:id="rIdjz20sses8937d1u9bi_t6">
        <w:r>
          <w:rPr>
            <w:rStyle w:val="Hyperlink"/>
            <w:b/>
            <w:bCs/>
          </w:rPr>
          <w:t xml:space="preserve">[5] </w:t>
        </w:r>
      </w:hyperlink>
      <w:r>
        <w:t xml:space="preserve">Sessa M, Lorioli L, Fumagalli F, et al. Lentiviral haemopoietic stem-cell gene therapy in early-onset metachromatic leukodystrophy: an ad-hoc analysis of a non-randomised, open-label, phase 1/2 trial. Lancet. 2016;388(10043):476–487. (Funded by Fondazione Telethon and GlaxoSmithKline; program subsequently licensed to Orchard Therapeutics in 2018.) </w:t>
      </w:r>
      <w:hyperlink w:history="1" r:id="rIdrrmb2uhrqp1fvnac4kwkq">
        <w:r>
          <w:rPr>
            <w:rStyle w:val="Hyperlink"/>
            <w:sz w:val="18"/>
            <w:szCs w:val="18"/>
          </w:rPr>
          <w:t xml:space="preserve">https://doi.org/10.1016/S0140-6736(16)30374-9</w:t>
        </w:r>
      </w:hyperlink>
    </w:p>
    <w:p>
      <w:pPr>
        <w:spacing w:after="80"/>
      </w:pPr>
      <w:hyperlink w:history="1" r:id="rIdfwqj8aqlirm5uvghxx-ct">
        <w:r>
          <w:rPr>
            <w:rStyle w:val="Hyperlink"/>
            <w:b/>
            <w:bCs/>
          </w:rPr>
          <w:t xml:space="preserve">[6] </w:t>
        </w:r>
      </w:hyperlink>
      <w:r>
        <w:t xml:space="preserve">Fumagalli F, Calbi V, Natali Sora MG, et al. Lentiviral haematopoietic stem-cell gene therapy for early-onset metachromatic leukodystrophy: long-term results from a non-randomised, open-label, phase 1/2 trial and expanded access. Lancet. 2022;399(10322):372–383. (Funded by Orchard Therapeutics, Fondazione Telethon, and GlaxoSmithKline.) </w:t>
      </w:r>
      <w:hyperlink w:history="1" r:id="rId1ookpa4ud4gmdovfh2axe">
        <w:r>
          <w:rPr>
            <w:rStyle w:val="Hyperlink"/>
            <w:sz w:val="18"/>
            <w:szCs w:val="18"/>
          </w:rPr>
          <w:t xml:space="preserve">https://doi.org/10.1016/S0140-6736(21)02017-1</w:t>
        </w:r>
      </w:hyperlink>
    </w:p>
    <w:p>
      <w:pPr>
        <w:spacing w:after="80"/>
      </w:pPr>
      <w:hyperlink w:history="1" r:id="rIdpnirfnbecvwjzqf25q_9-">
        <w:r>
          <w:rPr>
            <w:rStyle w:val="Hyperlink"/>
            <w:b/>
            <w:bCs/>
          </w:rPr>
          <w:t xml:space="preserve">[7] </w:t>
        </w:r>
      </w:hyperlink>
      <w:r>
        <w:t xml:space="preserve">Tai CH, Lee NC, Chien YH, et al. Long-term efficacy and safety of eladocagene exuparvovec in patients with AADC deficiency. Mol Ther. 2022;30(2):509–518. (Manuscript and clinical studies funded in part by PTC Therapeutics.) </w:t>
      </w:r>
      <w:hyperlink w:history="1" r:id="rIdg2obe3ppeqorcd9zz09ur">
        <w:r>
          <w:rPr>
            <w:rStyle w:val="Hyperlink"/>
            <w:sz w:val="18"/>
            <w:szCs w:val="18"/>
          </w:rPr>
          <w:t xml:space="preserve">https://doi.org/10.1016/j.ymthe.2021.11.005</w:t>
        </w:r>
      </w:hyperlink>
    </w:p>
    <w:p>
      <w:pPr>
        <w:spacing w:after="80"/>
      </w:pPr>
      <w:hyperlink w:history="1" r:id="rIdzo-bh8v5gcv2hp9zqhxdw">
        <w:r>
          <w:rPr>
            <w:rStyle w:val="Hyperlink"/>
            <w:b/>
            <w:bCs/>
          </w:rPr>
          <w:t xml:space="preserve">[8] </w:t>
        </w:r>
      </w:hyperlink>
      <w:r>
        <w:t xml:space="preserve">Raymond GV, Aubourg P, Paker A, et al. Survival and functional outcomes in boys with cerebral adrenoleukodystrophy with and without hematopoietic stem cell transplantation. Biol Blood Marrow Transplant. 2019;25(3):538–548. (Funded by bluebird bio; an author was a bluebird bio employee at the time of the study.) </w:t>
      </w:r>
      <w:hyperlink w:history="1" r:id="rId63fx34hshnez_wd_bpz1g">
        <w:r>
          <w:rPr>
            <w:rStyle w:val="Hyperlink"/>
            <w:sz w:val="18"/>
            <w:szCs w:val="18"/>
          </w:rPr>
          <w:t xml:space="preserve">https://doi.org/10.1016/j.bbmt.2018.09.036</w:t>
        </w:r>
      </w:hyperlink>
    </w:p>
    <w:p>
      <w:pPr>
        <w:spacing w:after="80"/>
      </w:pPr>
      <w:hyperlink w:history="1" r:id="rIdwgj7okcb5aljpsbrh4ixr">
        <w:r>
          <w:rPr>
            <w:rStyle w:val="Hyperlink"/>
            <w:b/>
            <w:bCs/>
          </w:rPr>
          <w:t xml:space="preserve">[9] </w:t>
        </w:r>
      </w:hyperlink>
      <w:r>
        <w:t xml:space="preserve">Hwu PWL, Chien YH, Lee NC, et al. Natural history of aromatic L-amino acid decarboxylase deficiency in Taiwan. JIMD Rep. 2018;40:1–6. (Senior author held PTC Therapeutics consulting/research relationships; author-level industry support indicates manuscript was prepared in support of the eladocagene exuparvovec program.) </w:t>
      </w:r>
      <w:hyperlink w:history="1" r:id="rIdfbys5duvriqhevizla8gl">
        <w:r>
          <w:rPr>
            <w:rStyle w:val="Hyperlink"/>
            <w:sz w:val="18"/>
            <w:szCs w:val="18"/>
          </w:rPr>
          <w:t xml:space="preserve">https://doi.org/10.1007/8904_2017_54</w:t>
        </w:r>
      </w:hyperlink>
    </w:p>
    <w:p>
      <w:pPr>
        <w:spacing w:after="80"/>
      </w:pPr>
      <w:hyperlink w:history="1" r:id="rId8mjevqsyzuuokgdrlodce">
        <w:r>
          <w:rPr>
            <w:rStyle w:val="Hyperlink"/>
            <w:b/>
            <w:bCs/>
          </w:rPr>
          <w:t xml:space="preserve">[10] </w:t>
        </w:r>
      </w:hyperlink>
      <w:r>
        <w:t xml:space="preserve">Venot Q, Blanc T, Rabia SH, et al. Targeted therapy in patients with PIK3CA-related overgrowth syndrome. Nature. 2018;558(7711):540–546. (Compassionate-use case series at a single French centre; INSERM/CNRS/AP-HP filed the patent for BYL719 in PROS; Novartis subsequently operationalized the global managed access program (BYL719F12001M) that became the EPIK-P1 dataset used for the FDA submission.) </w:t>
      </w:r>
      <w:hyperlink w:history="1" r:id="rIdipddalkw_hhxdqdrxdidw">
        <w:r>
          <w:rPr>
            <w:rStyle w:val="Hyperlink"/>
            <w:sz w:val="18"/>
            <w:szCs w:val="18"/>
          </w:rPr>
          <w:t xml:space="preserve">https://doi.org/10.1038/s41586-018-0217-9</w:t>
        </w:r>
      </w:hyperlink>
    </w:p>
    <w:p>
      <w:pPr>
        <w:spacing w:after="80"/>
      </w:pPr>
      <w:hyperlink w:history="1" r:id="rId2bugydnhu43ns7xlkfnek">
        <w:r>
          <w:rPr>
            <w:rStyle w:val="Hyperlink"/>
            <w:b/>
            <w:bCs/>
          </w:rPr>
          <w:t xml:space="preserve">[11] </w:t>
        </w:r>
      </w:hyperlink>
      <w:r>
        <w:t xml:space="preserve">O’Hara J, Hughes D, Camp C, Burke T, Carroll L, Diego DG. The cost of severe haemophilia in Europe: the CHESS study. Orphanet J Rare Dis. 2017;12(1):106. (CHESS study sponsored by an industry consortium; subsequent CHESS extensions disclose Bayer, CSL Behring, Pfizer, Shire, Novo Nordisk, Sobi, and Octapharma support.) </w:t>
      </w:r>
      <w:hyperlink w:history="1" r:id="rIdae99apn8e8vw_n-1ixhmh">
        <w:r>
          <w:rPr>
            <w:rStyle w:val="Hyperlink"/>
            <w:sz w:val="18"/>
            <w:szCs w:val="18"/>
          </w:rPr>
          <w:t xml:space="preserve">https://doi.org/10.1186/s13023-017-0660-y</w:t>
        </w:r>
      </w:hyperlink>
    </w:p>
    <w:p>
      <w:pPr>
        <w:spacing w:after="80"/>
      </w:pPr>
      <w:hyperlink w:history="1" r:id="rId7dxfinxfzgavht0ulspyl">
        <w:r>
          <w:rPr>
            <w:rStyle w:val="Hyperlink"/>
            <w:b/>
            <w:bCs/>
          </w:rPr>
          <w:t xml:space="preserve">[12] </w:t>
        </w:r>
      </w:hyperlink>
      <w:r>
        <w:t xml:space="preserve">Schulz A, Ajayi T, Specchio N, et al. Study of intraventricular cerliponase alfa for CLN2 disease. N Engl J Med. 2018;378(20):1898–1907. (Designed, funded, and analyzed by sponsor BioMarin Pharmaceutical; published 13 months after FDA approval, but the underlying matched-pair external-control analysis was the principal evidence package submitted to FDA.) </w:t>
      </w:r>
      <w:hyperlink w:history="1" r:id="rIddv4ffuggrx-kby8dilvdt">
        <w:r>
          <w:rPr>
            <w:rStyle w:val="Hyperlink"/>
            <w:sz w:val="18"/>
            <w:szCs w:val="18"/>
          </w:rPr>
          <w:t xml:space="preserve">https://doi.org/10.1056/NEJMoa1712649</w:t>
        </w:r>
      </w:hyperlink>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D85A3F"/>
      <w:u w:val="single" w:color="D85A3F"/>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7759" w:sz="8" w:space="6"/>
      </w:pBdr>
      <w:spacing w:after="240" w:before="360"/>
      <w:outlineLvl w:val="0"/>
    </w:pPr>
    <w:rPr>
      <w:rFonts w:ascii="Helvetica Neue" w:cs="Helvetica Neue" w:eastAsia="Helvetica Neue" w:hAnsi="Helvetica Neue"/>
      <w:b/>
      <w:bCs/>
      <w:color w:val="FF7759"/>
      <w:spacing w:val="-10"/>
      <w:sz w:val="44"/>
      <w:szCs w:val="44"/>
    </w:rPr>
  </w:style>
  <w:style w:type="paragraph" w:styleId="Heading2">
    <w:name w:val="Heading 2"/>
    <w:basedOn w:val="Normal"/>
    <w:next w:val="Normal"/>
    <w:qFormat/>
    <w:pPr>
      <w:spacing w:after="160" w:before="320"/>
      <w:outlineLvl w:val="1"/>
    </w:pPr>
    <w:rPr>
      <w:rFonts w:ascii="Helvetica Neue" w:cs="Helvetica Neue" w:eastAsia="Helvetica Neue" w:hAnsi="Helvetica Neue"/>
      <w:b/>
      <w:bCs/>
      <w:color w:val="D85A3F"/>
      <w:spacing w:val="-6"/>
      <w:sz w:val="28"/>
      <w:szCs w:val="28"/>
    </w:rPr>
  </w:style>
  <w:style w:type="paragraph" w:styleId="Heading3">
    <w:name w:val="Heading 3"/>
    <w:basedOn w:val="Normal"/>
    <w:next w:val="Normal"/>
    <w:qFormat/>
    <w:pPr>
      <w:spacing w:after="110" w:before="220"/>
      <w:outlineLvl w:val="2"/>
    </w:pPr>
    <w:rPr>
      <w:rFonts w:ascii="Helvetica Neue" w:cs="Helvetica Neue" w:eastAsia="Helvetica Neue" w:hAnsi="Helvetica Neue"/>
      <w:b/>
      <w:bCs/>
      <w:color w:val="39594D"/>
      <w:spacing w:val="-4"/>
      <w:sz w:val="22"/>
      <w:szCs w:val="22"/>
    </w:rPr>
  </w:style>
  <w:style w:type="paragraph" w:styleId="Hyperlink">
    <w:name w:val="Hyperlink"/>
    <w:basedOn w:val="Normal"/>
    <w:next w:val="Normal"/>
    <w:rPr>
      <w:color w:val="D85A3F"/>
      <w:u w:val="single" w:color="D85A3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zoimjqm5wkvltnnxoud" Type="http://schemas.openxmlformats.org/officeDocument/2006/relationships/hyperlink" Target="https://www.fda.gov/media/170827/download" TargetMode="External"/><Relationship Id="rIdqqvcck2frakoey8iaqu8y" Type="http://schemas.openxmlformats.org/officeDocument/2006/relationships/hyperlink" Target="https://doi.org/10.1182/blood-2017-03-769620" TargetMode="External"/><Relationship Id="rIdli4u064ktogw4vo5hy_zu" Type="http://schemas.openxmlformats.org/officeDocument/2006/relationships/hyperlink" Target="https://doi.org/10.1016/j.bbmt.2018.09.036" TargetMode="External"/><Relationship Id="rIdgjusayaxlr7ule62vawjo" Type="http://schemas.openxmlformats.org/officeDocument/2006/relationships/hyperlink" Target="https://www.fda.gov/science-research/real-world-evidence/fda-use-real-world-evidence-regulatory-decision-making" TargetMode="External"/><Relationship Id="rIdzxcbdn5tb-p_8aptvyhn3" Type="http://schemas.openxmlformats.org/officeDocument/2006/relationships/hyperlink" Target="https://doi.org/10.1016/S0140-6736(16)30374-9" TargetMode="External"/><Relationship Id="rId9vpxmcgdc6yhwyfeojlfa" Type="http://schemas.openxmlformats.org/officeDocument/2006/relationships/hyperlink" Target="https://doi.org/10.1016/S0140-6736(21)02017-1" TargetMode="External"/><Relationship Id="rIdf1llrqkf-hjg6emunzpgu" Type="http://schemas.openxmlformats.org/officeDocument/2006/relationships/hyperlink" Target="https://www.fda.gov/science-research/real-world-evidence/fda-use-real-world-evidence-regulatory-decision-making" TargetMode="External"/><Relationship Id="rIdnldfxegq_w_mqx_ilq5yf" Type="http://schemas.openxmlformats.org/officeDocument/2006/relationships/hyperlink" Target="https://doi.org/10.1016/j.ymthe.2021.11.005" TargetMode="External"/><Relationship Id="rId26rxw3ppouosx85iyjp9r" Type="http://schemas.openxmlformats.org/officeDocument/2006/relationships/hyperlink" Target="https://doi.org/10.1007/8904_2017_54" TargetMode="External"/><Relationship Id="rIdxm4x-apikccpmtqfmnq9q" Type="http://schemas.openxmlformats.org/officeDocument/2006/relationships/hyperlink" Target="https://doi.org/10.1038/s41586-018-0217-9" TargetMode="External"/><Relationship Id="rIdbrd89svtqxocvux5yqa8t" Type="http://schemas.openxmlformats.org/officeDocument/2006/relationships/hyperlink" Target="https://www.fda.gov/science-research/real-world-evidence/fda-use-real-world-evidence-regulatory-decision-making" TargetMode="External"/><Relationship Id="rIdrpsesuq3jb5xsyhuloax4" Type="http://schemas.openxmlformats.org/officeDocument/2006/relationships/hyperlink" Target="https://doi.org/10.1186/s13023-017-0660-y" TargetMode="External"/><Relationship Id="rIdhtqyvy7wgxlcpjiyxjdbp" Type="http://schemas.openxmlformats.org/officeDocument/2006/relationships/hyperlink" Target="https://doi.org/10.1056/NEJMoa1712649" TargetMode="External"/><Relationship Id="rIdlzlnwt69cvgefyso1ieyh" Type="http://schemas.openxmlformats.org/officeDocument/2006/relationships/hyperlink" Target="https://doi.org/10.1016/S0140-6736(16)30374-9" TargetMode="External"/><Relationship Id="rIdue7upcakgcwm8__1cw8qe" Type="http://schemas.openxmlformats.org/officeDocument/2006/relationships/hyperlink" Target="https://doi.org/10.1016/S0140-6736(21)02017-1" TargetMode="External"/><Relationship Id="rId3-6tnhyiqgg4cgrihypr2" Type="http://schemas.openxmlformats.org/officeDocument/2006/relationships/hyperlink" Target="https://doi.org/10.1016/j.bbmt.2018.09.036" TargetMode="External"/><Relationship Id="rIdoz_q_ojj7aeyneczcdmgl" Type="http://schemas.openxmlformats.org/officeDocument/2006/relationships/hyperlink" Target="https://www.fda.gov/science-research/real-world-evidence/fda-use-real-world-evidence-regulatory-decision-making" TargetMode="External"/><Relationship Id="rIdkcbjrdzyuwz9givbhcvyg" Type="http://schemas.openxmlformats.org/officeDocument/2006/relationships/hyperlink" Target="https://doi.org/10.1182/blood-2017-03-769620" TargetMode="External"/><Relationship Id="rIdhguluy55kunrlen6qpo-3" Type="http://schemas.openxmlformats.org/officeDocument/2006/relationships/hyperlink" Target="https://doi.org/10.1186/s13023-017-0660-y" TargetMode="External"/><Relationship Id="rIdtb9uy20q1b-rm0w3bouxy" Type="http://schemas.openxmlformats.org/officeDocument/2006/relationships/hyperlink" Target="https://www.fda.gov/drugs/nda-and-bla-approvals/accelerated-approval-program" TargetMode="External"/><Relationship Id="rIdieguj0pol-hcxlry8gidy" Type="http://schemas.openxmlformats.org/officeDocument/2006/relationships/hyperlink" Target="https://doi.org/10.1038/s41586-018-0217-9" TargetMode="External"/><Relationship Id="rIdo4sdpkoxntki7q0lkymp_" Type="http://schemas.openxmlformats.org/officeDocument/2006/relationships/hyperlink" Target="https://doi.org/10.1186/s13023-017-0660-y" TargetMode="External"/><Relationship Id="rIdnpisq3y5jv-jq_a6n99jp" Type="http://schemas.openxmlformats.org/officeDocument/2006/relationships/hyperlink" Target="https://www.fda.gov/science-research/real-world-evidence/fda-use-real-world-evidence-regulatory-decision-making" TargetMode="External"/><Relationship Id="rIdev5kr85eo5i6poyp6ypeb" Type="http://schemas.openxmlformats.org/officeDocument/2006/relationships/hyperlink" Target="https://www.fda.gov/science-research/real-world-evidence/fda-use-real-world-evidence-regulatory-decision-making" TargetMode="External"/><Relationship Id="rId1jh4v15ac-pduvseeahai" Type="http://schemas.openxmlformats.org/officeDocument/2006/relationships/hyperlink" Target="https://www.fda.gov/media/170827/download" TargetMode="External"/><Relationship Id="rIdofstqdfj0nfcn0zxz9yns" Type="http://schemas.openxmlformats.org/officeDocument/2006/relationships/hyperlink" Target="https://www.fda.gov/media/170827/download" TargetMode="External"/><Relationship Id="rIdvncasqne5vg0-2qhzsxkt" Type="http://schemas.openxmlformats.org/officeDocument/2006/relationships/hyperlink" Target="https://www.fda.gov/drugs/nda-and-bla-approvals/accelerated-approval-program" TargetMode="External"/><Relationship Id="rIddjosuux5a0sbcl5kqxfet" Type="http://schemas.openxmlformats.org/officeDocument/2006/relationships/hyperlink" Target="https://www.fda.gov/drugs/nda-and-bla-approvals/accelerated-approval-program" TargetMode="External"/><Relationship Id="rIdisfprsum21171np16oj9t" Type="http://schemas.openxmlformats.org/officeDocument/2006/relationships/hyperlink" Target="https://doi.org/10.1182/blood-2017-03-769620" TargetMode="External"/><Relationship Id="rId1vi3o3ugqtrulgebkeios" Type="http://schemas.openxmlformats.org/officeDocument/2006/relationships/hyperlink" Target="https://doi.org/10.1182/blood-2017-03-769620" TargetMode="External"/><Relationship Id="rIdjz20sses8937d1u9bi_t6" Type="http://schemas.openxmlformats.org/officeDocument/2006/relationships/hyperlink" Target="https://doi.org/10.1016/S0140-6736(16)30374-9" TargetMode="External"/><Relationship Id="rIdrrmb2uhrqp1fvnac4kwkq" Type="http://schemas.openxmlformats.org/officeDocument/2006/relationships/hyperlink" Target="https://doi.org/10.1016/S0140-6736(16)30374-9" TargetMode="External"/><Relationship Id="rIdfwqj8aqlirm5uvghxx-ct" Type="http://schemas.openxmlformats.org/officeDocument/2006/relationships/hyperlink" Target="https://doi.org/10.1016/S0140-6736(21)02017-1" TargetMode="External"/><Relationship Id="rId1ookpa4ud4gmdovfh2axe" Type="http://schemas.openxmlformats.org/officeDocument/2006/relationships/hyperlink" Target="https://doi.org/10.1016/S0140-6736(21)02017-1" TargetMode="External"/><Relationship Id="rIdpnirfnbecvwjzqf25q_9-" Type="http://schemas.openxmlformats.org/officeDocument/2006/relationships/hyperlink" Target="https://doi.org/10.1016/j.ymthe.2021.11.005" TargetMode="External"/><Relationship Id="rIdg2obe3ppeqorcd9zz09ur" Type="http://schemas.openxmlformats.org/officeDocument/2006/relationships/hyperlink" Target="https://doi.org/10.1016/j.ymthe.2021.11.005" TargetMode="External"/><Relationship Id="rIdzo-bh8v5gcv2hp9zqhxdw" Type="http://schemas.openxmlformats.org/officeDocument/2006/relationships/hyperlink" Target="https://doi.org/10.1016/j.bbmt.2018.09.036" TargetMode="External"/><Relationship Id="rId63fx34hshnez_wd_bpz1g" Type="http://schemas.openxmlformats.org/officeDocument/2006/relationships/hyperlink" Target="https://doi.org/10.1016/j.bbmt.2018.09.036" TargetMode="External"/><Relationship Id="rIdwgj7okcb5aljpsbrh4ixr" Type="http://schemas.openxmlformats.org/officeDocument/2006/relationships/hyperlink" Target="https://doi.org/10.1007/8904_2017_54" TargetMode="External"/><Relationship Id="rIdfbys5duvriqhevizla8gl" Type="http://schemas.openxmlformats.org/officeDocument/2006/relationships/hyperlink" Target="https://doi.org/10.1007/8904_2017_54" TargetMode="External"/><Relationship Id="rId8mjevqsyzuuokgdrlodce" Type="http://schemas.openxmlformats.org/officeDocument/2006/relationships/hyperlink" Target="https://doi.org/10.1038/s41586-018-0217-9" TargetMode="External"/><Relationship Id="rIdipddalkw_hhxdqdrxdidw" Type="http://schemas.openxmlformats.org/officeDocument/2006/relationships/hyperlink" Target="https://doi.org/10.1038/s41586-018-0217-9" TargetMode="External"/><Relationship Id="rId2bugydnhu43ns7xlkfnek" Type="http://schemas.openxmlformats.org/officeDocument/2006/relationships/hyperlink" Target="https://doi.org/10.1186/s13023-017-0660-y" TargetMode="External"/><Relationship Id="rIdae99apn8e8vw_n-1ixhmh" Type="http://schemas.openxmlformats.org/officeDocument/2006/relationships/hyperlink" Target="https://doi.org/10.1186/s13023-017-0660-y" TargetMode="External"/><Relationship Id="rId7dxfinxfzgavht0ulspyl" Type="http://schemas.openxmlformats.org/officeDocument/2006/relationships/hyperlink" Target="https://doi.org/10.1056/NEJMoa1712649" TargetMode="External"/><Relationship Id="rIddv4ffuggrx-kby8dilvdt" Type="http://schemas.openxmlformats.org/officeDocument/2006/relationships/hyperlink" Target="https://doi.org/10.1056/NEJMoa1712649" TargetMode="External"/><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Industry-Sponsored Pre-Approval HEOR Evidence Supporting FDA Single-Arm Trial Approvals</dc:title>
  <dc:creator>Claude</dc:creator>
  <cp:lastModifiedBy>Un-named</cp:lastModifiedBy>
  <cp:revision>1</cp:revision>
  <dcterms:created xsi:type="dcterms:W3CDTF">2026-04-28T19:19:21.653Z</dcterms:created>
  <dcterms:modified xsi:type="dcterms:W3CDTF">2026-04-28T19:19:21.670Z</dcterms:modified>
</cp:coreProperties>
</file>

<file path=docProps/custom.xml><?xml version="1.0" encoding="utf-8"?>
<Properties xmlns="http://schemas.openxmlformats.org/officeDocument/2006/custom-properties" xmlns:vt="http://schemas.openxmlformats.org/officeDocument/2006/docPropsVTypes"/>
</file>