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AF6F1"/>
  <w:body>
    <w:p>
      <w:pPr>
        <w:pStyle w:val="Heading1"/>
      </w:pPr>
      <w:r>
        <w:t xml:space="preserve">Pre-Approval HEOR Evidence Supporting FDA Single-Arm Trial Approvals (2016–2025)</w:t>
      </w:r>
    </w:p>
    <w:p>
      <w:pPr>
        <w:spacing w:after="160"/>
      </w:pPr>
      <w:r>
        <w:t xml:space="preserve">This companion document identifies, for each of the treatments inventoried in </w:t>
      </w:r>
      <w:r>
        <w:rPr>
          <w:i/>
          <w:iCs/>
        </w:rPr>
        <w:t xml:space="preserve">FDA Single-Arm Trial Approvals in the Last Decade</w:t>
      </w:r>
      <w:r>
        <w:t xml:space="preserve">, the published Health Economics and Outcomes Research (HEOR) evidence — burden of disease and natural history, patient-reported outcomes (PRO) and health-related quality of life (HRQoL), and real-world evidence (RWE) and registry data — that </w:t>
      </w:r>
      <w:r>
        <w:rPr>
          <w:b/>
          <w:bCs/>
        </w:rPr>
        <w:t xml:space="preserve">existed in the peer-reviewed literature before the FDA calendar approval date</w:t>
      </w:r>
      <w:r>
        <w:t xml:space="preserve"> and that plausibly contributed to the agency’s decision to accept a single-arm evidentiary package </w:t>
      </w:r>
      <w:hyperlink w:history="1" r:id="rId7nof-m4zxjvlt_sy5zyqp">
        <w:r>
          <w:rPr>
            <w:rStyle w:val="Hyperlink"/>
          </w:rPr>
          <w:t xml:space="preserve">[3]</w:t>
        </w:r>
      </w:hyperlink>
      <w:hyperlink w:history="1" r:id="rIdtyfklnc_lfct-upkrw0ak">
        <w:r>
          <w:rPr>
            <w:rStyle w:val="Hyperlink"/>
          </w:rPr>
          <w:t xml:space="preserve">[1]</w:t>
        </w:r>
      </w:hyperlink>
      <w:r>
        <w:t xml:space="preserve">. Cost-effectiveness analyses and budget-impact analyses were excluded by design.</w:t>
      </w:r>
    </w:p>
    <w:p>
      <w:pPr>
        <w:spacing w:after="160"/>
      </w:pPr>
      <w:r>
        <w:t xml:space="preserve">For inclusion, a study had to be (a) published in a peer-reviewed venue indexed in PubMed or equivalent, (b) dated before the calendar approval date, and (c) directly relevant to the disease state, endpoint, or comparator framework used in the FDA submission. Sponsor-curated natural-history datasets, registry-derived comparators, and expanded-access cohorts that were referenced in the regulatory submission but not formally published before approval are noted in italics where applicable but are not counted as published HEOR evidence.</w:t>
      </w:r>
    </w:p>
    <w:p>
      <w:pPr>
        <w:pStyle w:val="Heading2"/>
      </w:pPr>
      <w:r>
        <w:t xml:space="preserve">Levels of evidentiary rigor in pre-approval external comparators</w:t>
      </w:r>
    </w:p>
    <w:p>
      <w:pPr>
        <w:spacing w:after="160"/>
      </w:pPr>
      <w:r>
        <w:t xml:space="preserve">The credibility of a single-arm-trial regulatory submission depends substantially on the credibility of its counterfactual. The peer-reviewed evidence inventoried in this document spans a broad range of evidentiary rigor, from descriptive epidemiology to formally constructed external control arms with trial-aligned endpoint capture. The agency’s 2023 draft guidance on externally controlled trials </w:t>
      </w:r>
      <w:hyperlink w:history="1" r:id="rIdpztghmjuij1kozfvneoat">
        <w:r>
          <w:rPr>
            <w:rStyle w:val="Hyperlink"/>
          </w:rPr>
          <w:t xml:space="preserve">[2]</w:t>
        </w:r>
      </w:hyperlink>
      <w:r>
        <w:t xml:space="preserve"> and its public real-world-evidence decision summaries </w:t>
      </w:r>
      <w:hyperlink w:history="1" r:id="rIdbqncfphjj3t8fb48z_txs">
        <w:r>
          <w:rPr>
            <w:rStyle w:val="Hyperlink"/>
          </w:rPr>
          <w:t xml:space="preserve">[1]</w:t>
        </w:r>
      </w:hyperlink>
      <w:r>
        <w:t xml:space="preserve"> make this gradient relatively explicit. Five practical levels can be distinguished, in ascending order of utility as a regulatory counterfactual; in the inventory table that follows, each treatment has been annotated with the highest level of comparator rigor that was supported by </w:t>
      </w:r>
      <w:r>
        <w:rPr>
          <w:b/>
          <w:bCs/>
        </w:rPr>
        <w:t xml:space="preserve">peer-reviewed pre-approval evidence</w:t>
      </w:r>
      <w:r>
        <w:t xml:space="preserve">.</w:t>
      </w:r>
    </w:p>
    <w:p>
      <w:pPr>
        <w:pStyle w:val="Heading3"/>
      </w:pPr>
      <w:r>
        <w:t xml:space="preserve">Level 1 — Descriptive epidemiology and population-level burden</w:t>
      </w:r>
    </w:p>
    <w:p>
      <w:pPr>
        <w:spacing w:after="160"/>
      </w:pPr>
      <w:r>
        <w:t xml:space="preserve">Cross-sectional or registry-derived statistics on prevalence, incidence, all-cause mortality, and crude utilization across the broad disease population. These studies typically do not apply the registration trial’s inclusion criteria, do not measure the trial’s endpoints, and do not match on baseline severity. They are useful for characterizing the size of the affected population and framing the unmet-need narrative but cannot serve directly as a regulatory counterfactual without further restriction. Representative inventory examples include Platt 1994 </w:t>
      </w:r>
      <w:hyperlink w:history="1" r:id="rIdif66plx916dreyvwqz-ts">
        <w:r>
          <w:rPr>
            <w:rStyle w:val="Hyperlink"/>
          </w:rPr>
          <w:t xml:space="preserve">[57]</w:t>
        </w:r>
      </w:hyperlink>
      <w:r>
        <w:t xml:space="preserve"> and Kanter 2021 </w:t>
      </w:r>
      <w:hyperlink w:history="1" r:id="rIdfza-nphnpqmegchedxvgl">
        <w:r>
          <w:rPr>
            <w:rStyle w:val="Hyperlink"/>
          </w:rPr>
          <w:t xml:space="preserve">[59]</w:t>
        </w:r>
      </w:hyperlink>
      <w:r>
        <w:t xml:space="preserve"> for sickle cell disease mortality, Iorio 2019 </w:t>
      </w:r>
      <w:hyperlink w:history="1" r:id="rId38vrc-6c81ktshibt9f_c">
        <w:r>
          <w:rPr>
            <w:rStyle w:val="Hyperlink"/>
          </w:rPr>
          <w:t xml:space="preserve">[48]</w:t>
        </w:r>
      </w:hyperlink>
      <w:r>
        <w:t xml:space="preserve"> for hemophilia B prevalence, Brousseau 2010 </w:t>
      </w:r>
      <w:hyperlink w:history="1" r:id="rId3nt3pem60xb8_swouj28x">
        <w:r>
          <w:rPr>
            <w:rStyle w:val="Hyperlink"/>
          </w:rPr>
          <w:t xml:space="preserve">[58]</w:t>
        </w:r>
      </w:hyperlink>
      <w:r>
        <w:t xml:space="preserve"> for sickle cell disease acute-care utilization, and Weinstock 2013 </w:t>
      </w:r>
      <w:hyperlink w:history="1" r:id="rIdl-vaeholvjgxwnu8aex8n">
        <w:r>
          <w:rPr>
            <w:rStyle w:val="Hyperlink"/>
          </w:rPr>
          <w:t xml:space="preserve">[53]</w:t>
        </w:r>
      </w:hyperlink>
      <w:r>
        <w:t xml:space="preserve"> for severe-hypoglycemia incidence in adult T1D.</w:t>
      </w:r>
    </w:p>
    <w:p>
      <w:pPr>
        <w:pStyle w:val="Heading3"/>
      </w:pPr>
      <w:r>
        <w:t xml:space="preserve">Level 2 — Disease-specific natural-history characterization</w:t>
      </w:r>
    </w:p>
    <w:p>
      <w:pPr>
        <w:spacing w:after="160"/>
      </w:pPr>
      <w:r>
        <w:t xml:space="preserve">Retrospective or prospective cohort studies describing the typical clinical course of the disease using clinically meaningful endpoints, but without alignment to the registration trial’s specific inclusion criteria, assessment instruments, or assessment intervals. These studies identify candidate endpoints, anchor the unmet-need framing, and provide order-of-magnitude expected outcomes under standard care, but they cannot be used directly as a per-patient comparator without additional adjustment. Inventory examples: Steinfeld 2002 </w:t>
      </w:r>
      <w:hyperlink w:history="1" r:id="rIdbqaiikxgu4h6wb7qa6n7c">
        <w:r>
          <w:rPr>
            <w:rStyle w:val="Hyperlink"/>
          </w:rPr>
          <w:t xml:space="preserve">[10]</w:t>
        </w:r>
      </w:hyperlink>
      <w:r>
        <w:t xml:space="preserve"> for CLN2 disease, Tarantola 2013 </w:t>
      </w:r>
      <w:hyperlink w:history="1" r:id="rIdn_npiujdvbcesdenu7j7i">
        <w:r>
          <w:rPr>
            <w:rStyle w:val="Hyperlink"/>
          </w:rPr>
          <w:t xml:space="preserve">[13]</w:t>
        </w:r>
      </w:hyperlink>
      <w:r>
        <w:t xml:space="preserve"> and Iyer 2016 </w:t>
      </w:r>
      <w:hyperlink w:history="1" r:id="rIdswbzh879jx9kicwro_nu9">
        <w:r>
          <w:rPr>
            <w:rStyle w:val="Hyperlink"/>
          </w:rPr>
          <w:t xml:space="preserve">[12]</w:t>
        </w:r>
      </w:hyperlink>
      <w:r>
        <w:t xml:space="preserve"> for Merkel cell carcinoma, Bhojwani 2013 </w:t>
      </w:r>
      <w:hyperlink w:history="1" r:id="rIdvptlijgclsfsionqhsxfv">
        <w:r>
          <w:rPr>
            <w:rStyle w:val="Hyperlink"/>
          </w:rPr>
          <w:t xml:space="preserve">[15]</w:t>
        </w:r>
      </w:hyperlink>
      <w:r>
        <w:t xml:space="preserve"> for relapsed pediatric ALL, Modell 2008 </w:t>
      </w:r>
      <w:hyperlink w:history="1" r:id="rIdtvopt1spisiwk4cxaa4nh">
        <w:r>
          <w:rPr>
            <w:rStyle w:val="Hyperlink"/>
          </w:rPr>
          <w:t xml:space="preserve">[42]</w:t>
        </w:r>
      </w:hyperlink>
      <w:r>
        <w:t xml:space="preserve"> and Musallam 2013 </w:t>
      </w:r>
      <w:hyperlink w:history="1" r:id="rIdtr9i4qffx2y4pol9_4mxo">
        <w:r>
          <w:rPr>
            <w:rStyle w:val="Hyperlink"/>
          </w:rPr>
          <w:t xml:space="preserve">[43]</w:t>
        </w:r>
      </w:hyperlink>
      <w:r>
        <w:t xml:space="preserve"> for transfusion-dependent thalassemia, Lonser 2003 </w:t>
      </w:r>
      <w:hyperlink w:history="1" r:id="rIdnbunytyymiwwaebx7r7gq">
        <w:r>
          <w:rPr>
            <w:rStyle w:val="Hyperlink"/>
          </w:rPr>
          <w:t xml:space="preserve">[33]</w:t>
        </w:r>
      </w:hyperlink>
      <w:r>
        <w:t xml:space="preserve"> and Maher 2011 </w:t>
      </w:r>
      <w:hyperlink w:history="1" r:id="rIddjmooerxzbctgmmbmaoyq">
        <w:r>
          <w:rPr>
            <w:rStyle w:val="Hyperlink"/>
          </w:rPr>
          <w:t xml:space="preserve">[35]</w:t>
        </w:r>
      </w:hyperlink>
      <w:r>
        <w:t xml:space="preserve"> for von Hippel-Lindau disease, Cassier 2012 </w:t>
      </w:r>
      <w:hyperlink w:history="1" r:id="rId2sxmje0tmrhrasvu1ea66">
        <w:r>
          <w:rPr>
            <w:rStyle w:val="Hyperlink"/>
          </w:rPr>
          <w:t xml:space="preserve">[22]</w:t>
        </w:r>
      </w:hyperlink>
      <w:r>
        <w:t xml:space="preserve"> and Farag 2017 </w:t>
      </w:r>
      <w:hyperlink w:history="1" r:id="rIdqhv71_bg907yeuiwitvyx">
        <w:r>
          <w:rPr>
            <w:rStyle w:val="Hyperlink"/>
          </w:rPr>
          <w:t xml:space="preserve">[23]</w:t>
        </w:r>
      </w:hyperlink>
      <w:r>
        <w:t xml:space="preserve"> for PDGFRA exon 18 GIST, and Lamarca 2014 </w:t>
      </w:r>
      <w:hyperlink w:history="1" r:id="rIdgsfboq_l09-kwa6xpauys">
        <w:r>
          <w:rPr>
            <w:rStyle w:val="Hyperlink"/>
          </w:rPr>
          <w:t xml:space="preserve">[29]</w:t>
        </w:r>
      </w:hyperlink>
      <w:r>
        <w:t xml:space="preserve"> for second-line cholangiocarcinoma. Subgroup-restricted versions of these studies (for example, biomarker-defined cohorts) materially increase regulatory utility because they bring the comparator population closer to the trial-eligible population.</w:t>
      </w:r>
    </w:p>
    <w:p>
      <w:pPr>
        <w:pStyle w:val="Heading3"/>
      </w:pPr>
      <w:r>
        <w:t xml:space="preserve">Level 3 — Endpoint-aligned prospective natural-history cohorts</w:t>
      </w:r>
    </w:p>
    <w:p>
      <w:pPr>
        <w:spacing w:after="160"/>
      </w:pPr>
      <w:r>
        <w:t xml:space="preserve">Prospective cohorts that collect the same endpoint measures planned for the registration trial, often using harmonized assessment instruments and assessment intervals. The cohort population is not formally matched to the trial subset on a per-patient basis, but inclusion criteria are typically restrictive enough to make the trajectory directly comparable. The agency has accepted these cohorts as historical-control comparators when the disease course is sufficiently deterministic that contemporaneous randomization would yield little additional information. The clearest inventory examples are the PNCR cohort (Finkel 2014, n=34 SMA Type 1 with prospective CHOP-INTEND and HINE-2 collection) </w:t>
      </w:r>
      <w:hyperlink w:history="1" r:id="rIdbj1-lw7pzbuh7kgmz0waf">
        <w:r>
          <w:rPr>
            <w:rStyle w:val="Hyperlink"/>
          </w:rPr>
          <w:t xml:space="preserve">[19]</w:t>
        </w:r>
      </w:hyperlink>
      <w:r>
        <w:t xml:space="preserve"> and the NeuroNEXT cohort (Kolb 2017) </w:t>
      </w:r>
      <w:hyperlink w:history="1" r:id="rIdz8e7we8m5rk2j7ubm80vw">
        <w:r>
          <w:rPr>
            <w:rStyle w:val="Hyperlink"/>
          </w:rPr>
          <w:t xml:space="preserve">[20]</w:t>
        </w:r>
      </w:hyperlink>
      <w:r>
        <w:t xml:space="preserve"> for ZOLGENSMA; the NCI NF1 Natural History Study with volumetric MRI growth-rate measurement </w:t>
      </w:r>
      <w:hyperlink w:history="1" r:id="rId0wkizflvtwm5ycfqoe3wi">
        <w:r>
          <w:rPr>
            <w:rStyle w:val="Hyperlink"/>
          </w:rPr>
          <w:t xml:space="preserve">[24]</w:t>
        </w:r>
      </w:hyperlink>
      <w:hyperlink w:history="1" r:id="rId1aut28cb5r9lsxrhqif3s">
        <w:r>
          <w:rPr>
            <w:rStyle w:val="Hyperlink"/>
          </w:rPr>
          <w:t xml:space="preserve">[25]</w:t>
        </w:r>
      </w:hyperlink>
      <w:hyperlink w:history="1" r:id="rIdamjfw9jpp7sof9ipk_dkj">
        <w:r>
          <w:rPr>
            <w:rStyle w:val="Hyperlink"/>
          </w:rPr>
          <w:t xml:space="preserve">[26]</w:t>
        </w:r>
      </w:hyperlink>
      <w:r>
        <w:t xml:space="preserve"> for KOSELUGO and GOMEKLI; the multicenter CALD natural-history-plus-HSCT cohort using Loes score and neurologic function score </w:t>
      </w:r>
      <w:hyperlink w:history="1" r:id="rIdkujzk7hx_iep42boka4wg">
        <w:r>
          <w:rPr>
            <w:rStyle w:val="Hyperlink"/>
          </w:rPr>
          <w:t xml:space="preserve">[46]</w:t>
        </w:r>
      </w:hyperlink>
      <w:r>
        <w:t xml:space="preserve">; the CINRG-DNHS in DMD with NSAA and 6MWT </w:t>
      </w:r>
      <w:hyperlink w:history="1" r:id="rIdoesdtnpwouhnrgp6t7igj">
        <w:r>
          <w:rPr>
            <w:rStyle w:val="Hyperlink"/>
          </w:rPr>
          <w:t xml:space="preserve">[5]</w:t>
        </w:r>
      </w:hyperlink>
      <w:hyperlink w:history="1" r:id="rId-vaoym-6eodzljnckulab">
        <w:r>
          <w:rPr>
            <w:rStyle w:val="Hyperlink"/>
          </w:rPr>
          <w:t xml:space="preserve">[6]</w:t>
        </w:r>
      </w:hyperlink>
      <w:r>
        <w:t xml:space="preserve">; and the IBCG-defined BCG-unresponsive NMIBC framework with consensus disease-state criteria </w:t>
      </w:r>
      <w:hyperlink w:history="1" r:id="rIdt_nyrcu5tcgfcrtwcdfdc">
        <w:r>
          <w:rPr>
            <w:rStyle w:val="Hyperlink"/>
          </w:rPr>
          <w:t xml:space="preserve">[51]</w:t>
        </w:r>
      </w:hyperlink>
      <w:hyperlink w:history="1" r:id="rIddgghilpnxgit3mr5irjow">
        <w:r>
          <w:rPr>
            <w:rStyle w:val="Hyperlink"/>
          </w:rPr>
          <w:t xml:space="preserve">[52]</w:t>
        </w:r>
      </w:hyperlink>
      <w:r>
        <w:t xml:space="preserve">.</w:t>
      </w:r>
    </w:p>
    <w:p>
      <w:pPr>
        <w:pStyle w:val="Heading3"/>
      </w:pPr>
      <w:r>
        <w:t xml:space="preserve">Level 4 — Trial-matched external control arms</w:t>
      </w:r>
    </w:p>
    <w:p>
      <w:pPr>
        <w:spacing w:after="160"/>
      </w:pPr>
      <w:r>
        <w:t xml:space="preserve">External cohorts in which the registration trial’s inclusion and exclusion criteria, baseline characteristic distributions, and outcome definitions are explicitly applied to construct a matched comparator. Common matching strategies include </w:t>
      </w:r>
      <w:r>
        <w:rPr>
          <w:b/>
          <w:bCs/>
        </w:rPr>
        <w:t xml:space="preserve">genotype-matching</w:t>
      </w:r>
      <w:r>
        <w:t xml:space="preserve"> (NULIBRY’s 15-country MoCD type A cohort, in which only patients with confirmed MOCS1 mutations meeting the same severity criteria as the treated population were included </w:t>
      </w:r>
      <w:hyperlink w:history="1" r:id="rIdzlczjyn96k59s4yqfigdx">
        <w:r>
          <w:rPr>
            <w:rStyle w:val="Hyperlink"/>
          </w:rPr>
          <w:t xml:space="preserve">[31]</w:t>
        </w:r>
      </w:hyperlink>
      <w:r>
        <w:t xml:space="preserve">), </w:t>
      </w:r>
      <w:r>
        <w:rPr>
          <w:b/>
          <w:bCs/>
        </w:rPr>
        <w:t xml:space="preserve">individual-level pairing on age, severity, and disease subtype</w:t>
      </w:r>
      <w:r>
        <w:t xml:space="preserve"> (LENMELDY’s matched untreated cohort, formalized in the Fumagalli 2022 publication of n=29 treated patients matched 1:1 to n=31 untreated patients on age at onset, MLD subtype, and baseline GMFM-88 </w:t>
      </w:r>
      <w:hyperlink w:history="1" r:id="rIdyjoq7crtzygdobe3zbwub">
        <w:r>
          <w:rPr>
            <w:rStyle w:val="Hyperlink"/>
          </w:rPr>
          <w:t xml:space="preserve">[64]</w:t>
        </w:r>
      </w:hyperlink>
      <w:r>
        <w:t xml:space="preserve">; the BRINEURA pivotal analysis matched treated patients to DEM-CHILD and Weill Cornell controls on the CLN2 motor-language scale </w:t>
      </w:r>
      <w:hyperlink w:history="1" r:id="rIddp4lc3wpklcjbsnbnaexc">
        <w:r>
          <w:rPr>
            <w:rStyle w:val="Hyperlink"/>
          </w:rPr>
          <w:t xml:space="preserve">[9]</w:t>
        </w:r>
      </w:hyperlink>
      <w:hyperlink w:history="1" r:id="rIdpe8t7bxd3yjomdgwcxcnn">
        <w:r>
          <w:rPr>
            <w:rStyle w:val="Hyperlink"/>
          </w:rPr>
          <w:t xml:space="preserve">[11]</w:t>
        </w:r>
      </w:hyperlink>
      <w:r>
        <w:t xml:space="preserve">), and </w:t>
      </w:r>
      <w:r>
        <w:rPr>
          <w:b/>
          <w:bCs/>
        </w:rPr>
        <w:t xml:space="preserve">pooled retrospective harmonization across multiple sources</w:t>
      </w:r>
      <w:r>
        <w:t xml:space="preserve"> (SCHOLAR-1 for YESCARTA aggregated raw patient-level data from two clinical-trial datasets and two registry datasets, then re-applied a uniform definition of refractory DLBCL across all four sources to produce n=636 evaluable comparator patients </w:t>
      </w:r>
      <w:hyperlink w:history="1" r:id="rIdld4kwsj-_ubxmyyxuak8w">
        <w:r>
          <w:rPr>
            <w:rStyle w:val="Hyperlink"/>
          </w:rPr>
          <w:t xml:space="preserve">[16]</w:t>
        </w:r>
      </w:hyperlink>
      <w:r>
        <w:t xml:space="preserve">). The principal methodological challenges at this level are: residual selection bias from incomplete baseline characterization in retrospective records; era effects when standard-of-care has shifted between the comparator period and the trial period; the difficulty of replicating trial-specific assessments (e.g., centrally read MRI, blinded adjudication of motor milestones) using medical-record-derived data; and missing-data patterns that differ systematically between treated and comparator cohorts.</w:t>
      </w:r>
    </w:p>
    <w:p>
      <w:pPr>
        <w:pStyle w:val="Heading3"/>
      </w:pPr>
      <w:r>
        <w:t xml:space="preserve">Level 5 — Prospectively designed natural-history comparators with trial-aligned protocols</w:t>
      </w:r>
    </w:p>
    <w:p>
      <w:pPr>
        <w:spacing w:after="160"/>
      </w:pPr>
      <w:r>
        <w:t xml:space="preserve">Natural-history cohorts designed in parallel with the registration trial, using </w:t>
      </w:r>
      <w:r>
        <w:rPr>
          <w:b/>
          <w:bCs/>
        </w:rPr>
        <w:t xml:space="preserve">identical assessment instruments, predefined assessment intervals, blinded adjudication panels, and pre-specified analytic plans</w:t>
      </w:r>
      <w:r>
        <w:t xml:space="preserve">. This is the most rigorous structure available short of randomization and represents the agency’s benchmark for externally controlled trials </w:t>
      </w:r>
      <w:hyperlink w:history="1" r:id="rIdcz2wra9xp1n1-s53ntwjv">
        <w:r>
          <w:rPr>
            <w:rStyle w:val="Hyperlink"/>
          </w:rPr>
          <w:t xml:space="preserve">[2]</w:t>
        </w:r>
      </w:hyperlink>
      <w:r>
        <w:t xml:space="preserve">. SKYSONA is the clearest example in this inventory: the FDA submission combined a single-arm treated cohort (Starbeam/ALD-102), an untreated natural-history comparator constructed via medical-record review with central adjudication of Loes score and neurologic function score, and a CIBMTR-derived allo-HSCT comparator — the structure FDA documented in its public RWE decision summary </w:t>
      </w:r>
      <w:hyperlink w:history="1" r:id="rId79ns06gnf7gfqoabj67zh">
        <w:r>
          <w:rPr>
            <w:rStyle w:val="Hyperlink"/>
          </w:rPr>
          <w:t xml:space="preserve">[1]</w:t>
        </w:r>
      </w:hyperlink>
      <w:hyperlink w:history="1" r:id="rIdbokfdaz5wupe6qpu3godl">
        <w:r>
          <w:rPr>
            <w:rStyle w:val="Hyperlink"/>
          </w:rPr>
          <w:t xml:space="preserve">[46]</w:t>
        </w:r>
      </w:hyperlink>
      <w:hyperlink w:history="1" r:id="rId4kkuvzk_n0xtiir-eati6">
        <w:r>
          <w:rPr>
            <w:rStyle w:val="Hyperlink"/>
          </w:rPr>
          <w:t xml:space="preserve">[47]</w:t>
        </w:r>
      </w:hyperlink>
      <w:r>
        <w:t xml:space="preserve">. The LENMELDY submission approached comparable rigor through prospective collection of GMFC-MLD and GMFM-88 in matched untreated patients followed at the originating Italian center, using identical assessors and intervals as the treated cohort </w:t>
      </w:r>
      <w:hyperlink w:history="1" r:id="rIdhkp1l9_l9og_zulez7gze">
        <w:r>
          <w:rPr>
            <w:rStyle w:val="Hyperlink"/>
          </w:rPr>
          <w:t xml:space="preserve">[63]</w:t>
        </w:r>
      </w:hyperlink>
      <w:hyperlink w:history="1" r:id="rIdwwyo-dguynf6-mf6tuool">
        <w:r>
          <w:rPr>
            <w:rStyle w:val="Hyperlink"/>
          </w:rPr>
          <w:t xml:space="preserve">[64]</w:t>
        </w:r>
      </w:hyperlink>
      <w:r>
        <w:t xml:space="preserve">.</w:t>
      </w:r>
    </w:p>
    <w:p>
      <w:pPr>
        <w:pStyle w:val="Heading3"/>
      </w:pPr>
      <w:r>
        <w:t xml:space="preserve">Practical observations</w:t>
      </w:r>
    </w:p>
    <w:p>
      <w:pPr>
        <w:spacing w:after="160"/>
      </w:pPr>
      <w:r>
        <w:t xml:space="preserve">Two patterns are evident across the inventory. First, the level of rigor of the comparator scales inversely with the determinism of the disease’s natural history. For diseases in which the untreated trajectory is uniformly fatal or uniformly progressive (SMA Type 1, MoCD type A, CLN2, AADC deficiency, late-infantile MLD), Level 3 endpoint-aligned cohorts and Level 4 trial-matched comparators have generally been sufficient. For diseases with variable course or where standard-of-care has shifted materially over the relevant period (urothelial carcinoma, cholangiocarcinoma, sickle cell disease, transfusion-dependent thalassemia), the agency has either required Level 5 prospective comparators or has accepted Level 1–3 evidence accompanied by substantial postmarketing follow-up obligations.</w:t>
      </w:r>
    </w:p>
    <w:p>
      <w:pPr>
        <w:spacing w:after="160"/>
      </w:pPr>
      <w:r>
        <w:t xml:space="preserve">Second, the most consequential element of comparator rigor is rarely the statistical matching method; it is </w:t>
      </w:r>
      <w:r>
        <w:rPr>
          <w:b/>
          <w:bCs/>
        </w:rPr>
        <w:t xml:space="preserve">whether the comparator population was selected by applying the registration trial’s inclusion and exclusion criteria</w:t>
      </w:r>
      <w:r>
        <w:t xml:space="preserve">. A Level 1 epidemiologic study aggregated to the disease-population level provides little regulatory traction even if the sample size is large. A Level 2 disease-specific cohort in the broad population is meaningfully more informative but still typically requires a subgroup restriction to the trial-eligible population before it can serve as a counterfactual. The transition from Level 2 to Level 4 — restricting the comparator cohort to patients who would have met the trial’s eligibility criteria — is the single decision that most often distinguishes a peripheral burden-of-disease study from a regulatorily useful external control. The transition from Level 4 to Level 5 — prospectively collecting comparator data using the same instruments and intervals as the trial — is largely a matter of operational planning rather than analytical method.</w:t>
      </w:r>
    </w:p>
    <w:p>
      <w:pPr>
        <w:pStyle w:val="Heading3"/>
      </w:pPr>
      <w:r>
        <w:t xml:space="preserve">Practical implications for sponsors</w:t>
      </w:r>
    </w:p>
    <w:p>
      <w:pPr>
        <w:spacing w:after="160"/>
      </w:pPr>
      <w:r>
        <w:t xml:space="preserve">Three implications follow for sponsors planning a single-arm registration trial. First, </w:t>
      </w:r>
      <w:r>
        <w:rPr>
          <w:b/>
          <w:bCs/>
        </w:rPr>
        <w:t xml:space="preserve">the comparator cohort should be designed before the trial protocol is finalized</w:t>
      </w:r>
      <w:r>
        <w:t xml:space="preserve">, not retrofitted afterwards. Pre-specifying the comparator inclusion/exclusion criteria, baseline-characteristic matching variables, and primary-endpoint definitions in parallel with the trial protocol moves the submission toward Level 4 or 5 rigor. Second, </w:t>
      </w:r>
      <w:r>
        <w:rPr>
          <w:b/>
          <w:bCs/>
        </w:rPr>
        <w:t xml:space="preserve">endpoint instruments should be selected based on availability of pre-existing natural-history data</w:t>
      </w:r>
      <w:r>
        <w:t xml:space="preserve">. Where a validated, regulatorily recognized instrument exists with substantial natural-history coverage (CHOP-INTEND in SMA, GMFC-MLD in MLD, Loes score in CALD, NIH 2014 cGVHD response criteria, IBCG NMIBC criteria), choosing that instrument materially reduces residual uncertainty. Third, </w:t>
      </w:r>
      <w:r>
        <w:rPr>
          <w:b/>
          <w:bCs/>
        </w:rPr>
        <w:t xml:space="preserve">peer-reviewed publication of the comparator dataset before submission materially strengthens the regulatory package</w:t>
      </w:r>
      <w:r>
        <w:t xml:space="preserve">. The clearest examples are SCHOLAR-1 published two months before the YESCARTA approval </w:t>
      </w:r>
      <w:hyperlink w:history="1" r:id="rIdgohzkflybgdnrou5u45nz">
        <w:r>
          <w:rPr>
            <w:rStyle w:val="Hyperlink"/>
          </w:rPr>
          <w:t xml:space="preserve">[16]</w:t>
        </w:r>
      </w:hyperlink>
      <w:r>
        <w:t xml:space="preserve"> and the PNCR/NeuroNEXT cohorts published well before the ZOLGENSMA submission </w:t>
      </w:r>
      <w:hyperlink w:history="1" r:id="rIdwf5vgymfnldypu5dy9eim">
        <w:r>
          <w:rPr>
            <w:rStyle w:val="Hyperlink"/>
          </w:rPr>
          <w:t xml:space="preserve">[19]</w:t>
        </w:r>
      </w:hyperlink>
      <w:hyperlink w:history="1" r:id="rIddpqs0dhapkqxz0ffj3v3c">
        <w:r>
          <w:rPr>
            <w:rStyle w:val="Hyperlink"/>
          </w:rPr>
          <w:t xml:space="preserve">[20]</w:t>
        </w:r>
      </w:hyperlink>
      <w:r>
        <w:t xml:space="preserve">. Where the external-control dataset remains sponsor-curated and unpublished, the resulting submission carries higher residual uncertainty that the agency typically offsets through postmarketing requirements and continued natural-history follow-up.</w:t>
      </w:r>
    </w:p>
    <w:p>
      <w:pPr>
        <w:pStyle w:val="Heading2"/>
      </w:pPr>
      <w:r>
        <w:t xml:space="preserve">Cross-cutting observations</w:t>
      </w:r>
    </w:p>
    <w:p>
      <w:pPr>
        <w:spacing w:after="160"/>
      </w:pPr>
      <w:r>
        <w:rPr>
          <w:b/>
          <w:bCs/>
        </w:rPr>
        <w:t xml:space="preserve">External natural-history controls are the most consistently available pre-approval HEOR category. </w:t>
      </w:r>
      <w:r>
        <w:t xml:space="preserve">For all 22 inventoried treatments, at least one peer-reviewed natural-history or burden-of-disease study existed before approval. In several instances — notably YESCARTA, ZOLGENSMA, KOSELUGO, GOMEKLI, SKYSONA, and LENMELDY — these published cohorts functioned directly as the regulatory comparator rather than as background context.</w:t>
      </w:r>
    </w:p>
    <w:p>
      <w:pPr>
        <w:spacing w:after="160"/>
      </w:pPr>
      <w:r>
        <w:rPr>
          <w:b/>
          <w:bCs/>
        </w:rPr>
        <w:t xml:space="preserve">Pre-approval PRO and HRQoL evidence is sparse and concentrated in mature disease areas. </w:t>
      </w:r>
      <w:r>
        <w:t xml:space="preserve">Validated disease-specific PRO instruments existed before approval for chronic GVHD </w:t>
      </w:r>
      <w:hyperlink w:history="1" r:id="rIdtamuvrh4hbn7kjhvliszc">
        <w:r>
          <w:rPr>
            <w:rStyle w:val="Hyperlink"/>
          </w:rPr>
          <w:t xml:space="preserve">[38]</w:t>
        </w:r>
      </w:hyperlink>
      <w:r>
        <w:t xml:space="preserve">, hemophilia B </w:t>
      </w:r>
      <w:hyperlink w:history="1" r:id="rIdkrhsaftfg4qfqajrs9uom">
        <w:r>
          <w:rPr>
            <w:rStyle w:val="Hyperlink"/>
          </w:rPr>
          <w:t xml:space="preserve">[50]</w:t>
        </w:r>
      </w:hyperlink>
      <w:r>
        <w:t xml:space="preserve">, sickle cell disease </w:t>
      </w:r>
      <w:hyperlink w:history="1" r:id="rIdkmrjps5jsfogvuoyd5ypt">
        <w:r>
          <w:rPr>
            <w:rStyle w:val="Hyperlink"/>
          </w:rPr>
          <w:t xml:space="preserve">[60]</w:t>
        </w:r>
      </w:hyperlink>
      <w:r>
        <w:t xml:space="preserve">, transfusion-dependent thalassemia </w:t>
      </w:r>
      <w:hyperlink w:history="1" r:id="rId9knxnergukcoxg5dx5gl9">
        <w:r>
          <w:rPr>
            <w:rStyle w:val="Hyperlink"/>
          </w:rPr>
          <w:t xml:space="preserve">[44]</w:t>
        </w:r>
      </w:hyperlink>
      <w:r>
        <w:t xml:space="preserve">, and neurofibromatosis </w:t>
      </w:r>
      <w:hyperlink w:history="1" r:id="rIdzfcgilxocndh27fjxoqrg">
        <w:r>
          <w:rPr>
            <w:rStyle w:val="Hyperlink"/>
          </w:rPr>
          <w:t xml:space="preserve">[27]</w:t>
        </w:r>
      </w:hyperlink>
      <w:r>
        <w:t xml:space="preserve">. For the gene-therapy approvals in ultra-rare metabolic and neurodegenerative disease, no validated disease-specific PRO existed before approval, and the regulatory submissions relied on objective motor or biochemical endpoints supplemented by caregiver-reported observations.</w:t>
      </w:r>
    </w:p>
    <w:p>
      <w:pPr>
        <w:spacing w:after="160"/>
      </w:pPr>
      <w:r>
        <w:rPr>
          <w:b/>
          <w:bCs/>
        </w:rPr>
        <w:t xml:space="preserve">Real-world-evidence-classified approvals concentrate the strongest pre-approval comparator structure. </w:t>
      </w:r>
      <w:r>
        <w:t xml:space="preserve">FDA explicitly identified four of the inventoried products — NULIBRY, VIJOICE, SKYSONA, and LENMELDY — as approvals supported by real-world evidence in its public RWE decision summary </w:t>
      </w:r>
      <w:hyperlink w:history="1" r:id="rId0dfvyomvbzct_snqt6_-w">
        <w:r>
          <w:rPr>
            <w:rStyle w:val="Hyperlink"/>
          </w:rPr>
          <w:t xml:space="preserve">[1]</w:t>
        </w:r>
      </w:hyperlink>
      <w:r>
        <w:t xml:space="preserve">. In each case, the comparator dataset was a sponsor-curated or registry-derived external-control cohort matched to the treated population, with the structure of the analysis documented in peer-reviewed publications either before approval or shortly thereafter.</w:t>
      </w:r>
    </w:p>
    <w:p>
      <w:pPr>
        <w:spacing w:after="160"/>
      </w:pPr>
      <w:r>
        <w:rPr>
          <w:b/>
          <w:bCs/>
        </w:rPr>
        <w:t xml:space="preserve">Published expanded-access cohorts are rare but consequential. </w:t>
      </w:r>
      <w:r>
        <w:t xml:space="preserve">Where they exist — Venot 2018 </w:t>
      </w:r>
      <w:hyperlink w:history="1" r:id="rId_z_le_9yb8t8hgizylyvw">
        <w:r>
          <w:rPr>
            <w:rStyle w:val="Hyperlink"/>
          </w:rPr>
          <w:t xml:space="preserve">[41]</w:t>
        </w:r>
      </w:hyperlink>
      <w:r>
        <w:t xml:space="preserve"> for VIJOICE, Fumagalli 2022 </w:t>
      </w:r>
      <w:hyperlink w:history="1" r:id="rIdm9wdmvtggjgoc9vk5vexz">
        <w:r>
          <w:rPr>
            <w:rStyle w:val="Hyperlink"/>
          </w:rPr>
          <w:t xml:space="preserve">[64]</w:t>
        </w:r>
      </w:hyperlink>
      <w:r>
        <w:t xml:space="preserve"> for LENMELDY, Tai 2022 </w:t>
      </w:r>
      <w:hyperlink w:history="1" r:id="rId5kr9ilfpytydytamj0had">
        <w:r>
          <w:rPr>
            <w:rStyle w:val="Hyperlink"/>
          </w:rPr>
          <w:t xml:space="preserve">[67]</w:t>
        </w:r>
      </w:hyperlink>
      <w:r>
        <w:t xml:space="preserve"> for KEBILIDI — the expanded-access publication is typically the principal pre-approval RWE source and was cited prominently in the regulatory submission.</w:t>
      </w:r>
    </w:p>
    <w:p>
      <w:pPr>
        <w:pStyle w:val="Heading2"/>
      </w:pPr>
      <w:r>
        <w:t xml:space="preserve">Treatment-level inventory of pre-approval HEOR evidence</w:t>
      </w:r>
    </w:p>
    <w:p>
      <w:pPr>
        <w:spacing w:after="160"/>
      </w:pPr>
      <w:r>
        <w:rPr>
          <w:i/>
          <w:iCs/>
        </w:rPr>
        <w:t xml:space="preserve">Treatments are presented in chronological order of first FDA approval. Bracketed numbers are hyperlinks to the corresponding entry in the References section. The italicized "Level N" annotation in each Burden-of-disease cell records the highest level of comparator rigor supported by peer-reviewed pre-approval evidence; see the Levels of Evidentiary Rigor section above for definitions. Italicized text indicates absence of published peer-reviewed evidence in that category, with explanatory notes where relevant.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400"/>
        <w:gridCol w:w="3000"/>
        <w:gridCol w:w="3760"/>
      </w:tblGrid>
      <w:tr>
        <w:trPr>
          <w:tblHeader/>
        </w:trPr>
        <w:tc>
          <w:tcPr>
            <w:tcW w:type="dxa" w:w="17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Treatment</w:t>
            </w:r>
          </w:p>
        </w:tc>
        <w:tc>
          <w:tcPr>
            <w:tcW w:type="dxa" w:w="11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Approval</w:t>
            </w:r>
          </w:p>
        </w:tc>
        <w:tc>
          <w:tcPr>
            <w:tcW w:type="dxa" w:w="34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Burden of disease / natural history</w:t>
            </w:r>
          </w:p>
        </w:tc>
        <w:tc>
          <w:tcPr>
            <w:tcW w:type="dxa" w:w="300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Patient-reported outcomes / QoL</w:t>
            </w:r>
          </w:p>
        </w:tc>
        <w:tc>
          <w:tcPr>
            <w:tcW w:type="dxa" w:w="3760"/>
            <w:tcBorders>
              <w:top w:val="single" w:color="E8DFD3" w:sz="4"/>
              <w:left w:val="single" w:color="E8DFD3" w:sz="4"/>
              <w:bottom w:val="single" w:color="FF7759" w:sz="12"/>
              <w:right w:val="single" w:color="E8DFD3" w:sz="4"/>
            </w:tcBorders>
            <w:shd w:fill="FAF6F1" w:val="clear"/>
            <w:tcMar>
              <w:top w:type="dxa" w:w="100"/>
              <w:left w:type="dxa" w:w="140"/>
              <w:bottom w:type="dxa" w:w="100"/>
              <w:right w:type="dxa" w:w="140"/>
            </w:tcMar>
          </w:tcPr>
          <w:p>
            <w:r>
              <w:rPr>
                <w:rFonts w:ascii="Helvetica Neue" w:cs="Helvetica Neue" w:eastAsia="Helvetica Neue" w:hAnsi="Helvetica Neue"/>
                <w:b/>
                <w:bCs/>
                <w:color w:val="39594D"/>
                <w:sz w:val="18"/>
                <w:szCs w:val="18"/>
              </w:rPr>
              <w:t xml:space="preserve">Real-world evidence / registries</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EXONDYS 51 (eteplirsen)</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2016-09-19</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CINRG-DNHS prospective natural-history cohort (n=340) documenting age at loss of ambulation by exon-specific genotype, providing the external benchmark for ambulatory DMD decline </w:t>
            </w:r>
            <w:hyperlink w:history="1" r:id="rIduc-jbe_onjka47geufhnb">
              <w:r>
                <w:rPr>
                  <w:rStyle w:val="Hyperlink"/>
                </w:rPr>
                <w:t xml:space="preserve">[5]</w:t>
              </w:r>
            </w:hyperlink>
            <w:r>
              <w:t xml:space="preserve">. Identification of SPP1/LTBP4 modifiers reinforced the natural-history baseline used as comparator </w:t>
            </w:r>
            <w:hyperlink w:history="1" r:id="rIdxlq6ljodaqzfhc6epligl">
              <w:r>
                <w:rPr>
                  <w:rStyle w:val="Hyperlink"/>
                </w:rPr>
                <w:t xml:space="preserve">[6]</w:t>
              </w:r>
            </w:hyperlink>
            <w:r>
              <w:t xml:space="preserve">.</w:t>
            </w:r>
            <w:r>
              <w:rPr>
                <w:i/>
                <w:iCs/>
                <w:color w:val="39594D"/>
                <w:sz w:val="18"/>
                <w:szCs w:val="18"/>
              </w:rPr>
              <w:t xml:space="preserve"> (Level 3 — endpoint-aligned prospective NH cohort)</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Rasch-validated patient-reported functional-ability instrument (DMDSAT) </w:t>
            </w:r>
            <w:hyperlink w:history="1" r:id="rIdu7teo5vye832d6yxfevpo">
              <w:r>
                <w:rPr>
                  <w:rStyle w:val="Hyperlink"/>
                </w:rPr>
                <w:t xml:space="preserve">[7]</w:t>
              </w:r>
            </w:hyperlink>
            <w:r>
              <w:t xml:space="preserve">. PedsQL Generic Core / Neuromuscular Module performance characterized in a 12-month longitudinal cohort (n=98) </w:t>
            </w:r>
            <w:hyperlink w:history="1" r:id="rIdm1-r0qsfq95baggzug3c5">
              <w:r>
                <w:rPr>
                  <w:rStyle w:val="Hyperlink"/>
                </w:rPr>
                <w:t xml:space="preserve">[8]</w:t>
              </w:r>
            </w:hyperlink>
            <w:r>
              <w:t xml:space="preserve">.</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published peer-reviewed expanded-access cohort identified. The Sarepta open-label / expanded-access data referenced in the FDA package were not formally indexed prior to approval. The TREAT-NMD DMD registry was active but did not publish a formal ambulation/function comparator paper before September 2016.</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BRINEURA (cerliponase alfa)</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2017-04-27</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Quantitative description of the rapid neurologic decline that defines untreated CLN2 </w:t>
            </w:r>
            <w:hyperlink w:history="1" r:id="rIdeaaw1qmx0jsvn8vsubjqh">
              <w:r>
                <w:rPr>
                  <w:rStyle w:val="Hyperlink"/>
                </w:rPr>
                <w:t xml:space="preserve">[10]</w:t>
              </w:r>
            </w:hyperlink>
            <w:r>
              <w:t xml:space="preserve">. The DEM-CHILD international natural-history cohort served as the primary external comparator </w:t>
            </w:r>
            <w:hyperlink w:history="1" r:id="rIdruo7pdjby3ovcpsyfz9n7">
              <w:r>
                <w:rPr>
                  <w:rStyle w:val="Hyperlink"/>
                </w:rPr>
                <w:t xml:space="preserve">[9]</w:t>
              </w:r>
            </w:hyperlink>
            <w:r>
              <w:t xml:space="preserve">; the matched-pair external-control analysis structure was subsequently described in the post-approval pivotal publication </w:t>
            </w:r>
            <w:hyperlink w:history="1" r:id="rIdfobluu014pdx4boealvza">
              <w:r>
                <w:rPr>
                  <w:rStyle w:val="Hyperlink"/>
                </w:rPr>
                <w:t xml:space="preserve">[11]</w:t>
              </w:r>
            </w:hyperlink>
            <w:r>
              <w:t xml:space="preserve">.</w:t>
            </w:r>
            <w:r>
              <w:rPr>
                <w:i/>
                <w:iCs/>
                <w:color w:val="39594D"/>
                <w:sz w:val="18"/>
                <w:szCs w:val="18"/>
              </w:rPr>
              <w:t xml:space="preserve"> (Level 4 — trial-matched external control)</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The DEM-CHILD international CLN2 registry (Schulz, University Medical Center Hamburg-Eppendorf) and the Weill Cornell CLN2 cohort were the comparator datasets used in the FDA submission, formally compared via matched-pair analysis on the CLN2 motor-language scale. Peer-reviewed publication of the comparator analysis post-dates approval.</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BAVENCIO (avelumab)</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2017-03-23</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Retrospective benchmark establishing the chemotherapy response rate (~55%) and short median duration of response that defined unmet need at second-line in MCC </w:t>
            </w:r>
            <w:hyperlink w:history="1" r:id="rId6kkku9l66xsdjx8dx8iye">
              <w:r>
                <w:rPr>
                  <w:rStyle w:val="Hyperlink"/>
                </w:rPr>
                <w:t xml:space="preserve">[12]</w:t>
              </w:r>
            </w:hyperlink>
            <w:r>
              <w:t xml:space="preserve">. Stage-specific survival benchmark in a large MCC series (n=240) </w:t>
            </w:r>
            <w:hyperlink w:history="1" r:id="rIdasbaudgqmh2pm8dxjheav">
              <w:r>
                <w:rPr>
                  <w:rStyle w:val="Hyperlink"/>
                </w:rPr>
                <w:t xml:space="preserve">[13]</w:t>
              </w:r>
            </w:hyperlink>
            <w:r>
              <w:t xml:space="preserve">.</w:t>
            </w:r>
            <w:r>
              <w:rPr>
                <w:i/>
                <w:iCs/>
                <w:color w:val="39594D"/>
                <w:sz w:val="18"/>
                <w:szCs w:val="18"/>
              </w:rPr>
              <w:t xml:space="preserve"> (Level 2 — disease-specific NH characterization)</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Merkel cell carcinoma registry publication identified. The historical chemotherapy benchmarks above served as the implicit RWE comparator for the JAVELIN Merkel 200 single-arm trial.</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KYMRIAH (tisagenlecleucel)</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2017-08-30</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Pediatric r/r ALL salvage benchmark (CR ~39% to blinatumomab) characterizing the unmet need </w:t>
            </w:r>
            <w:hyperlink w:history="1" r:id="rIdlgiaqd5urp_n-245vhn9f">
              <w:r>
                <w:rPr>
                  <w:rStyle w:val="Hyperlink"/>
                </w:rPr>
                <w:t xml:space="preserve">[14]</w:t>
              </w:r>
            </w:hyperlink>
            <w:r>
              <w:t xml:space="preserve">. Long-term outcomes review for relapsed pediatric ALL (5-year OS ~30–50% post-first relapse, lower in early relapse) establishing the historical-control trajectory </w:t>
            </w:r>
            <w:hyperlink w:history="1" r:id="rIdu6h_-w4zr0exhhrmk6sjz">
              <w:r>
                <w:rPr>
                  <w:rStyle w:val="Hyperlink"/>
                </w:rPr>
                <w:t xml:space="preserve">[15]</w:t>
              </w:r>
            </w:hyperlink>
            <w:r>
              <w:t xml:space="preserve">.</w:t>
            </w:r>
            <w:r>
              <w:rPr>
                <w:i/>
                <w:iCs/>
                <w:color w:val="39594D"/>
                <w:sz w:val="18"/>
                <w:szCs w:val="18"/>
              </w:rPr>
              <w:t xml:space="preserve"> (Level 2 — disease-specific NH characterization)</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COG, BFM, and ALL-REZ BFM cooperative-group cohorts and the AALL07P1/AALL1331 historical comparator data were referenced in the BLA but did not appear as standalone HEOR publications before approval.</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YESCARTA (axicabtagene ciloleucel)</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2017-10-18</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SCHOLAR-1 pooled retrospective natural-history cohort (n=636 evaluable from a raw pool of n=861) establishing ORR 26%, median OS 6.3 months in chemo-refractory DLBCL </w:t>
            </w:r>
            <w:hyperlink w:history="1" r:id="rIdsxg6f2ebgz4jfi5qqycmp">
              <w:r>
                <w:rPr>
                  <w:rStyle w:val="Hyperlink"/>
                </w:rPr>
                <w:t xml:space="preserve">[16]</w:t>
              </w:r>
            </w:hyperlink>
            <w:r>
              <w:t xml:space="preserve">. </w:t>
            </w:r>
            <w:r>
              <w:rPr>
                <w:b/>
                <w:bCs/>
              </w:rPr>
              <w:t xml:space="preserve">Published 2 months before approval and is the canonical external comparator cited in the FDA review.</w:t>
            </w:r>
            <w:r>
              <w:rPr>
                <w:i/>
                <w:iCs/>
                <w:color w:val="39594D"/>
                <w:sz w:val="18"/>
                <w:szCs w:val="18"/>
              </w:rPr>
              <w:t xml:space="preserve"> (Level 4 — trial-matched external control via pooled retrospective harmonization)</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SCHOLAR-1 functioned as the principal pre-approval RWE source — a multi-cohort pooled analysis aggregating prospective trial and observational data explicitly designed to provide a refractory-DLBCL benchmark for emerging CAR-T programs </w:t>
            </w:r>
            <w:hyperlink w:history="1" r:id="rIdek0qtgbvkcc7jbe7wowlb">
              <w:r>
                <w:rPr>
                  <w:rStyle w:val="Hyperlink"/>
                </w:rPr>
                <w:t xml:space="preserve">[16]</w:t>
              </w:r>
            </w:hyperlink>
            <w:r>
              <w:t xml:space="preserve">.</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BALVERSA (erdafitinib)</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2019-04-12</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Post-platinum urothelial carcinoma OS benchmark (~10 months on chemotherapy control arm of KEYNOTE-045) used as the historical reference for second-line interventions </w:t>
            </w:r>
            <w:hyperlink w:history="1" r:id="rIdxp7hjm6t_l994bnhiqytd">
              <w:r>
                <w:rPr>
                  <w:rStyle w:val="Hyperlink"/>
                </w:rPr>
                <w:t xml:space="preserve">[17]</w:t>
              </w:r>
            </w:hyperlink>
            <w:r>
              <w:t xml:space="preserve">. FGFR alteration prevalence (~32% in urothelial carcinoma) supporting the rarity-and-unmet-need rationale for the biomarker-defined indication </w:t>
            </w:r>
            <w:hyperlink w:history="1" r:id="rId28hsghfmqpebflj8l3qgr">
              <w:r>
                <w:rPr>
                  <w:rStyle w:val="Hyperlink"/>
                </w:rPr>
                <w:t xml:space="preserve">[18]</w:t>
              </w:r>
            </w:hyperlink>
            <w:r>
              <w:t xml:space="preserve">.</w:t>
            </w:r>
            <w:r>
              <w:rPr>
                <w:i/>
                <w:iCs/>
                <w:color w:val="39594D"/>
                <w:sz w:val="18"/>
                <w:szCs w:val="18"/>
              </w:rPr>
              <w:t xml:space="preserve"> (Level 2 — disease-specific NH characterization)</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FGFR-altered urothelial-specific RWE cohort published before approval. General post-platinum urothelial outcomes data from KEYNOTE-045 and earlier vinflunine trials served as the implicit comparator.</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ZOLGENSMA (onasemnogene abeparvovec-xioi)</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2019-05-24</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PNCR Pediatric Neuromuscular Clinical Research Network natural-history cohort (n=34 SMA1) — the canonical untreated comparator for SMA1 ventilator-free survival and CHOP-INTEND trajectories </w:t>
            </w:r>
            <w:hyperlink w:history="1" r:id="rIdv-8xmrnskj2swttg_urdf">
              <w:r>
                <w:rPr>
                  <w:rStyle w:val="Hyperlink"/>
                </w:rPr>
                <w:t xml:space="preserve">[19]</w:t>
              </w:r>
            </w:hyperlink>
            <w:r>
              <w:t xml:space="preserve">. NeuroNEXT prospective natural-history cohort confirming early decline on CHOP-INTEND and HINE-2 in untreated infants </w:t>
            </w:r>
            <w:hyperlink w:history="1" r:id="rIdm7sg_ya0ldwdce7gfdpzn">
              <w:r>
                <w:rPr>
                  <w:rStyle w:val="Hyperlink"/>
                </w:rPr>
                <w:t xml:space="preserve">[20]</w:t>
              </w:r>
            </w:hyperlink>
            <w:r>
              <w:t xml:space="preserve">. Multicenter retrospective cohort confirming non-acquisition of motor milestones in untreated SMA1 </w:t>
            </w:r>
            <w:hyperlink w:history="1" r:id="rId6nzsdefhqeck4lvpkskw3">
              <w:r>
                <w:rPr>
                  <w:rStyle w:val="Hyperlink"/>
                </w:rPr>
                <w:t xml:space="preserve">[21]</w:t>
              </w:r>
            </w:hyperlink>
            <w:r>
              <w:t xml:space="preserve">.</w:t>
            </w:r>
            <w:r>
              <w:rPr>
                <w:i/>
                <w:iCs/>
                <w:color w:val="39594D"/>
                <w:sz w:val="18"/>
                <w:szCs w:val="18"/>
              </w:rPr>
              <w:t xml:space="preserve"> (Level 3 — endpoint-aligned prospective NH cohorts)</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PNCR </w:t>
            </w:r>
            <w:hyperlink w:history="1" r:id="rIdr2d9xqqfps2yt3f7c-o8i">
              <w:r>
                <w:rPr>
                  <w:rStyle w:val="Hyperlink"/>
                </w:rPr>
                <w:t xml:space="preserve">[19]</w:t>
              </w:r>
            </w:hyperlink>
            <w:r>
              <w:t xml:space="preserve"> and NeuroNEXT </w:t>
            </w:r>
            <w:hyperlink w:history="1" r:id="rIdfvxrqcoy7rxwk0fl8ansb">
              <w:r>
                <w:rPr>
                  <w:rStyle w:val="Hyperlink"/>
                </w:rPr>
                <w:t xml:space="preserve">[20]</w:t>
              </w:r>
            </w:hyperlink>
            <w:r>
              <w:t xml:space="preserve"> prospective natural-history cohorts served as the principal external-comparator RWE for the FDA submission. The TREAT-NMD SMA registry was active but did not publish a formal SMA1 comparator analysis before approval.</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AYVAKIT (avapritinib)</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2020-01-09</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Demonstration of near-complete imatinib resistance in PDGFRA D842V-mutant GIST (PFS ~3 months) establishing the unmet-need baseline </w:t>
            </w:r>
            <w:hyperlink w:history="1" r:id="rIdaxbj0h32uigp4naym3ea-">
              <w:r>
                <w:rPr>
                  <w:rStyle w:val="Hyperlink"/>
                </w:rPr>
                <w:t xml:space="preserve">[22]</w:t>
              </w:r>
            </w:hyperlink>
            <w:r>
              <w:t xml:space="preserve">. Multicenter cohort (n=71 PDGFRA exon 18) confirming low imatinib activity (PR 12.5% in D842V) and rapid progression on standard therapy </w:t>
            </w:r>
            <w:hyperlink w:history="1" r:id="rIdmczher4q3cnea9_fqt7ao">
              <w:r>
                <w:rPr>
                  <w:rStyle w:val="Hyperlink"/>
                </w:rPr>
                <w:t xml:space="preserve">[23]</w:t>
              </w:r>
            </w:hyperlink>
            <w:r>
              <w:t xml:space="preserve">.</w:t>
            </w:r>
            <w:r>
              <w:rPr>
                <w:i/>
                <w:iCs/>
                <w:color w:val="39594D"/>
                <w:sz w:val="18"/>
                <w:szCs w:val="18"/>
              </w:rPr>
              <w:t xml:space="preserve"> (Level 2 — disease-specific NH characterization with biomarker enrichment)</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No PDGFRA exon 18 mutation-specific GIST registry publication identified before approval; the Cassier </w:t>
            </w:r>
            <w:hyperlink w:history="1" r:id="rId26zpwdgx6oim_-gaoudnx">
              <w:r>
                <w:rPr>
                  <w:rStyle w:val="Hyperlink"/>
                </w:rPr>
                <w:t xml:space="preserve">[22]</w:t>
              </w:r>
            </w:hyperlink>
            <w:r>
              <w:t xml:space="preserve"> and Farag </w:t>
            </w:r>
            <w:hyperlink w:history="1" r:id="rId1vukhned1lplm4zffsxhz">
              <w:r>
                <w:rPr>
                  <w:rStyle w:val="Hyperlink"/>
                </w:rPr>
                <w:t xml:space="preserve">[23]</w:t>
              </w:r>
            </w:hyperlink>
            <w:r>
              <w:t xml:space="preserve"> observational cohorts functioned as the de facto RWE comparators.</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KOSELUGO (selumetinib)</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2020-04-10</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Foundational NCI Natural History Study cohort defining volumetric growth kinetics — the basis for the volumetric response endpoint used in SPRINT </w:t>
            </w:r>
            <w:hyperlink w:history="1" r:id="rIdczzctigszypqhzty5rzea">
              <w:r>
                <w:rPr>
                  <w:rStyle w:val="Hyperlink"/>
                </w:rPr>
                <w:t xml:space="preserve">[24]</w:t>
              </w:r>
            </w:hyperlink>
            <w:r>
              <w:t xml:space="preserve">. NCI cohort linking PN volume change to clinical morbidity (pain medication, motor impairment) </w:t>
            </w:r>
            <w:hyperlink w:history="1" r:id="rIdudhaqdmu7ezof9ixts0ym">
              <w:r>
                <w:rPr>
                  <w:rStyle w:val="Hyperlink"/>
                </w:rPr>
                <w:t xml:space="preserve">[25]</w:t>
              </w:r>
            </w:hyperlink>
            <w:r>
              <w:t xml:space="preserve">. Updated NCI longitudinal cohort (n=122) refining age-stratified PN growth-rate expectations </w:t>
            </w:r>
            <w:hyperlink w:history="1" r:id="rIdnouzdkyc_ah775ilkdarn">
              <w:r>
                <w:rPr>
                  <w:rStyle w:val="Hyperlink"/>
                </w:rPr>
                <w:t xml:space="preserve">[26]</w:t>
              </w:r>
            </w:hyperlink>
            <w:r>
              <w:t xml:space="preserve">.</w:t>
            </w:r>
            <w:r>
              <w:rPr>
                <w:i/>
                <w:iCs/>
                <w:color w:val="39594D"/>
                <w:sz w:val="18"/>
                <w:szCs w:val="18"/>
              </w:rPr>
              <w:t xml:space="preserve"> (Level 3 — endpoint-aligned prospective NH cohort)</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REiNS consensus instruments (NRS-11 for pain intensity, PROMIS Pain Interference) subsequently adopted in SPRINT </w:t>
            </w:r>
            <w:hyperlink w:history="1" r:id="rIdus8heirb0bzy4fh5ofwa-">
              <w:r>
                <w:rPr>
                  <w:rStyle w:val="Hyperlink"/>
                </w:rPr>
                <w:t xml:space="preserve">[27]</w:t>
              </w:r>
            </w:hyperlink>
            <w:r>
              <w:t xml:space="preserve">.</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The NCI NF1 Natural History Study (NCT00924196) provided the canonical historical comparator. A formal propensity-score-matched comparison versus this cohort was published post-approval </w:t>
            </w:r>
            <w:hyperlink w:history="1" r:id="rIdls_dvooxnrekfcce-ekta">
              <w:r>
                <w:rPr>
                  <w:rStyle w:val="Hyperlink"/>
                </w:rPr>
                <w:t xml:space="preserve">[28]</w:t>
              </w:r>
            </w:hyperlink>
            <w:r>
              <w:t xml:space="preserve">.</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PEMAZYRE (pemigatinib)</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2020-04-17</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Pooled second-line cholangiocarcinoma benchmarks: median OS 7.2 months, ORR &lt;10% — the unmet-need framing for FGFR-targeted therapy </w:t>
            </w:r>
            <w:hyperlink w:history="1" r:id="rIdsedbkcq9kuagkh-us2exl">
              <w:r>
                <w:rPr>
                  <w:rStyle w:val="Hyperlink"/>
                </w:rPr>
                <w:t xml:space="preserve">[29]</w:t>
              </w:r>
            </w:hyperlink>
            <w:r>
              <w:t xml:space="preserve">. Documented clinicopathologic phenotype and indolent course in FGFR2-fusion intrahepatic cholangiocarcinoma supporting the biomarker-defined indication </w:t>
            </w:r>
            <w:hyperlink w:history="1" r:id="rIdl_o6jdihihottimvqesbt">
              <w:r>
                <w:rPr>
                  <w:rStyle w:val="Hyperlink"/>
                </w:rPr>
                <w:t xml:space="preserve">[30]</w:t>
              </w:r>
            </w:hyperlink>
            <w:r>
              <w:t xml:space="preserve">.</w:t>
            </w:r>
            <w:r>
              <w:rPr>
                <w:i/>
                <w:iCs/>
                <w:color w:val="39594D"/>
                <w:sz w:val="18"/>
                <w:szCs w:val="18"/>
              </w:rPr>
              <w:t xml:space="preserve"> (Level 2 — disease-specific NH characterization with biomarker enrichment)</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FGFR2-fusion cholangiocarcinoma RWE registry publication identified before April 2020. Second-line cholangiocarcinoma chemotherapy outcomes from ABC-06 (Lamarca et al. 2021, post-approval) ultimately served as the formal randomized comparator.</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NULIBRY (fosdenopterin)</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2021-02-26</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International natural-history cohort documenting near-universal early-infancy mortality (median age at death ~36 months untreated) </w:t>
            </w:r>
            <w:hyperlink w:history="1" r:id="rIdimeqgv1kqbjvgusqur3yc">
              <w:r>
                <w:rPr>
                  <w:rStyle w:val="Hyperlink"/>
                </w:rPr>
                <w:t xml:space="preserve">[31]</w:t>
              </w:r>
            </w:hyperlink>
            <w:r>
              <w:t xml:space="preserve">. Review of natural history, biochemical phenotype, and prior cyclic-pyranopterin-monophosphate experience supporting disease-burden context </w:t>
            </w:r>
            <w:hyperlink w:history="1" r:id="rIdtxcse4bsvdfvlu4m_qab-">
              <w:r>
                <w:rPr>
                  <w:rStyle w:val="Hyperlink"/>
                </w:rPr>
                <w:t xml:space="preserve">[32]</w:t>
              </w:r>
            </w:hyperlink>
            <w:r>
              <w:t xml:space="preserve">.</w:t>
            </w:r>
            <w:r>
              <w:rPr>
                <w:i/>
                <w:iCs/>
                <w:color w:val="39594D"/>
                <w:sz w:val="18"/>
                <w:szCs w:val="18"/>
              </w:rPr>
              <w:t xml:space="preserve"> (Level 4 — trial-matched external control via genotype matching)</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FDA classified this approval under its real-world evidence framework </w:t>
            </w:r>
            <w:hyperlink w:history="1" r:id="rIdjctbambofgo_l6m0if75y">
              <w:r>
                <w:rPr>
                  <w:rStyle w:val="Hyperlink"/>
                </w:rPr>
                <w:t xml:space="preserve">[1]</w:t>
              </w:r>
            </w:hyperlink>
            <w:r>
              <w:t xml:space="preserve">. </w:t>
            </w:r>
            <w:r>
              <w:t xml:space="preserve">Pooled data from two prospective single-arm trials and an expanded-access program were compared with an external natural-history cohort assembled from medical records across 15 countries (genotype-matched controls). The comparator dataset itself was sponsor-curated rather than published as standalone peer-reviewed RWE before approval.</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WELIREG (belzutifan)</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2021-08-13</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NIH-led foundational characterization of organ-system manifestations and surgical burden in VHL </w:t>
            </w:r>
            <w:hyperlink w:history="1" r:id="rId59govcg2xgzj6f6ijlq7h">
              <w:r>
                <w:rPr>
                  <w:rStyle w:val="Hyperlink"/>
                </w:rPr>
                <w:t xml:space="preserve">[33]</w:t>
              </w:r>
            </w:hyperlink>
            <w:r>
              <w:t xml:space="preserve">. Single-arm trial of pazopanib in VHL-RCC providing a same-population benchmark for ORR and surgical-deferral framing </w:t>
            </w:r>
            <w:hyperlink w:history="1" r:id="rIdrnkqg1vcdwfkm0sub3u-f">
              <w:r>
                <w:rPr>
                  <w:rStyle w:val="Hyperlink"/>
                </w:rPr>
                <w:t xml:space="preserve">[34]</w:t>
              </w:r>
            </w:hyperlink>
            <w:r>
              <w:t xml:space="preserve">. Comprehensive review of VHL natural history and surveillance burden across organ systems </w:t>
            </w:r>
            <w:hyperlink w:history="1" r:id="rIdol4xugo4qr51aq8rr56xo">
              <w:r>
                <w:rPr>
                  <w:rStyle w:val="Hyperlink"/>
                </w:rPr>
                <w:t xml:space="preserve">[35]</w:t>
              </w:r>
            </w:hyperlink>
            <w:r>
              <w:t xml:space="preserve">.</w:t>
            </w:r>
            <w:r>
              <w:rPr>
                <w:i/>
                <w:iCs/>
                <w:color w:val="39594D"/>
                <w:sz w:val="18"/>
                <w:szCs w:val="18"/>
              </w:rPr>
              <w:t xml:space="preserve"> (Level 2 — disease-specific NH characterization plus single-arm benchmark trial)</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VHL Alliance international VHL registry and the German VHL registry were active and informed the regulatory context, but no formal comparator publication was issued before approval.</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REZUROCK (belumosudil)</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2021-07-16</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CIBMTR-derived benchmark establishing failure-free survival in cGVHD after corticosteroid failure (~40% at 6 months) </w:t>
            </w:r>
            <w:hyperlink w:history="1" r:id="rIdpseyekurtzjectqibwtry">
              <w:r>
                <w:rPr>
                  <w:rStyle w:val="Hyperlink"/>
                </w:rPr>
                <w:t xml:space="preserve">[36]</w:t>
              </w:r>
            </w:hyperlink>
            <w:r>
              <w:t xml:space="preserve">. NIH 2014 cGVHD response criteria — the FDA-accepted endpoint framework adopted in the ROCKstar trial </w:t>
            </w:r>
            <w:hyperlink w:history="1" r:id="rIdux58iwz8gqvjbqifzuwhj">
              <w:r>
                <w:rPr>
                  <w:rStyle w:val="Hyperlink"/>
                </w:rPr>
                <w:t xml:space="preserve">[37]</w:t>
              </w:r>
            </w:hyperlink>
            <w:r>
              <w:t xml:space="preserve">.</w:t>
            </w:r>
            <w:r>
              <w:rPr>
                <w:i/>
                <w:iCs/>
                <w:color w:val="39594D"/>
                <w:sz w:val="18"/>
                <w:szCs w:val="18"/>
              </w:rPr>
              <w:t xml:space="preserve"> (Level 3 — endpoint-aligned NH cohort with regulatory-recognized criteria)</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Lee Symptom Scale, the validated FDA-recognized cGVHD PRO instrument used as a key secondary endpoint in ROCKstar (KD025-213) </w:t>
            </w:r>
            <w:hyperlink w:history="1" r:id="rIdsocnm5pihodb8fct9b23f">
              <w:r>
                <w:rPr>
                  <w:rStyle w:val="Hyperlink"/>
                </w:rPr>
                <w:t xml:space="preserve">[38]</w:t>
              </w:r>
            </w:hyperlink>
            <w:r>
              <w:t xml:space="preserve">.</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CIBMTR registry analysis quantifying rising cGVHD incidence and treatment-line burden — RWE context for refractory population sizing </w:t>
            </w:r>
            <w:hyperlink w:history="1" r:id="rIdsxtttdxz3hulakzi5bb5g">
              <w:r>
                <w:rPr>
                  <w:rStyle w:val="Hyperlink"/>
                </w:rPr>
                <w:t xml:space="preserve">[39]</w:t>
              </w:r>
            </w:hyperlink>
            <w:r>
              <w:t xml:space="preserve">.</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VIJOICE (alpelisib)</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2022-04-05</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NIH consensus document defining the PROS phenotypic spectrum and severity-based treatment indication framework </w:t>
            </w:r>
            <w:hyperlink w:history="1" r:id="rIdv0s2ectfovmymnp3lneyg">
              <w:r>
                <w:rPr>
                  <w:rStyle w:val="Hyperlink"/>
                </w:rPr>
                <w:t xml:space="preserve">[40]</w:t>
              </w:r>
            </w:hyperlink>
            <w:r>
              <w:t xml:space="preserve">. Compassionate-use observational series (n=19) demonstrating lesion regression on alpelisib — the foundational expanded-access dataset that became EPIK-P1 </w:t>
            </w:r>
            <w:hyperlink w:history="1" r:id="rIdglkazz4dqz9lxyriwnp8w">
              <w:r>
                <w:rPr>
                  <w:rStyle w:val="Hyperlink"/>
                </w:rPr>
                <w:t xml:space="preserve">[41]</w:t>
              </w:r>
            </w:hyperlink>
            <w:r>
              <w:t xml:space="preserve">.</w:t>
            </w:r>
            <w:r>
              <w:rPr>
                <w:i/>
                <w:iCs/>
                <w:color w:val="39594D"/>
                <w:sz w:val="18"/>
                <w:szCs w:val="18"/>
              </w:rPr>
              <w:t xml:space="preserve"> (Level 4 — expanded-access cohort serving as proto-trial)</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The Venot 2018 expanded-access series </w:t>
            </w:r>
            <w:hyperlink w:history="1" r:id="rIdp_5zu2modyrf8y2f-elsj">
              <w:r>
                <w:rPr>
                  <w:rStyle w:val="Hyperlink"/>
                </w:rPr>
                <w:t xml:space="preserve">[41]</w:t>
              </w:r>
            </w:hyperlink>
            <w:r>
              <w:t xml:space="preserve"> constitutes the principal pre-approval RWE — a published cohort whose patients were subsequently incorporated into the EPIK-P1 single-arm study. </w:t>
            </w:r>
            <w:r>
              <w:rPr>
                <w:b/>
                <w:bCs/>
              </w:rPr>
              <w:t xml:space="preserve">FDA explicitly identified the resulting study as a real-world-evidence-based approval </w:t>
            </w:r>
            <w:hyperlink w:history="1" r:id="rId6nipnaj1lrylchc8jwa4q">
              <w:r>
                <w:rPr>
                  <w:rStyle w:val="Hyperlink"/>
                </w:rPr>
                <w:t xml:space="preserve">[1]</w:t>
              </w:r>
            </w:hyperlink>
            <w:r>
              <w:t xml:space="preserve">.</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ZYNTEGLO (betibeglogene autotemcel)</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2022-08-17</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Foundational TDT survival cohort under chronic transfusion plus iron-chelation, documenting cardiac-iron mortality and morbidity burden </w:t>
            </w:r>
            <w:hyperlink w:history="1" r:id="rIdzqxbvavpyqh8amblrbcfb">
              <w:r>
                <w:rPr>
                  <w:rStyle w:val="Hyperlink"/>
                </w:rPr>
                <w:t xml:space="preserve">[42]</w:t>
              </w:r>
            </w:hyperlink>
            <w:r>
              <w:t xml:space="preserve">. Multinational comparison documenting end-organ complications under chronic transfusion dependence </w:t>
            </w:r>
            <w:hyperlink w:history="1" r:id="rId0lphq1m7osx5tzubttheh">
              <w:r>
                <w:rPr>
                  <w:rStyle w:val="Hyperlink"/>
                </w:rPr>
                <w:t xml:space="preserve">[43]</w:t>
              </w:r>
            </w:hyperlink>
            <w:r>
              <w:t xml:space="preserve">.</w:t>
            </w:r>
            <w:r>
              <w:rPr>
                <w:i/>
                <w:iCs/>
                <w:color w:val="39594D"/>
                <w:sz w:val="18"/>
                <w:szCs w:val="18"/>
              </w:rPr>
              <w:t xml:space="preserve"> (Level 2 — disease-specific NH characterization)</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TranQol — the disease-specific TDT PRO instrument used in transfusion-burden evaluation </w:t>
            </w:r>
            <w:hyperlink w:history="1" r:id="rIdyy2o8aa8suvuiwy8c1ewv">
              <w:r>
                <w:rPr>
                  <w:rStyle w:val="Hyperlink"/>
                </w:rPr>
                <w:t xml:space="preserve">[44]</w:t>
              </w:r>
            </w:hyperlink>
            <w:r>
              <w:t xml:space="preserve">.</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UK Thalassaemia Register and ENERCA cohort data informed disease-burden context. No bluebird-specific external-control comparator was published before approval; the BLA relied on within-patient pre/post comparison of transfusion requirement.</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SKYSONA (elivaldogene autotemcel)</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2022-09-16</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Comparison of allo-HSCT vs supportive care in cerebral ALD — the historical benchmark used for the externally controlled SKYSONA submission </w:t>
            </w:r>
            <w:hyperlink w:history="1" r:id="rIdcc6r_loervx2rusbr6y2u">
              <w:r>
                <w:rPr>
                  <w:rStyle w:val="Hyperlink"/>
                </w:rPr>
                <w:t xml:space="preserve">[45]</w:t>
              </w:r>
            </w:hyperlink>
            <w:r>
              <w:t xml:space="preserve">. Multicenter natural-history-plus-HSCT comparator documenting major functional disability-free survival benchmarks (the SKYSONA primary endpoint) </w:t>
            </w:r>
            <w:hyperlink w:history="1" r:id="rIdd_do9zhq741udbmwka5kk">
              <w:r>
                <w:rPr>
                  <w:rStyle w:val="Hyperlink"/>
                </w:rPr>
                <w:t xml:space="preserve">[46]</w:t>
              </w:r>
            </w:hyperlink>
            <w:r>
              <w:t xml:space="preserve">. Documented Loes-score and neurologic-function-score trajectories in untreated and arrested CALD </w:t>
            </w:r>
            <w:hyperlink w:history="1" r:id="rIdzfmp_2jvfwv70o5sz4xra">
              <w:r>
                <w:rPr>
                  <w:rStyle w:val="Hyperlink"/>
                </w:rPr>
                <w:t xml:space="preserve">[47]</w:t>
              </w:r>
            </w:hyperlink>
            <w:r>
              <w:t xml:space="preserve">.</w:t>
            </w:r>
            <w:r>
              <w:rPr>
                <w:i/>
                <w:iCs/>
                <w:color w:val="39594D"/>
                <w:sz w:val="18"/>
                <w:szCs w:val="18"/>
              </w:rPr>
              <w:t xml:space="preserve"> (Level 5 — prospectively designed NH comparator with central adjudication)</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FDA classified this approval under its real-world evidence framework </w:t>
            </w:r>
            <w:hyperlink w:history="1" r:id="rIdiov_hdhfpdkv4nnajyfyn">
              <w:r>
                <w:rPr>
                  <w:rStyle w:val="Hyperlink"/>
                </w:rPr>
                <w:t xml:space="preserve">[1]</w:t>
              </w:r>
            </w:hyperlink>
            <w:r>
              <w:t xml:space="preserve">. </w:t>
            </w:r>
            <w:r>
              <w:t xml:space="preserve">The pivotal evidence package combined the single-arm treated cohort (Starbeam/ALD-102), an untreated natural-history comparator built from medical-record review with central adjudication of Loes score and neurologic function score, and a CIBMTR-derived allo-HSCT comparator </w:t>
            </w:r>
            <w:hyperlink w:history="1" r:id="rIddykovl2hytlbpkciu0s3c">
              <w:r>
                <w:rPr>
                  <w:rStyle w:val="Hyperlink"/>
                </w:rPr>
                <w:t xml:space="preserve">[46]</w:t>
              </w:r>
            </w:hyperlink>
            <w:r>
              <w:t xml:space="preserve">.</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HEMGENIX (etranacogene dezaparvovec-drlb)</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2022-11-22</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Foundational prevalence study quantifying the hemophilia B population and severity distribution </w:t>
            </w:r>
            <w:hyperlink w:history="1" r:id="rIdv2xtg7b46xy8talqilhc3">
              <w:r>
                <w:rPr>
                  <w:rStyle w:val="Hyperlink"/>
                </w:rPr>
                <w:t xml:space="preserve">[48]</w:t>
              </w:r>
            </w:hyperlink>
            <w:r>
              <w:t xml:space="preserve">. CHESS-EU cohort quantifying clinical and care burden in severe hemophilia </w:t>
            </w:r>
            <w:hyperlink w:history="1" r:id="rId9vk_0s_vy0zzhg7rt8xes">
              <w:r>
                <w:rPr>
                  <w:rStyle w:val="Hyperlink"/>
                </w:rPr>
                <w:t xml:space="preserve">[49]</w:t>
              </w:r>
            </w:hyperlink>
            <w:r>
              <w:t xml:space="preserve">.</w:t>
            </w:r>
            <w:r>
              <w:rPr>
                <w:i/>
                <w:iCs/>
                <w:color w:val="39594D"/>
                <w:sz w:val="18"/>
                <w:szCs w:val="18"/>
              </w:rPr>
              <w:t xml:space="preserve"> (Level 1 — descriptive epidemiology / population-level burden)</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Haemo-QoL-A — validated adult-hemophilia PRO subsequently used as a secondary endpoint in HOPE-B </w:t>
            </w:r>
            <w:hyperlink w:history="1" r:id="rIdrb5kpmmjsmpvfag1pyrwz">
              <w:r>
                <w:rPr>
                  <w:rStyle w:val="Hyperlink"/>
                </w:rPr>
                <w:t xml:space="preserve">[50]</w:t>
              </w:r>
            </w:hyperlink>
            <w:r>
              <w:t xml:space="preserve">.</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ATHN (American Thrombosis and Hemostasis Network) and the WFH Annual Global Survey provided RWE context. The HOPE-B trial itself used a 6-month lead-in period of investigator-administered FIX prophylaxis as a within-patient comparator, in lieu of an external-control cohort.</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ADSTILADRIN (nadofaragene firadenovec-vncg)</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2022-12-16</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IBCG endpoint framework — including BCG-unresponsive definitions and complete response in CIS — used by FDA for trial benchmarking </w:t>
            </w:r>
            <w:hyperlink w:history="1" r:id="rId2fu2xgeln83n8by55nvlm">
              <w:r>
                <w:rPr>
                  <w:rStyle w:val="Hyperlink"/>
                </w:rPr>
                <w:t xml:space="preserve">[51]</w:t>
              </w:r>
            </w:hyperlink>
            <w:r>
              <w:t xml:space="preserve">. FDA-AUA-BCAN-SUO consensus characterizing the BCG-unresponsive natural history (~70% disease persistence/progression at 12 months) — the historical control benchmark </w:t>
            </w:r>
            <w:hyperlink w:history="1" r:id="rIdeparjv6j2mnecphbdqsrk">
              <w:r>
                <w:rPr>
                  <w:rStyle w:val="Hyperlink"/>
                </w:rPr>
                <w:t xml:space="preserve">[52]</w:t>
              </w:r>
            </w:hyperlink>
            <w:r>
              <w:t xml:space="preserve">.</w:t>
            </w:r>
            <w:r>
              <w:rPr>
                <w:i/>
                <w:iCs/>
                <w:color w:val="39594D"/>
                <w:sz w:val="18"/>
                <w:szCs w:val="18"/>
              </w:rPr>
              <w:t xml:space="preserve"> (Level 3 — consensus-defined endpoint framework with NH benchmark)</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BCG-unresponsive NMIBC RWE registry publication identified before approval. The Lerner 2015 consensus document and pre-cystectomy outcomes literature served as the external-comparator framing.</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LANTIDRA (donislecel)</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2023-06-28</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T1D Exchange Registry quantification of severe hypoglycemia incidence in adults with T1D — establishing the unmet-need population </w:t>
            </w:r>
            <w:hyperlink w:history="1" r:id="rIdcyz3v-l46bactzbehw1z1">
              <w:r>
                <w:rPr>
                  <w:rStyle w:val="Hyperlink"/>
                </w:rPr>
                <w:t xml:space="preserve">[53]</w:t>
              </w:r>
            </w:hyperlink>
            <w:r>
              <w:t xml:space="preserve">.</w:t>
            </w:r>
            <w:r>
              <w:rPr>
                <w:i/>
                <w:iCs/>
                <w:color w:val="39594D"/>
                <w:sz w:val="18"/>
                <w:szCs w:val="18"/>
              </w:rPr>
              <w:t xml:space="preserve"> (Level 1 — descriptive epidemiology / population-level burden)</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Hypoglycemia Fear Survey — long-standing validated PRO referenced in T1D severe-hypoglycemia outcomes research </w:t>
            </w:r>
            <w:hyperlink w:history="1" r:id="rIdfy03do253d8f-djttlhfg">
              <w:r>
                <w:rPr>
                  <w:rStyle w:val="Hyperlink"/>
                </w:rPr>
                <w:t xml:space="preserve">[54]</w:t>
              </w:r>
            </w:hyperlink>
            <w:r>
              <w:t xml:space="preserve">. Clarke Score for hypoglycemia awareness — used to characterize the population eligible for islet-cell transplantation </w:t>
            </w:r>
            <w:hyperlink w:history="1" r:id="rId0_rl0xvyxj2dz0bdbeylh">
              <w:r>
                <w:rPr>
                  <w:rStyle w:val="Hyperlink"/>
                </w:rPr>
                <w:t xml:space="preserve">[55]</w:t>
              </w:r>
            </w:hyperlink>
            <w:r>
              <w:t xml:space="preserve">.</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CIT-07 multicenter trial that — together with subsequent Collaborative Islet Transplant Registry (CITR) reports — provided the principal RWE base for islet-transplantation efficacy and safety in this indication </w:t>
            </w:r>
            <w:hyperlink w:history="1" r:id="rIdjouffb3xfv5yjvg1o-h5x">
              <w:r>
                <w:rPr>
                  <w:rStyle w:val="Hyperlink"/>
                </w:rPr>
                <w:t xml:space="preserve">[56]</w:t>
              </w:r>
            </w:hyperlink>
            <w:r>
              <w:t xml:space="preserve">.</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CASGEVY (exagamglogene autotemcel)</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2023-12-08</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Foundational SCD survival benchmark cited continuously in regulatory framing of SCD as a serious life-threatening disease </w:t>
            </w:r>
            <w:hyperlink w:history="1" r:id="rIdaho4nvqomw68rqrztj2zx">
              <w:r>
                <w:rPr>
                  <w:rStyle w:val="Hyperlink"/>
                </w:rPr>
                <w:t xml:space="preserve">[57]</w:t>
              </w:r>
            </w:hyperlink>
            <w:r>
              <w:t xml:space="preserve">. Acute-care utilization burden study — a central reference for SCD healthcare-resource intensity </w:t>
            </w:r>
            <w:hyperlink w:history="1" r:id="rIdlpnclvxdpyfkb1jmrww2j">
              <w:r>
                <w:rPr>
                  <w:rStyle w:val="Hyperlink"/>
                </w:rPr>
                <w:t xml:space="preserve">[58]</w:t>
              </w:r>
            </w:hyperlink>
            <w:r>
              <w:t xml:space="preserve">. Contemporary SCD epidemiology, mortality, and complication landscape framing the unmet-need rationale </w:t>
            </w:r>
            <w:hyperlink w:history="1" r:id="rIdwcicdvufxfg3icnis3p9r">
              <w:r>
                <w:rPr>
                  <w:rStyle w:val="Hyperlink"/>
                </w:rPr>
                <w:t xml:space="preserve">[59]</w:t>
              </w:r>
            </w:hyperlink>
            <w:r>
              <w:t xml:space="preserve">.</w:t>
            </w:r>
            <w:r>
              <w:rPr>
                <w:i/>
                <w:iCs/>
                <w:color w:val="39594D"/>
                <w:sz w:val="18"/>
                <w:szCs w:val="18"/>
              </w:rPr>
              <w:t xml:space="preserve"> (Level 1 — descriptive epidemiology / population-level burden)</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ASCQ-Me — principal SCD-specific PRO instrument adopted in regulatory and registry programs </w:t>
            </w:r>
            <w:hyperlink w:history="1" r:id="rIdszgnvg2w-dazsezjtpbfa">
              <w:r>
                <w:rPr>
                  <w:rStyle w:val="Hyperlink"/>
                </w:rPr>
                <w:t xml:space="preserve">[60]</w:t>
              </w:r>
            </w:hyperlink>
            <w:r>
              <w:t xml:space="preserve">. Multicenter SCDIC PRO assessment (n=2,201) using ASCQ-Me, PROMIS, and NeuroQol — pre-approval HRQoL baseline </w:t>
            </w:r>
            <w:hyperlink w:history="1" r:id="rIdzi8m9bzkc8h_m3zsg5w61">
              <w:r>
                <w:rPr>
                  <w:rStyle w:val="Hyperlink"/>
                </w:rPr>
                <w:t xml:space="preserve">[61]</w:t>
              </w:r>
            </w:hyperlink>
            <w:r>
              <w:t xml:space="preserve">.</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CIBMTR allo-HSCT outcomes in SCD and the SCDIC longitudinal registry provided RWE context. The pivotal CLIMB SCD-121 trial relied on a within-patient pre-treatment baseline VOC rate as the principal comparator rather than an external-control cohort.</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LYFGENIA (lovotibeglogene autotemcel)</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2023-12-08</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Same SCD natural-history evidence base as CASGEVY: Platt 1994 </w:t>
            </w:r>
            <w:hyperlink w:history="1" r:id="rIdcgww8l6yo2xkepqqllgu9">
              <w:r>
                <w:rPr>
                  <w:rStyle w:val="Hyperlink"/>
                </w:rPr>
                <w:t xml:space="preserve">[57]</w:t>
              </w:r>
            </w:hyperlink>
            <w:r>
              <w:t xml:space="preserve">, Brousseau 2010 </w:t>
            </w:r>
            <w:hyperlink w:history="1" r:id="rIdkiglywirbtlawgzbtwufm">
              <w:r>
                <w:rPr>
                  <w:rStyle w:val="Hyperlink"/>
                </w:rPr>
                <w:t xml:space="preserve">[58]</w:t>
              </w:r>
            </w:hyperlink>
            <w:r>
              <w:t xml:space="preserve">, Kanter 2020 </w:t>
            </w:r>
            <w:hyperlink w:history="1" r:id="rIdmffclbo_od-5sjhwdj_7d">
              <w:r>
                <w:rPr>
                  <w:rStyle w:val="Hyperlink"/>
                </w:rPr>
                <w:t xml:space="preserve">[59]</w:t>
              </w:r>
            </w:hyperlink>
            <w:r>
              <w:t xml:space="preserve">.</w:t>
            </w:r>
            <w:r>
              <w:rPr>
                <w:i/>
                <w:iCs/>
                <w:color w:val="39594D"/>
                <w:sz w:val="18"/>
                <w:szCs w:val="18"/>
              </w:rPr>
              <w:t xml:space="preserve"> (Level 1 — descriptive epidemiology)</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Same SCD PRO base as CASGEVY: ASCQ-Me </w:t>
            </w:r>
            <w:hyperlink w:history="1" r:id="rIdyxa9j-umljxoptqmtvp6a">
              <w:r>
                <w:rPr>
                  <w:rStyle w:val="Hyperlink"/>
                </w:rPr>
                <w:t xml:space="preserve">[60]</w:t>
              </w:r>
            </w:hyperlink>
            <w:r>
              <w:t xml:space="preserve">, SCDIC </w:t>
            </w:r>
            <w:hyperlink w:history="1" r:id="rIdvjcvim50gh-tm51iatlht">
              <w:r>
                <w:rPr>
                  <w:rStyle w:val="Hyperlink"/>
                </w:rPr>
                <w:t xml:space="preserve">[61]</w:t>
              </w:r>
            </w:hyperlink>
            <w:r>
              <w:t xml:space="preserve">.</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bluebird-specific external comparator was published before approval. The HGB-206 program used within-patient pre/post comparison of severe VOEs as the principal endpoint framework.</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LENMELDY (atidarsagene autotemcel)</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2024-03-18</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First treated cohort plus matched untreated natural-history controls — the prototype for the LENMELDY external-control framework </w:t>
            </w:r>
            <w:hyperlink w:history="1" r:id="rIdlglpogexwwakpfdanqowk">
              <w:r>
                <w:rPr>
                  <w:rStyle w:val="Hyperlink"/>
                </w:rPr>
                <w:t xml:space="preserve">[62]</w:t>
              </w:r>
            </w:hyperlink>
            <w:r>
              <w:t xml:space="preserve">. Validated MLD-specific motor-classification system (GMFC-MLD) used as the LENMELDY external-comparator endpoint </w:t>
            </w:r>
            <w:hyperlink w:history="1" r:id="rIdvrf4kda2upcc4lpczvi2i">
              <w:r>
                <w:rPr>
                  <w:rStyle w:val="Hyperlink"/>
                </w:rPr>
                <w:t xml:space="preserve">[63]</w:t>
              </w:r>
            </w:hyperlink>
            <w:r>
              <w:t xml:space="preserve">. Treated cohort (n=29) plus matched untreated controls (n=31) on GMFM-88 and survival — the principal pre-approval external-control publication </w:t>
            </w:r>
            <w:hyperlink w:history="1" r:id="rIdupxvg8xk_winusr4-finq">
              <w:r>
                <w:rPr>
                  <w:rStyle w:val="Hyperlink"/>
                </w:rPr>
                <w:t xml:space="preserve">[64]</w:t>
              </w:r>
            </w:hyperlink>
            <w:r>
              <w:t xml:space="preserve">.</w:t>
            </w:r>
            <w:r>
              <w:rPr>
                <w:i/>
                <w:iCs/>
                <w:color w:val="39594D"/>
                <w:sz w:val="18"/>
                <w:szCs w:val="18"/>
              </w:rPr>
              <w:t xml:space="preserve"> (Level 5 — prospectively designed NH comparator with trial-aligned protocol)</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FDA classified this approval under its real-world evidence framework </w:t>
            </w:r>
            <w:hyperlink w:history="1" r:id="rIdkm9tvs_grii3lmhzo1zr-">
              <w:r>
                <w:rPr>
                  <w:rStyle w:val="Hyperlink"/>
                </w:rPr>
                <w:t xml:space="preserve">[1]</w:t>
              </w:r>
            </w:hyperlink>
            <w:r>
              <w:t xml:space="preserve">. </w:t>
            </w:r>
            <w:r>
              <w:t xml:space="preserve">The submission combined two single-arm trials and an Italian/EU expanded-access program with a matched untreated natural-history cohort drawn from medical records of MLD patients prior to gene-therapy availability — the structure documented in Fumagalli 2022 </w:t>
            </w:r>
            <w:hyperlink w:history="1" r:id="rIdxjqnjeefbzqs9s7sdacjn">
              <w:r>
                <w:rPr>
                  <w:rStyle w:val="Hyperlink"/>
                </w:rPr>
                <w:t xml:space="preserve">[64]</w:t>
              </w:r>
            </w:hyperlink>
            <w:r>
              <w:t xml:space="preserve">.</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KEBILIDI (eladocagene exuparvovec-tneq)</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2024-11-13</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International consensus describing the AADC natural-history phenotype, severity classification, and care burden </w:t>
            </w:r>
            <w:hyperlink w:history="1" r:id="rId6fyodunwdg0mqvhigrbsx">
              <w:r>
                <w:rPr>
                  <w:rStyle w:val="Hyperlink"/>
                </w:rPr>
                <w:t xml:space="preserve">[65]</w:t>
              </w:r>
            </w:hyperlink>
            <w:r>
              <w:t xml:space="preserve">. Retrospective Taiwanese cohort (n=37) documenting motor-milestone non-acquisition under standard care — the natural-history comparator referenced in the regulatory submission </w:t>
            </w:r>
            <w:hyperlink w:history="1" r:id="rIdf68mxiry4pxcs7bgsj6gt">
              <w:r>
                <w:rPr>
                  <w:rStyle w:val="Hyperlink"/>
                </w:rPr>
                <w:t xml:space="preserve">[66]</w:t>
              </w:r>
            </w:hyperlink>
            <w:r>
              <w:t xml:space="preserve">.</w:t>
            </w:r>
            <w:r>
              <w:rPr>
                <w:i/>
                <w:iCs/>
                <w:color w:val="39594D"/>
                <w:sz w:val="18"/>
                <w:szCs w:val="18"/>
              </w:rPr>
              <w:t xml:space="preserve"> (Level 3 — endpoint-aligned NH cohort matched on milestone acquisition)</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No pre-approval peer-reviewed evidence identified in this category.</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Pooled treated cohort (n=26) with up to 7-year follow-up across the AADC-CU/01 and AADC-1601/1602 single-arm trials — the principal pre-approval RWE on durability and developmental outcomes </w:t>
            </w:r>
            <w:hyperlink w:history="1" r:id="rIdkseovxok41h8ljrxq6kir">
              <w:r>
                <w:rPr>
                  <w:rStyle w:val="Hyperlink"/>
                </w:rPr>
                <w:t xml:space="preserve">[67]</w:t>
              </w:r>
            </w:hyperlink>
            <w:r>
              <w:t xml:space="preserve">.</w:t>
            </w:r>
          </w:p>
        </w:tc>
      </w:tr>
      <w:tr>
        <w:tc>
          <w:tcPr>
            <w:tcW w:type="dxa" w:w="17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b/>
                <w:bCs/>
              </w:rPr>
              <w:t xml:space="preserve">GOMEKLI (mirdametinib)</w:t>
            </w:r>
          </w:p>
        </w:tc>
        <w:tc>
          <w:tcPr>
            <w:tcW w:type="dxa" w:w="11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2025-02-11</w:t>
            </w:r>
          </w:p>
        </w:tc>
        <w:tc>
          <w:tcPr>
            <w:tcW w:type="dxa" w:w="34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Volumetric growth-rate framework underpinning the ReNeu trial response criteria </w:t>
            </w:r>
            <w:hyperlink w:history="1" r:id="rIdhkte0aniecsxjcrtapsfh">
              <w:r>
                <w:rPr>
                  <w:rStyle w:val="Hyperlink"/>
                </w:rPr>
                <w:t xml:space="preserve">[24]</w:t>
              </w:r>
            </w:hyperlink>
            <w:r>
              <w:t xml:space="preserve">. Updated NCI longitudinal cohort (n=122) </w:t>
            </w:r>
            <w:hyperlink w:history="1" r:id="rIdbaupmslnggc8bgpynizqw">
              <w:r>
                <w:rPr>
                  <w:rStyle w:val="Hyperlink"/>
                </w:rPr>
                <w:t xml:space="preserve">[26]</w:t>
              </w:r>
            </w:hyperlink>
            <w:r>
              <w:t xml:space="preserve">. Linkage of volumetric change to morbidity used to support the volumetric-response endpoint </w:t>
            </w:r>
            <w:hyperlink w:history="1" r:id="rId4p4bczvrdmov-ucmzgzt2">
              <w:r>
                <w:rPr>
                  <w:rStyle w:val="Hyperlink"/>
                </w:rPr>
                <w:t xml:space="preserve">[25]</w:t>
              </w:r>
            </w:hyperlink>
            <w:r>
              <w:t xml:space="preserve">.</w:t>
            </w:r>
            <w:r>
              <w:rPr>
                <w:i/>
                <w:iCs/>
                <w:color w:val="39594D"/>
                <w:sz w:val="18"/>
                <w:szCs w:val="18"/>
              </w:rPr>
              <w:t xml:space="preserve"> (Level 3 — endpoint-aligned prospective NH cohort)</w:t>
            </w:r>
          </w:p>
        </w:tc>
        <w:tc>
          <w:tcPr>
            <w:tcW w:type="dxa" w:w="300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t xml:space="preserve">REiNS NRS-11 (pain intensity) and PROMIS Pain Interference instruments — adopted in ReNeu as PRO endpoints </w:t>
            </w:r>
            <w:hyperlink w:history="1" r:id="rIdcus8a869goimgzutqweyh">
              <w:r>
                <w:rPr>
                  <w:rStyle w:val="Hyperlink"/>
                </w:rPr>
                <w:t xml:space="preserve">[27]</w:t>
              </w:r>
            </w:hyperlink>
            <w:r>
              <w:t xml:space="preserve">.</w:t>
            </w:r>
          </w:p>
        </w:tc>
        <w:tc>
          <w:tcPr>
            <w:tcW w:type="dxa" w:w="3760"/>
            <w:tcBorders>
              <w:top w:val="single" w:color="E8DFD3" w:sz="4"/>
              <w:left w:val="single" w:color="E8DFD3" w:sz="4"/>
              <w:bottom w:val="single" w:color="E8DFD3" w:sz="4"/>
              <w:right w:val="single" w:color="E8DFD3" w:sz="4"/>
            </w:tcBorders>
            <w:tcMar>
              <w:top w:type="dxa" w:w="100"/>
              <w:left w:type="dxa" w:w="140"/>
              <w:bottom w:type="dxa" w:w="100"/>
              <w:right w:type="dxa" w:w="140"/>
            </w:tcMar>
          </w:tcPr>
          <w:p>
            <w:pPr>
              <w:spacing w:after="60"/>
            </w:pPr>
            <w:r>
              <w:rPr>
                <w:i/>
                <w:iCs/>
                <w:color w:val="6B6B6B"/>
              </w:rPr>
              <w:t xml:space="preserve">The NCI NF1 Natural History Study (NCT00924196) and the broader CTF Natural History Study cohort were the canonical historical-control datasets and were referenced in the FDA submission, building on the same evidence base used for selumetinib (KOSELUGO).</w:t>
            </w:r>
          </w:p>
        </w:tc>
      </w:tr>
    </w:tbl>
    <w:p>
      <w:pPr>
        <w:pStyle w:val="Heading2"/>
      </w:pPr>
      <w:r>
        <w:t xml:space="preserve">Limitations</w:t>
      </w:r>
    </w:p>
    <w:p>
      <w:pPr>
        <w:spacing w:after="160"/>
      </w:pPr>
      <w:r>
        <w:t xml:space="preserve">Three structural limitations apply. First, the FDA review documents (Summary Basis for Regulatory Action, multidiscipline review, statistical review) frequently cite </w:t>
      </w:r>
      <w:r>
        <w:rPr>
          <w:b/>
          <w:bCs/>
        </w:rPr>
        <w:t xml:space="preserve">unpublished sponsor-held datasets</w:t>
      </w:r>
      <w:r>
        <w:t xml:space="preserve"> — registry extracts, expanded-access cohorts, and natural-history reviews of medical records — that are not available in PubMed and therefore cannot be assessed within the inclusion criteria of this document. The most consequential examples are the DEM-CHILD CLN2 cohort (BRINEURA), the Schwarz/Atwal MoCD natural-history cohort across 15 countries (NULIBRY), and the bluebird-curated MLD external comparator (LENMELDY). Where the comparator structure was subsequently described in a peer-reviewed publication after approval, that publication has been noted in the relevant table cell.</w:t>
      </w:r>
    </w:p>
    <w:p>
      <w:pPr>
        <w:spacing w:after="160"/>
      </w:pPr>
      <w:r>
        <w:t xml:space="preserve">Second, </w:t>
      </w:r>
      <w:r>
        <w:rPr>
          <w:b/>
          <w:bCs/>
        </w:rPr>
        <w:t xml:space="preserve">publication lag</w:t>
      </w:r>
      <w:r>
        <w:t xml:space="preserve"> is non-trivial. Several pre-approval comparator analyses were drafted contemporaneously with the FDA submission but were published only after approval — for example, the propensity-score-matched comparison of SPRINT versus the NCI NF1 Natural History Study for selumetinib </w:t>
      </w:r>
      <w:hyperlink w:history="1" r:id="rIdpn0w73tyosabvfwyddehi">
        <w:r>
          <w:rPr>
            <w:rStyle w:val="Hyperlink"/>
          </w:rPr>
          <w:t xml:space="preserve">[28]</w:t>
        </w:r>
      </w:hyperlink>
      <w:r>
        <w:t xml:space="preserve">. Such analyses are excluded from the inventory but are noted as post-approval validations.</w:t>
      </w:r>
    </w:p>
    <w:p>
      <w:pPr>
        <w:spacing w:after="160"/>
      </w:pPr>
      <w:r>
        <w:t xml:space="preserve">Third, the inclusion criterion is </w:t>
      </w:r>
      <w:r>
        <w:rPr>
          <w:b/>
          <w:bCs/>
        </w:rPr>
        <w:t xml:space="preserve">relevance to the regulatory submission</w:t>
      </w:r>
      <w:r>
        <w:t xml:space="preserve">, not formal citation by the FDA review. For most products it is not possible to verify, from the public review documents, exactly which peer-reviewed studies were considered. The studies inventoried here were selected on the basis of disease-area and endpoint relevance and the timing of publication, not on documented citation in the FDA review.</w:t>
      </w:r>
    </w:p>
    <w:p>
      <w:pPr>
        <w:pStyle w:val="Heading2"/>
      </w:pPr>
      <w:r>
        <w:t xml:space="preserve">References</w:t>
      </w:r>
    </w:p>
    <w:p>
      <w:pPr>
        <w:spacing w:after="160"/>
      </w:pPr>
      <w:r>
        <w:rPr>
          <w:i/>
          <w:iCs/>
        </w:rPr>
        <w:t xml:space="preserve">References are listed in numerical order of first appearance in the document. Each numbered entry hyperlinks to the source DOI or canonical URL. PubMed identifiers are available via the linked DOI in all cases.</w:t>
      </w:r>
    </w:p>
    <w:p>
      <w:pPr>
        <w:spacing w:after="80"/>
      </w:pPr>
      <w:hyperlink w:history="1" r:id="rId1cbl3kv4quvhqhrdcfpqn">
        <w:r>
          <w:rPr>
            <w:rStyle w:val="Hyperlink"/>
            <w:b/>
            <w:bCs/>
          </w:rPr>
          <w:t xml:space="preserve">[1] </w:t>
        </w:r>
      </w:hyperlink>
      <w:r>
        <w:t xml:space="preserve">U.S. Food and Drug Administration. FDA’s Use of Real-World Evidence in Regulatory Decision-Making. </w:t>
      </w:r>
      <w:hyperlink w:history="1" r:id="rIdbddcret5yz-q9jn9kyczk">
        <w:r>
          <w:rPr>
            <w:rStyle w:val="Hyperlink"/>
            <w:sz w:val="18"/>
            <w:szCs w:val="18"/>
          </w:rPr>
          <w:t xml:space="preserve">https://www.fda.gov/science-research/real-world-evidence/fda-use-real-world-evidence-regulatory-decision-making</w:t>
        </w:r>
      </w:hyperlink>
    </w:p>
    <w:p>
      <w:pPr>
        <w:spacing w:after="80"/>
      </w:pPr>
      <w:hyperlink w:history="1" r:id="rIdanliwivvqvh7lcl5smtnu">
        <w:r>
          <w:rPr>
            <w:rStyle w:val="Hyperlink"/>
            <w:b/>
            <w:bCs/>
          </w:rPr>
          <w:t xml:space="preserve">[2] </w:t>
        </w:r>
      </w:hyperlink>
      <w:r>
        <w:t xml:space="preserve">U.S. Food and Drug Administration. Considerations for the Design and Conduct of Externally Controlled Trials for Drug and Biological Products. Draft Guidance for Industry, 2023. </w:t>
      </w:r>
      <w:hyperlink w:history="1" r:id="rIdbchbsajrsqxkwuysjuyod">
        <w:r>
          <w:rPr>
            <w:rStyle w:val="Hyperlink"/>
            <w:sz w:val="18"/>
            <w:szCs w:val="18"/>
          </w:rPr>
          <w:t xml:space="preserve">https://www.fda.gov/media/170827/download</w:t>
        </w:r>
      </w:hyperlink>
    </w:p>
    <w:p>
      <w:pPr>
        <w:spacing w:after="80"/>
      </w:pPr>
      <w:hyperlink w:history="1" r:id="rIdslmhuoybxzx2pfhkshizl">
        <w:r>
          <w:rPr>
            <w:rStyle w:val="Hyperlink"/>
            <w:b/>
            <w:bCs/>
          </w:rPr>
          <w:t xml:space="preserve">[3] </w:t>
        </w:r>
      </w:hyperlink>
      <w:r>
        <w:t xml:space="preserve">U.S. Food and Drug Administration. Accelerated Approval Program. </w:t>
      </w:r>
      <w:hyperlink w:history="1" r:id="rIdp_qjmpawtw43tx70aezwo">
        <w:r>
          <w:rPr>
            <w:rStyle w:val="Hyperlink"/>
            <w:sz w:val="18"/>
            <w:szCs w:val="18"/>
          </w:rPr>
          <w:t xml:space="preserve">https://www.fda.gov/drugs/nda-and-bla-approvals/accelerated-approval-program</w:t>
        </w:r>
      </w:hyperlink>
    </w:p>
    <w:p>
      <w:pPr>
        <w:spacing w:after="80"/>
      </w:pPr>
      <w:hyperlink w:history="1" r:id="rId_exwulv_rbekewnca3bbz">
        <w:r>
          <w:rPr>
            <w:rStyle w:val="Hyperlink"/>
            <w:b/>
            <w:bCs/>
          </w:rPr>
          <w:t xml:space="preserve">[4] </w:t>
        </w:r>
      </w:hyperlink>
      <w:r>
        <w:t xml:space="preserve">U.S. Food and Drug Administration. Ongoing Cancer Accelerated Approvals. </w:t>
      </w:r>
      <w:hyperlink w:history="1" r:id="rIdyhtkpl8tlgg6rojigob6d">
        <w:r>
          <w:rPr>
            <w:rStyle w:val="Hyperlink"/>
            <w:sz w:val="18"/>
            <w:szCs w:val="18"/>
          </w:rPr>
          <w:t xml:space="preserve">https://www.fda.gov/drugs/resources-information-approved-drugs/ongoing-cancer-accelerated-approvals</w:t>
        </w:r>
      </w:hyperlink>
    </w:p>
    <w:p>
      <w:pPr>
        <w:spacing w:after="80"/>
      </w:pPr>
      <w:hyperlink w:history="1" r:id="rIdm8g1k4r7ozy_6_i9tdjdh">
        <w:r>
          <w:rPr>
            <w:rStyle w:val="Hyperlink"/>
            <w:b/>
            <w:bCs/>
          </w:rPr>
          <w:t xml:space="preserve">[5] </w:t>
        </w:r>
      </w:hyperlink>
      <w:r>
        <w:t xml:space="preserve">Bello L, et al. DMD genotypes and loss of ambulation in the Cooperative International Neuromuscular Research Group Duchenne Natural History Study. Neurology. 2016;87(4):401–409. </w:t>
      </w:r>
      <w:hyperlink w:history="1" r:id="rIdsme5cilbogvygnmt2sehq">
        <w:r>
          <w:rPr>
            <w:rStyle w:val="Hyperlink"/>
            <w:sz w:val="18"/>
            <w:szCs w:val="18"/>
          </w:rPr>
          <w:t xml:space="preserve">https://doi.org/10.1212/WNL.0000000000002891</w:t>
        </w:r>
      </w:hyperlink>
    </w:p>
    <w:p>
      <w:pPr>
        <w:spacing w:after="80"/>
      </w:pPr>
      <w:hyperlink w:history="1" r:id="rId-htgzrx3wshu1ovnqkoxu">
        <w:r>
          <w:rPr>
            <w:rStyle w:val="Hyperlink"/>
            <w:b/>
            <w:bCs/>
          </w:rPr>
          <w:t xml:space="preserve">[6] </w:t>
        </w:r>
      </w:hyperlink>
      <w:r>
        <w:t xml:space="preserve">Bello L, et al. Genetic modifiers of ambulation in the Cooperative International Neuromuscular Research Group Duchenne Natural History Study. Ann Neurol. 2015;77(4):684–696. </w:t>
      </w:r>
      <w:hyperlink w:history="1" r:id="rId37c54ajihcqmiiqjvc-il">
        <w:r>
          <w:rPr>
            <w:rStyle w:val="Hyperlink"/>
            <w:sz w:val="18"/>
            <w:szCs w:val="18"/>
          </w:rPr>
          <w:t xml:space="preserve">https://doi.org/10.1002/ana.24370</w:t>
        </w:r>
      </w:hyperlink>
    </w:p>
    <w:p>
      <w:pPr>
        <w:spacing w:after="80"/>
      </w:pPr>
      <w:hyperlink w:history="1" r:id="rIdt3dk6y-ufxidn0otpvyk3">
        <w:r>
          <w:rPr>
            <w:rStyle w:val="Hyperlink"/>
            <w:b/>
            <w:bCs/>
          </w:rPr>
          <w:t xml:space="preserve">[7] </w:t>
        </w:r>
      </w:hyperlink>
      <w:r>
        <w:t xml:space="preserve">Landfeldt E, et al. Development and psychometric analysis of the Duchenne Muscular Dystrophy Functional Ability Self-Assessment Tool (DMDSAT). Neuromuscul Disord. 2015;25(12):937–944. </w:t>
      </w:r>
      <w:hyperlink w:history="1" r:id="rIdw182v7vbpnoey67ucdwhb">
        <w:r>
          <w:rPr>
            <w:rStyle w:val="Hyperlink"/>
            <w:sz w:val="18"/>
            <w:szCs w:val="18"/>
          </w:rPr>
          <w:t xml:space="preserve">https://doi.org/10.1016/j.nmd.2015.09.012</w:t>
        </w:r>
      </w:hyperlink>
    </w:p>
    <w:p>
      <w:pPr>
        <w:spacing w:after="80"/>
      </w:pPr>
      <w:hyperlink w:history="1" r:id="rIdwjigbflma0g7x1suf6hjn">
        <w:r>
          <w:rPr>
            <w:rStyle w:val="Hyperlink"/>
            <w:b/>
            <w:bCs/>
          </w:rPr>
          <w:t xml:space="preserve">[8] </w:t>
        </w:r>
      </w:hyperlink>
      <w:r>
        <w:t xml:space="preserve">Messina S, et al. Health-related quality of life and functional changes in Duchenne muscular dystrophy: a 12-month longitudinal cohort study. Neuromuscul Disord. 2016;26(3):189–196. </w:t>
      </w:r>
      <w:hyperlink w:history="1" r:id="rIdnor0lbfgbee7_cdhe8oh5">
        <w:r>
          <w:rPr>
            <w:rStyle w:val="Hyperlink"/>
            <w:sz w:val="18"/>
            <w:szCs w:val="18"/>
          </w:rPr>
          <w:t xml:space="preserve">https://doi.org/10.1016/j.nmd.2016.01.003</w:t>
        </w:r>
      </w:hyperlink>
    </w:p>
    <w:p>
      <w:pPr>
        <w:spacing w:after="80"/>
      </w:pPr>
      <w:hyperlink w:history="1" r:id="rIdzysxwo2mqfrv_0geroybe">
        <w:r>
          <w:rPr>
            <w:rStyle w:val="Hyperlink"/>
            <w:b/>
            <w:bCs/>
          </w:rPr>
          <w:t xml:space="preserve">[9] </w:t>
        </w:r>
      </w:hyperlink>
      <w:r>
        <w:t xml:space="preserve">Nickel M, et al. Disease characteristics and progression in patients with late-infantile neuronal ceroid lipofuscinosis type 2 (CLN2) disease: an observational cohort study. Lancet Child Adolesc Health. 2018;2(8):582–590. </w:t>
      </w:r>
      <w:hyperlink w:history="1" r:id="rIdceonbvdviqqeqq0a0rytx">
        <w:r>
          <w:rPr>
            <w:rStyle w:val="Hyperlink"/>
            <w:sz w:val="18"/>
            <w:szCs w:val="18"/>
          </w:rPr>
          <w:t xml:space="preserve">https://doi.org/10.1016/S2352-4642(18)30179-2</w:t>
        </w:r>
      </w:hyperlink>
    </w:p>
    <w:p>
      <w:pPr>
        <w:spacing w:after="80"/>
      </w:pPr>
      <w:hyperlink w:history="1" r:id="rId7hi8kunmdpwzethv3andg">
        <w:r>
          <w:rPr>
            <w:rStyle w:val="Hyperlink"/>
            <w:b/>
            <w:bCs/>
          </w:rPr>
          <w:t xml:space="preserve">[10] </w:t>
        </w:r>
      </w:hyperlink>
      <w:r>
        <w:t xml:space="preserve">Steinfeld R, et al. Late infantile neuronal ceroid lipofuscinosis: quantitative description of the clinical course in patients with CLN2 mutations. Am J Med Genet. 2002;112(4):347–354. </w:t>
      </w:r>
      <w:hyperlink w:history="1" r:id="rIdjfpzkandyci8k8zfvp5je">
        <w:r>
          <w:rPr>
            <w:rStyle w:val="Hyperlink"/>
            <w:sz w:val="18"/>
            <w:szCs w:val="18"/>
          </w:rPr>
          <w:t xml:space="preserve">https://doi.org/10.1002/ajmg.10660</w:t>
        </w:r>
      </w:hyperlink>
    </w:p>
    <w:p>
      <w:pPr>
        <w:spacing w:after="80"/>
      </w:pPr>
      <w:hyperlink w:history="1" r:id="rIdye1_lsy2us6lynw023xej">
        <w:r>
          <w:rPr>
            <w:rStyle w:val="Hyperlink"/>
            <w:b/>
            <w:bCs/>
          </w:rPr>
          <w:t xml:space="preserve">[11] </w:t>
        </w:r>
      </w:hyperlink>
      <w:r>
        <w:t xml:space="preserve">Schulz A, et al. Study of intraventricular cerliponase alfa for CLN2 disease. N Engl J Med. 2018;378(20):1898–1907. (The natural-history-controlled pivotal analysis published shortly after approval; describes the historical comparator structure.) </w:t>
      </w:r>
      <w:hyperlink w:history="1" r:id="rId17n1k-nuhzo0ylsrwdcqv">
        <w:r>
          <w:rPr>
            <w:rStyle w:val="Hyperlink"/>
            <w:sz w:val="18"/>
            <w:szCs w:val="18"/>
          </w:rPr>
          <w:t xml:space="preserve">https://doi.org/10.1056/NEJMoa1712649</w:t>
        </w:r>
      </w:hyperlink>
    </w:p>
    <w:p>
      <w:pPr>
        <w:spacing w:after="80"/>
      </w:pPr>
      <w:hyperlink w:history="1" r:id="rId4gs-leuqeo_gyyzqa0ak0">
        <w:r>
          <w:rPr>
            <w:rStyle w:val="Hyperlink"/>
            <w:b/>
            <w:bCs/>
          </w:rPr>
          <w:t xml:space="preserve">[12] </w:t>
        </w:r>
      </w:hyperlink>
      <w:r>
        <w:t xml:space="preserve">Iyer JG, et al. Response rates and durability of chemotherapy among 62 patients with metastatic Merkel cell carcinoma. Cancer Med. 2016;5(9):2294–2301. </w:t>
      </w:r>
      <w:hyperlink w:history="1" r:id="rIdap97uci3yw1cvsmty-5iw">
        <w:r>
          <w:rPr>
            <w:rStyle w:val="Hyperlink"/>
            <w:sz w:val="18"/>
            <w:szCs w:val="18"/>
          </w:rPr>
          <w:t xml:space="preserve">https://doi.org/10.1002/cam4.815</w:t>
        </w:r>
      </w:hyperlink>
    </w:p>
    <w:p>
      <w:pPr>
        <w:spacing w:after="80"/>
      </w:pPr>
      <w:hyperlink w:history="1" r:id="rIdmvyvswljocsgozkiwqd9y">
        <w:r>
          <w:rPr>
            <w:rStyle w:val="Hyperlink"/>
            <w:b/>
            <w:bCs/>
          </w:rPr>
          <w:t xml:space="preserve">[13] </w:t>
        </w:r>
      </w:hyperlink>
      <w:r>
        <w:t xml:space="preserve">Tarantola TI, et al. Prognostic factors in Merkel cell carcinoma: analysis of 240 cases. J Am Acad Dermatol. 2013;68(3):425–432. </w:t>
      </w:r>
      <w:hyperlink w:history="1" r:id="rIdlsqhwps3pq_sug9opv3xm">
        <w:r>
          <w:rPr>
            <w:rStyle w:val="Hyperlink"/>
            <w:sz w:val="18"/>
            <w:szCs w:val="18"/>
          </w:rPr>
          <w:t xml:space="preserve">https://doi.org/10.1016/j.jaad.2012.09.036</w:t>
        </w:r>
      </w:hyperlink>
    </w:p>
    <w:p>
      <w:pPr>
        <w:spacing w:after="80"/>
      </w:pPr>
      <w:hyperlink w:history="1" r:id="rIdipoj4afxlg5j5flytw73y">
        <w:r>
          <w:rPr>
            <w:rStyle w:val="Hyperlink"/>
            <w:b/>
            <w:bCs/>
          </w:rPr>
          <w:t xml:space="preserve">[14] </w:t>
        </w:r>
      </w:hyperlink>
      <w:r>
        <w:t xml:space="preserve">von Stackelberg A, et al. Phase I/Phase II study of blinatumomab in pediatric patients with relapsed/refractory acute lymphoblastic leukemia. J Clin Oncol. 2016;34(36):4381–4389. </w:t>
      </w:r>
      <w:hyperlink w:history="1" r:id="rIdei39bgpndc20nzyhnxwtk">
        <w:r>
          <w:rPr>
            <w:rStyle w:val="Hyperlink"/>
            <w:sz w:val="18"/>
            <w:szCs w:val="18"/>
          </w:rPr>
          <w:t xml:space="preserve">https://doi.org/10.1200/JCO.2016.67.3301</w:t>
        </w:r>
      </w:hyperlink>
    </w:p>
    <w:p>
      <w:pPr>
        <w:spacing w:after="80"/>
      </w:pPr>
      <w:hyperlink w:history="1" r:id="rIdd2w3kkskbph9k5ybch_xi">
        <w:r>
          <w:rPr>
            <w:rStyle w:val="Hyperlink"/>
            <w:b/>
            <w:bCs/>
          </w:rPr>
          <w:t xml:space="preserve">[15] </w:t>
        </w:r>
      </w:hyperlink>
      <w:r>
        <w:t xml:space="preserve">Bhojwani D, Pui CH. Relapsed childhood acute lymphoblastic leukaemia. Lancet Oncol. 2013;14(6):e205–e217. </w:t>
      </w:r>
      <w:hyperlink w:history="1" r:id="rIdanm944sm9cago_-hyedm0">
        <w:r>
          <w:rPr>
            <w:rStyle w:val="Hyperlink"/>
            <w:sz w:val="18"/>
            <w:szCs w:val="18"/>
          </w:rPr>
          <w:t xml:space="preserve">https://doi.org/10.1016/S1470-2045(12)70580-6</w:t>
        </w:r>
      </w:hyperlink>
    </w:p>
    <w:p>
      <w:pPr>
        <w:spacing w:after="80"/>
      </w:pPr>
      <w:hyperlink w:history="1" r:id="rIdilgufsec6qznngfdcqiqt">
        <w:r>
          <w:rPr>
            <w:rStyle w:val="Hyperlink"/>
            <w:b/>
            <w:bCs/>
          </w:rPr>
          <w:t xml:space="preserve">[16] </w:t>
        </w:r>
      </w:hyperlink>
      <w:r>
        <w:t xml:space="preserve">Crump M, et al. Outcomes in refractory diffuse large B-cell lymphoma: results from the international SCHOLAR-1 study. Blood. 2017;130(16):1800–1808. </w:t>
      </w:r>
      <w:hyperlink w:history="1" r:id="rIdnsiis5uu2lttzyoqu2jey">
        <w:r>
          <w:rPr>
            <w:rStyle w:val="Hyperlink"/>
            <w:sz w:val="18"/>
            <w:szCs w:val="18"/>
          </w:rPr>
          <w:t xml:space="preserve">https://doi.org/10.1182/blood-2017-03-769620</w:t>
        </w:r>
      </w:hyperlink>
    </w:p>
    <w:p>
      <w:pPr>
        <w:spacing w:after="80"/>
      </w:pPr>
      <w:hyperlink w:history="1" r:id="rIdmepcze8fsgiupkpdsggvs">
        <w:r>
          <w:rPr>
            <w:rStyle w:val="Hyperlink"/>
            <w:b/>
            <w:bCs/>
          </w:rPr>
          <w:t xml:space="preserve">[17] </w:t>
        </w:r>
      </w:hyperlink>
      <w:r>
        <w:t xml:space="preserve">Bellmunt J, et al. Pembrolizumab as second-line therapy for advanced urothelial carcinoma (KEYNOTE-045). N Engl J Med. 2017;376(11):1015–1026. </w:t>
      </w:r>
      <w:hyperlink w:history="1" r:id="rIdku9jrqte-6m2ote7graie">
        <w:r>
          <w:rPr>
            <w:rStyle w:val="Hyperlink"/>
            <w:sz w:val="18"/>
            <w:szCs w:val="18"/>
          </w:rPr>
          <w:t xml:space="preserve">https://doi.org/10.1056/NEJMoa1613683</w:t>
        </w:r>
      </w:hyperlink>
    </w:p>
    <w:p>
      <w:pPr>
        <w:spacing w:after="80"/>
      </w:pPr>
      <w:hyperlink w:history="1" r:id="rIdweqynok6vee-kjicqyl9t">
        <w:r>
          <w:rPr>
            <w:rStyle w:val="Hyperlink"/>
            <w:b/>
            <w:bCs/>
          </w:rPr>
          <w:t xml:space="preserve">[18] </w:t>
        </w:r>
      </w:hyperlink>
      <w:r>
        <w:t xml:space="preserve">Helsten T, et al. The FGFR landscape in cancer: analysis of 4,853 tumors by next-generation sequencing. Clin Cancer Res. 2016;22(1):259–267. </w:t>
      </w:r>
      <w:hyperlink w:history="1" r:id="rIdizfj1zuryv6qwbortox1r">
        <w:r>
          <w:rPr>
            <w:rStyle w:val="Hyperlink"/>
            <w:sz w:val="18"/>
            <w:szCs w:val="18"/>
          </w:rPr>
          <w:t xml:space="preserve">https://doi.org/10.1158/1078-0432.CCR-14-3212</w:t>
        </w:r>
      </w:hyperlink>
    </w:p>
    <w:p>
      <w:pPr>
        <w:spacing w:after="80"/>
      </w:pPr>
      <w:hyperlink w:history="1" r:id="rId0_sezraumvyqjna7dwk-v">
        <w:r>
          <w:rPr>
            <w:rStyle w:val="Hyperlink"/>
            <w:b/>
            <w:bCs/>
          </w:rPr>
          <w:t xml:space="preserve">[19] </w:t>
        </w:r>
      </w:hyperlink>
      <w:r>
        <w:t xml:space="preserve">Finkel RS, et al. Observational study of spinal muscular atrophy type I and implications for clinical trials. Neurology. 2014;83(9):810–817. </w:t>
      </w:r>
      <w:hyperlink w:history="1" r:id="rIdpk0rnh09xcbqjol_dnikk">
        <w:r>
          <w:rPr>
            <w:rStyle w:val="Hyperlink"/>
            <w:sz w:val="18"/>
            <w:szCs w:val="18"/>
          </w:rPr>
          <w:t xml:space="preserve">https://doi.org/10.1212/WNL.0000000000000741</w:t>
        </w:r>
      </w:hyperlink>
    </w:p>
    <w:p>
      <w:pPr>
        <w:spacing w:after="80"/>
      </w:pPr>
      <w:hyperlink w:history="1" r:id="rIdtc3lq-hgqnr3_2fhqawut">
        <w:r>
          <w:rPr>
            <w:rStyle w:val="Hyperlink"/>
            <w:b/>
            <w:bCs/>
          </w:rPr>
          <w:t xml:space="preserve">[20] </w:t>
        </w:r>
      </w:hyperlink>
      <w:r>
        <w:t xml:space="preserve">Kolb SJ, et al. Natural history of infantile-onset spinal muscular atrophy. Ann Neurol. 2017;82(6):883–891. </w:t>
      </w:r>
      <w:hyperlink w:history="1" r:id="rId5ykhtrdtutsms09pzv5ka">
        <w:r>
          <w:rPr>
            <w:rStyle w:val="Hyperlink"/>
            <w:sz w:val="18"/>
            <w:szCs w:val="18"/>
          </w:rPr>
          <w:t xml:space="preserve">https://doi.org/10.1002/ana.25101</w:t>
        </w:r>
      </w:hyperlink>
    </w:p>
    <w:p>
      <w:pPr>
        <w:spacing w:after="80"/>
      </w:pPr>
      <w:hyperlink w:history="1" r:id="rIdkpaciscxvsw8rhdpsyrvq">
        <w:r>
          <w:rPr>
            <w:rStyle w:val="Hyperlink"/>
            <w:b/>
            <w:bCs/>
          </w:rPr>
          <w:t xml:space="preserve">[21] </w:t>
        </w:r>
      </w:hyperlink>
      <w:r>
        <w:t xml:space="preserve">De Sanctis R, et al. Developmental milestones in type I spinal muscular atrophy. Neuromuscul Disord. 2016;26(11):754–759. </w:t>
      </w:r>
      <w:hyperlink w:history="1" r:id="rIdl8bije7lygaf1eylyfhbv">
        <w:r>
          <w:rPr>
            <w:rStyle w:val="Hyperlink"/>
            <w:sz w:val="18"/>
            <w:szCs w:val="18"/>
          </w:rPr>
          <w:t xml:space="preserve">https://doi.org/10.1016/j.nmd.2016.10.002</w:t>
        </w:r>
      </w:hyperlink>
    </w:p>
    <w:p>
      <w:pPr>
        <w:spacing w:after="80"/>
      </w:pPr>
      <w:hyperlink w:history="1" r:id="rId_twzhhucm3pktpyw8wgk7">
        <w:r>
          <w:rPr>
            <w:rStyle w:val="Hyperlink"/>
            <w:b/>
            <w:bCs/>
          </w:rPr>
          <w:t xml:space="preserve">[22] </w:t>
        </w:r>
      </w:hyperlink>
      <w:r>
        <w:t xml:space="preserve">Cassier PA, et al. Outcome of patients with platelet-derived growth factor receptor alpha-mutated gastrointestinal stromal tumors in the tyrosine kinase inhibitor era. Clin Cancer Res. 2012;18(16):4458–4464. </w:t>
      </w:r>
      <w:hyperlink w:history="1" r:id="rIdm39r0jsjejcz69l3ovnfl">
        <w:r>
          <w:rPr>
            <w:rStyle w:val="Hyperlink"/>
            <w:sz w:val="18"/>
            <w:szCs w:val="18"/>
          </w:rPr>
          <w:t xml:space="preserve">https://doi.org/10.1158/1078-0432.CCR-11-3025</w:t>
        </w:r>
      </w:hyperlink>
    </w:p>
    <w:p>
      <w:pPr>
        <w:spacing w:after="80"/>
      </w:pPr>
      <w:hyperlink w:history="1" r:id="rIdsbujizs8kxj1pw-tpqqao">
        <w:r>
          <w:rPr>
            <w:rStyle w:val="Hyperlink"/>
            <w:b/>
            <w:bCs/>
          </w:rPr>
          <w:t xml:space="preserve">[23] </w:t>
        </w:r>
      </w:hyperlink>
      <w:r>
        <w:t xml:space="preserve">Farag S, et al. Clinical characteristics and treatment outcome in a multicentre observational cohort of PDGFRA exon 18 mutated gastrointestinal stromal tumour patients. Eur J Cancer. 2017;76:76–83. </w:t>
      </w:r>
      <w:hyperlink w:history="1" r:id="rId_iispwaa2bvlhjp51k8t_">
        <w:r>
          <w:rPr>
            <w:rStyle w:val="Hyperlink"/>
            <w:sz w:val="18"/>
            <w:szCs w:val="18"/>
          </w:rPr>
          <w:t xml:space="preserve">https://doi.org/10.1016/j.ejca.2017.02.007</w:t>
        </w:r>
      </w:hyperlink>
    </w:p>
    <w:p>
      <w:pPr>
        <w:spacing w:after="80"/>
      </w:pPr>
      <w:hyperlink w:history="1" r:id="rIdc1vxe1yuiufyxgt4z2zps">
        <w:r>
          <w:rPr>
            <w:rStyle w:val="Hyperlink"/>
            <w:b/>
            <w:bCs/>
          </w:rPr>
          <w:t xml:space="preserve">[24] </w:t>
        </w:r>
      </w:hyperlink>
      <w:r>
        <w:t xml:space="preserve">Dombi E, et al. NF1 plexiform neurofibroma growth rate by volumetric MRI: relationship to age and body weight. Neurology. 2007;68(9):643–647. </w:t>
      </w:r>
      <w:hyperlink w:history="1" r:id="rIdk2rlbczcdd0zppxremj-q">
        <w:r>
          <w:rPr>
            <w:rStyle w:val="Hyperlink"/>
            <w:sz w:val="18"/>
            <w:szCs w:val="18"/>
          </w:rPr>
          <w:t xml:space="preserve">https://doi.org/10.1212/01.wnl.0000250332.89420.e6</w:t>
        </w:r>
      </w:hyperlink>
    </w:p>
    <w:p>
      <w:pPr>
        <w:spacing w:after="80"/>
      </w:pPr>
      <w:hyperlink w:history="1" r:id="rIdzmhy2qshusyrxbfotqtsk">
        <w:r>
          <w:rPr>
            <w:rStyle w:val="Hyperlink"/>
            <w:b/>
            <w:bCs/>
          </w:rPr>
          <w:t xml:space="preserve">[25] </w:t>
        </w:r>
      </w:hyperlink>
      <w:r>
        <w:t xml:space="preserve">Gross AM, et al. Association of plexiform neurofibroma volume changes and development of clinical morbidities in neurofibromatosis 1. Neuro Oncol. 2018;20(12):1643–1651. </w:t>
      </w:r>
      <w:hyperlink w:history="1" r:id="rIddxd-elknlazpz_9fx_oxw">
        <w:r>
          <w:rPr>
            <w:rStyle w:val="Hyperlink"/>
            <w:sz w:val="18"/>
            <w:szCs w:val="18"/>
          </w:rPr>
          <w:t xml:space="preserve">https://doi.org/10.1093/neuonc/noy067</w:t>
        </w:r>
      </w:hyperlink>
    </w:p>
    <w:p>
      <w:pPr>
        <w:spacing w:after="80"/>
      </w:pPr>
      <w:hyperlink w:history="1" r:id="rId9lf4grc2k2al68o45ralm">
        <w:r>
          <w:rPr>
            <w:rStyle w:val="Hyperlink"/>
            <w:b/>
            <w:bCs/>
          </w:rPr>
          <w:t xml:space="preserve">[26] </w:t>
        </w:r>
      </w:hyperlink>
      <w:r>
        <w:t xml:space="preserve">Akshintala S, et al. Longitudinal evaluation of peripheral nerve sheath tumors in neurofibromatosis type 1: growth analysis of plexiform neurofibromas and distinct nodular lesions. Neuro Oncol. 2020;22(9):1368–1378. </w:t>
      </w:r>
      <w:hyperlink w:history="1" r:id="rIdmma8z4ro7j84scxsx8tlv">
        <w:r>
          <w:rPr>
            <w:rStyle w:val="Hyperlink"/>
            <w:sz w:val="18"/>
            <w:szCs w:val="18"/>
          </w:rPr>
          <w:t xml:space="preserve">https://doi.org/10.1093/neuonc/noaa053</w:t>
        </w:r>
      </w:hyperlink>
    </w:p>
    <w:p>
      <w:pPr>
        <w:spacing w:after="80"/>
      </w:pPr>
      <w:hyperlink w:history="1" r:id="rIdtgvixjc5wo_vdbm9xl-p6">
        <w:r>
          <w:rPr>
            <w:rStyle w:val="Hyperlink"/>
            <w:b/>
            <w:bCs/>
          </w:rPr>
          <w:t xml:space="preserve">[27] </w:t>
        </w:r>
      </w:hyperlink>
      <w:r>
        <w:t xml:space="preserve">Wolters PL, et al. Patient-reported outcomes of pain and physical functioning in neurofibromatosis clinical trials. Neurology. 2013;81(21 Suppl 1):S6–S14. </w:t>
      </w:r>
      <w:hyperlink w:history="1" r:id="rIdhlxsakltkttetleyynugy">
        <w:r>
          <w:rPr>
            <w:rStyle w:val="Hyperlink"/>
            <w:sz w:val="18"/>
            <w:szCs w:val="18"/>
          </w:rPr>
          <w:t xml:space="preserve">https://doi.org/10.1212/01.wnl.0000435744.57038.af</w:t>
        </w:r>
      </w:hyperlink>
    </w:p>
    <w:p>
      <w:pPr>
        <w:spacing w:after="80"/>
      </w:pPr>
      <w:hyperlink w:history="1" r:id="rIdqipqtfm0--diayokzm8mj">
        <w:r>
          <w:rPr>
            <w:rStyle w:val="Hyperlink"/>
            <w:b/>
            <w:bCs/>
          </w:rPr>
          <w:t xml:space="preserve">[28] </w:t>
        </w:r>
      </w:hyperlink>
      <w:r>
        <w:t xml:space="preserve">Adeyemi O, et al. Selumetinib in pediatric patients with neurofibromatosis type 1 and plexiform neurofibroma: propensity score analysis of SPRINT vs. natural history control arm. Neuro-Oncol Adv. 2025. (Post-approval validation of NCI Natural History comparator.) </w:t>
      </w:r>
      <w:hyperlink w:history="1" r:id="rIdbcixzfwu25hae9uhfqpqp">
        <w:r>
          <w:rPr>
            <w:rStyle w:val="Hyperlink"/>
            <w:sz w:val="18"/>
            <w:szCs w:val="18"/>
          </w:rPr>
          <w:t xml:space="preserve">https://doi.org/10.1093/noajnl/vdaf101</w:t>
        </w:r>
      </w:hyperlink>
    </w:p>
    <w:p>
      <w:pPr>
        <w:spacing w:after="80"/>
      </w:pPr>
      <w:hyperlink w:history="1" r:id="rIdtaw6go-1b32yocm8ziayq">
        <w:r>
          <w:rPr>
            <w:rStyle w:val="Hyperlink"/>
            <w:b/>
            <w:bCs/>
          </w:rPr>
          <w:t xml:space="preserve">[29] </w:t>
        </w:r>
      </w:hyperlink>
      <w:r>
        <w:t xml:space="preserve">Lamarca A, et al. Second-line chemotherapy in advanced biliary cancer: a systematic review. Ann Oncol. 2014;25(12):2328–2338. </w:t>
      </w:r>
      <w:hyperlink w:history="1" r:id="rId4nrab7sxehyv_lz5ozt1p">
        <w:r>
          <w:rPr>
            <w:rStyle w:val="Hyperlink"/>
            <w:sz w:val="18"/>
            <w:szCs w:val="18"/>
          </w:rPr>
          <w:t xml:space="preserve">https://doi.org/10.1093/annonc/mdu162</w:t>
        </w:r>
      </w:hyperlink>
    </w:p>
    <w:p>
      <w:pPr>
        <w:spacing w:after="80"/>
      </w:pPr>
      <w:hyperlink w:history="1" r:id="rIdxiz__705cc6zuxy-lkpre">
        <w:r>
          <w:rPr>
            <w:rStyle w:val="Hyperlink"/>
            <w:b/>
            <w:bCs/>
          </w:rPr>
          <w:t xml:space="preserve">[30] </w:t>
        </w:r>
      </w:hyperlink>
      <w:r>
        <w:t xml:space="preserve">Jain A, et al. Cholangiocarcinoma with FGFR genetic aberrations: a unique clinical phenotype. JCO Precis Oncol. 2018;2:1–12. </w:t>
      </w:r>
      <w:hyperlink w:history="1" r:id="rIdvq0evqmjmrilc6ihdx8dj">
        <w:r>
          <w:rPr>
            <w:rStyle w:val="Hyperlink"/>
            <w:sz w:val="18"/>
            <w:szCs w:val="18"/>
          </w:rPr>
          <w:t xml:space="preserve">https://doi.org/10.1200/PO.17.00080</w:t>
        </w:r>
      </w:hyperlink>
    </w:p>
    <w:p>
      <w:pPr>
        <w:spacing w:after="80"/>
      </w:pPr>
      <w:hyperlink w:history="1" r:id="rIdrdgsy8gosqc3yfibtdksy">
        <w:r>
          <w:rPr>
            <w:rStyle w:val="Hyperlink"/>
            <w:b/>
            <w:bCs/>
          </w:rPr>
          <w:t xml:space="preserve">[31] </w:t>
        </w:r>
      </w:hyperlink>
      <w:r>
        <w:t xml:space="preserve">Mechler K, et al. Survival, severity, and outcome of patients with molybdenum cofactor deficiency. Neurology. 2015;84(13):1331–1336. </w:t>
      </w:r>
      <w:hyperlink w:history="1" r:id="rId9rt52oweswhl4p7eg-c00">
        <w:r>
          <w:rPr>
            <w:rStyle w:val="Hyperlink"/>
            <w:sz w:val="18"/>
            <w:szCs w:val="18"/>
          </w:rPr>
          <w:t xml:space="preserve">https://doi.org/10.1212/WNL.0000000000001317</w:t>
        </w:r>
      </w:hyperlink>
    </w:p>
    <w:p>
      <w:pPr>
        <w:spacing w:after="80"/>
      </w:pPr>
      <w:hyperlink w:history="1" r:id="rIdzlga46lrlj_h_jmi9hl2u">
        <w:r>
          <w:rPr>
            <w:rStyle w:val="Hyperlink"/>
            <w:b/>
            <w:bCs/>
          </w:rPr>
          <w:t xml:space="preserve">[32] </w:t>
        </w:r>
      </w:hyperlink>
      <w:r>
        <w:t xml:space="preserve">Atwal PS, Scaglia F. Molybdenum cofactor deficiency. Mol Genet Metab. 2016;117(1):1–4. </w:t>
      </w:r>
      <w:hyperlink w:history="1" r:id="rIdpwrccflpuiuozehrkai1j">
        <w:r>
          <w:rPr>
            <w:rStyle w:val="Hyperlink"/>
            <w:sz w:val="18"/>
            <w:szCs w:val="18"/>
          </w:rPr>
          <w:t xml:space="preserve">https://doi.org/10.1016/j.ymgme.2015.11.010</w:t>
        </w:r>
      </w:hyperlink>
    </w:p>
    <w:p>
      <w:pPr>
        <w:spacing w:after="80"/>
      </w:pPr>
      <w:hyperlink w:history="1" r:id="rIdooyeaazu6qypgrjxe-iq7">
        <w:r>
          <w:rPr>
            <w:rStyle w:val="Hyperlink"/>
            <w:b/>
            <w:bCs/>
          </w:rPr>
          <w:t xml:space="preserve">[33] </w:t>
        </w:r>
      </w:hyperlink>
      <w:r>
        <w:t xml:space="preserve">Lonser RR, et al. von Hippel-Lindau disease. Lancet. 2003;361(9374):2059–2067. </w:t>
      </w:r>
      <w:hyperlink w:history="1" r:id="rIdbx3uw7v3ws_jsewqtbf9e">
        <w:r>
          <w:rPr>
            <w:rStyle w:val="Hyperlink"/>
            <w:sz w:val="18"/>
            <w:szCs w:val="18"/>
          </w:rPr>
          <w:t xml:space="preserve">https://doi.org/10.1016/S0140-6736(03)13643-4</w:t>
        </w:r>
      </w:hyperlink>
    </w:p>
    <w:p>
      <w:pPr>
        <w:spacing w:after="80"/>
      </w:pPr>
      <w:hyperlink w:history="1" r:id="rIdnx5py7cpk0gtvgrh7t9gz">
        <w:r>
          <w:rPr>
            <w:rStyle w:val="Hyperlink"/>
            <w:b/>
            <w:bCs/>
          </w:rPr>
          <w:t xml:space="preserve">[34] </w:t>
        </w:r>
      </w:hyperlink>
      <w:r>
        <w:t xml:space="preserve">Jonasch E, et al. Pazopanib in patients with von Hippel-Lindau disease: a single-arm, single-centre, phase 2 trial. Lancet Oncol. 2018;19(10):1351–1359. </w:t>
      </w:r>
      <w:hyperlink w:history="1" r:id="rId5501gfeg5nnn_b9jxtzwh">
        <w:r>
          <w:rPr>
            <w:rStyle w:val="Hyperlink"/>
            <w:sz w:val="18"/>
            <w:szCs w:val="18"/>
          </w:rPr>
          <w:t xml:space="preserve">https://doi.org/10.1016/S1470-2045(18)30487-X</w:t>
        </w:r>
      </w:hyperlink>
    </w:p>
    <w:p>
      <w:pPr>
        <w:spacing w:after="80"/>
      </w:pPr>
      <w:hyperlink w:history="1" r:id="rIdwh1jjk2ytdi3xahe2_1r9">
        <w:r>
          <w:rPr>
            <w:rStyle w:val="Hyperlink"/>
            <w:b/>
            <w:bCs/>
          </w:rPr>
          <w:t xml:space="preserve">[35] </w:t>
        </w:r>
      </w:hyperlink>
      <w:r>
        <w:t xml:space="preserve">Maher ER, et al. von Hippel-Lindau disease: a clinical and scientific review. Eur J Hum Genet. 2011;19(6):617–623. </w:t>
      </w:r>
      <w:hyperlink w:history="1" r:id="rId7pgvdq3ntkyl8udwzg6p5">
        <w:r>
          <w:rPr>
            <w:rStyle w:val="Hyperlink"/>
            <w:sz w:val="18"/>
            <w:szCs w:val="18"/>
          </w:rPr>
          <w:t xml:space="preserve">https://doi.org/10.1038/ejhg.2010.175</w:t>
        </w:r>
      </w:hyperlink>
    </w:p>
    <w:p>
      <w:pPr>
        <w:spacing w:after="80"/>
      </w:pPr>
      <w:hyperlink w:history="1" r:id="rIdhv_in83zbwzq8xr9v5xr-">
        <w:r>
          <w:rPr>
            <w:rStyle w:val="Hyperlink"/>
            <w:b/>
            <w:bCs/>
          </w:rPr>
          <w:t xml:space="preserve">[36] </w:t>
        </w:r>
      </w:hyperlink>
      <w:r>
        <w:t xml:space="preserve">Inamoto Y, et al. Failure-free survival after second-line systemic treatment of chronic graft-versus-host disease. Blood. 2013;122(12):2185–2192. </w:t>
      </w:r>
      <w:hyperlink w:history="1" r:id="rIdjsal2kyoegq6s772js4z9">
        <w:r>
          <w:rPr>
            <w:rStyle w:val="Hyperlink"/>
            <w:sz w:val="18"/>
            <w:szCs w:val="18"/>
          </w:rPr>
          <w:t xml:space="preserve">https://doi.org/10.1182/blood-2013-04-499616</w:t>
        </w:r>
      </w:hyperlink>
    </w:p>
    <w:p>
      <w:pPr>
        <w:spacing w:after="80"/>
      </w:pPr>
      <w:hyperlink w:history="1" r:id="rId_bf6eohg9puwtatsgeua0">
        <w:r>
          <w:rPr>
            <w:rStyle w:val="Hyperlink"/>
            <w:b/>
            <w:bCs/>
          </w:rPr>
          <w:t xml:space="preserve">[37] </w:t>
        </w:r>
      </w:hyperlink>
      <w:r>
        <w:t xml:space="preserve">Lee SJ, et al. Measuring therapeutic response in chronic graft-versus-host disease: NIH Consensus Development Project on Criteria for Clinical Trials in Chronic GVHD: IV. The 2014 Response Criteria Working Group Report. Biol Blood Marrow Transplant. 2015;21(6):984–999. </w:t>
      </w:r>
      <w:hyperlink w:history="1" r:id="rIdv4y-u1au6ekgxmi_yz0xl">
        <w:r>
          <w:rPr>
            <w:rStyle w:val="Hyperlink"/>
            <w:sz w:val="18"/>
            <w:szCs w:val="18"/>
          </w:rPr>
          <w:t xml:space="preserve">https://doi.org/10.1016/j.bbmt.2015.02.025</w:t>
        </w:r>
      </w:hyperlink>
    </w:p>
    <w:p>
      <w:pPr>
        <w:spacing w:after="80"/>
      </w:pPr>
      <w:hyperlink w:history="1" r:id="rIdofpripvfrfxpt94z0fdxy">
        <w:r>
          <w:rPr>
            <w:rStyle w:val="Hyperlink"/>
            <w:b/>
            <w:bCs/>
          </w:rPr>
          <w:t xml:space="preserve">[38] </w:t>
        </w:r>
      </w:hyperlink>
      <w:r>
        <w:t xml:space="preserve">Lee SJ, et al. Development and validation of a scale to measure symptoms of chronic graft-versus-host disease (Lee Symptom Scale). Bone Marrow Transplant. 2002;30(8):811–815. </w:t>
      </w:r>
      <w:hyperlink w:history="1" r:id="rIdpkecfojjik8rnn-dmn7o8">
        <w:r>
          <w:rPr>
            <w:rStyle w:val="Hyperlink"/>
            <w:sz w:val="18"/>
            <w:szCs w:val="18"/>
          </w:rPr>
          <w:t xml:space="preserve">https://doi.org/10.1038/sj.bmt.1703650</w:t>
        </w:r>
      </w:hyperlink>
    </w:p>
    <w:p>
      <w:pPr>
        <w:spacing w:after="80"/>
      </w:pPr>
      <w:hyperlink w:history="1" r:id="rIdv0ha4lk9osxz30jn7ugkt">
        <w:r>
          <w:rPr>
            <w:rStyle w:val="Hyperlink"/>
            <w:b/>
            <w:bCs/>
          </w:rPr>
          <w:t xml:space="preserve">[39] </w:t>
        </w:r>
      </w:hyperlink>
      <w:r>
        <w:t xml:space="preserve">Arai S, et al. Increasing incidence of chronic graft-versus-host disease in allogeneic transplantation: a report from the Center for International Blood and Marrow Transplant Research. Biol Blood Marrow Transplant. 2015;21(2):266–274. </w:t>
      </w:r>
      <w:hyperlink w:history="1" r:id="rIdhz40_8o1lhl4n7h17nwrh">
        <w:r>
          <w:rPr>
            <w:rStyle w:val="Hyperlink"/>
            <w:sz w:val="18"/>
            <w:szCs w:val="18"/>
          </w:rPr>
          <w:t xml:space="preserve">https://doi.org/10.1016/j.bbmt.2014.10.024</w:t>
        </w:r>
      </w:hyperlink>
    </w:p>
    <w:p>
      <w:pPr>
        <w:spacing w:after="80"/>
      </w:pPr>
      <w:hyperlink w:history="1" r:id="rIdqqxwme09nxzekjwvtjxfr">
        <w:r>
          <w:rPr>
            <w:rStyle w:val="Hyperlink"/>
            <w:b/>
            <w:bCs/>
          </w:rPr>
          <w:t xml:space="preserve">[40] </w:t>
        </w:r>
      </w:hyperlink>
      <w:r>
        <w:t xml:space="preserve">Keppler-Noreuil KM, et al. PIK3CA-related overgrowth spectrum (PROS): diagnostic and testing eligibility criteria, differential diagnosis, and evaluation. Am J Med Genet A. 2015;167A(2):287–295. </w:t>
      </w:r>
      <w:hyperlink w:history="1" r:id="rId0amo-bt-v8lr43pq2duz2">
        <w:r>
          <w:rPr>
            <w:rStyle w:val="Hyperlink"/>
            <w:sz w:val="18"/>
            <w:szCs w:val="18"/>
          </w:rPr>
          <w:t xml:space="preserve">https://doi.org/10.1002/ajmg.a.36836</w:t>
        </w:r>
      </w:hyperlink>
    </w:p>
    <w:p>
      <w:pPr>
        <w:spacing w:after="80"/>
      </w:pPr>
      <w:hyperlink w:history="1" r:id="rId5tg7dqbvg2idho-upy-1k">
        <w:r>
          <w:rPr>
            <w:rStyle w:val="Hyperlink"/>
            <w:b/>
            <w:bCs/>
          </w:rPr>
          <w:t xml:space="preserve">[41] </w:t>
        </w:r>
      </w:hyperlink>
      <w:r>
        <w:t xml:space="preserve">Venot Q, et al. Targeted therapy in patients with PIK3CA-related overgrowth syndrome. Nature. 2018;558(7711):540–546. </w:t>
      </w:r>
      <w:hyperlink w:history="1" r:id="rIdlnk0wpji6iv6d24ljutqx">
        <w:r>
          <w:rPr>
            <w:rStyle w:val="Hyperlink"/>
            <w:sz w:val="18"/>
            <w:szCs w:val="18"/>
          </w:rPr>
          <w:t xml:space="preserve">https://doi.org/10.1038/s41586-018-0217-9</w:t>
        </w:r>
      </w:hyperlink>
    </w:p>
    <w:p>
      <w:pPr>
        <w:spacing w:after="80"/>
      </w:pPr>
      <w:hyperlink w:history="1" r:id="rIdlvpeqlzakvfpgt3wsz4_i">
        <w:r>
          <w:rPr>
            <w:rStyle w:val="Hyperlink"/>
            <w:b/>
            <w:bCs/>
          </w:rPr>
          <w:t xml:space="preserve">[42] </w:t>
        </w:r>
      </w:hyperlink>
      <w:r>
        <w:t xml:space="preserve">Modell B, et al. Survival in beta-thalassaemia major in the UK: data from the UK Thalassaemia Register. Orphanet J Rare Dis. 2008;3:11. </w:t>
      </w:r>
      <w:hyperlink w:history="1" r:id="rIdqvxg1qj8btyvrddct6arc">
        <w:r>
          <w:rPr>
            <w:rStyle w:val="Hyperlink"/>
            <w:sz w:val="18"/>
            <w:szCs w:val="18"/>
          </w:rPr>
          <w:t xml:space="preserve">https://doi.org/10.1186/1750-1172-3-11</w:t>
        </w:r>
      </w:hyperlink>
    </w:p>
    <w:p>
      <w:pPr>
        <w:spacing w:after="80"/>
      </w:pPr>
      <w:hyperlink w:history="1" r:id="rId7c7dpmxheelon0btvkml5">
        <w:r>
          <w:rPr>
            <w:rStyle w:val="Hyperlink"/>
            <w:b/>
            <w:bCs/>
          </w:rPr>
          <w:t xml:space="preserve">[43] </w:t>
        </w:r>
      </w:hyperlink>
      <w:r>
        <w:t xml:space="preserve">Musallam KM, et al. Non-transfusion-dependent thalassemias. Haematologica. 2013;98(6):833–844. </w:t>
      </w:r>
      <w:hyperlink w:history="1" r:id="rIdy2slmtbgzwzmcowxz7h7x">
        <w:r>
          <w:rPr>
            <w:rStyle w:val="Hyperlink"/>
            <w:sz w:val="18"/>
            <w:szCs w:val="18"/>
          </w:rPr>
          <w:t xml:space="preserve">https://doi.org/10.3324/haematol.2012.066845</w:t>
        </w:r>
      </w:hyperlink>
    </w:p>
    <w:p>
      <w:pPr>
        <w:spacing w:after="80"/>
      </w:pPr>
      <w:hyperlink w:history="1" r:id="rId-h-wdk_7_h_ah3csdm0fa">
        <w:r>
          <w:rPr>
            <w:rStyle w:val="Hyperlink"/>
            <w:b/>
            <w:bCs/>
          </w:rPr>
          <w:t xml:space="preserve">[44] </w:t>
        </w:r>
      </w:hyperlink>
      <w:r>
        <w:t xml:space="preserve">Klaassen RJ, et al. Validation and reliability of a disease-specific quality of life measure (the TranQol) in adults and children with thalassaemia major. Br J Haematol. 2013;164(3):431–437. </w:t>
      </w:r>
      <w:hyperlink w:history="1" r:id="rIdxrmq1-pcrb0wfn1m9kgxg">
        <w:r>
          <w:rPr>
            <w:rStyle w:val="Hyperlink"/>
            <w:sz w:val="18"/>
            <w:szCs w:val="18"/>
          </w:rPr>
          <w:t xml:space="preserve">https://doi.org/10.1111/bjh.12631</w:t>
        </w:r>
      </w:hyperlink>
    </w:p>
    <w:p>
      <w:pPr>
        <w:spacing w:after="80"/>
      </w:pPr>
      <w:hyperlink w:history="1" r:id="rId-s-acqrafwual5fpaugle">
        <w:r>
          <w:rPr>
            <w:rStyle w:val="Hyperlink"/>
            <w:b/>
            <w:bCs/>
          </w:rPr>
          <w:t xml:space="preserve">[45] </w:t>
        </w:r>
      </w:hyperlink>
      <w:r>
        <w:t xml:space="preserve">Mahmood A, et al. Survival analysis of haematopoietic cell transplantation for childhood cerebral X-linked adrenoleukodystrophy: a comparison study. Lancet Neurol. 2007;6(8):687–692. </w:t>
      </w:r>
      <w:hyperlink w:history="1" r:id="rIdqdiqbcvghuarqsqu3ftdm">
        <w:r>
          <w:rPr>
            <w:rStyle w:val="Hyperlink"/>
            <w:sz w:val="18"/>
            <w:szCs w:val="18"/>
          </w:rPr>
          <w:t xml:space="preserve">https://doi.org/10.1016/S1474-4422(07)70177-1</w:t>
        </w:r>
      </w:hyperlink>
    </w:p>
    <w:p>
      <w:pPr>
        <w:spacing w:after="80"/>
      </w:pPr>
      <w:hyperlink w:history="1" r:id="rIds0h5nsx4g9fax3fd8fj_c">
        <w:r>
          <w:rPr>
            <w:rStyle w:val="Hyperlink"/>
            <w:b/>
            <w:bCs/>
          </w:rPr>
          <w:t xml:space="preserve">[46] </w:t>
        </w:r>
      </w:hyperlink>
      <w:r>
        <w:t xml:space="preserve">Raymond GV, et al. Survival and functional outcomes in boys with cerebral adrenoleukodystrophy with and without hematopoietic stem cell transplantation. Biol Blood Marrow Transplant. 2019;25(3):538–548. </w:t>
      </w:r>
      <w:hyperlink w:history="1" r:id="rIdje9bd_tw3ws1lyzdtagak">
        <w:r>
          <w:rPr>
            <w:rStyle w:val="Hyperlink"/>
            <w:sz w:val="18"/>
            <w:szCs w:val="18"/>
          </w:rPr>
          <w:t xml:space="preserve">https://doi.org/10.1016/j.bbmt.2018.09.036</w:t>
        </w:r>
      </w:hyperlink>
    </w:p>
    <w:p>
      <w:pPr>
        <w:spacing w:after="80"/>
      </w:pPr>
      <w:hyperlink w:history="1" r:id="rIdtzvvypbcu116lhgv6t2s0">
        <w:r>
          <w:rPr>
            <w:rStyle w:val="Hyperlink"/>
            <w:b/>
            <w:bCs/>
          </w:rPr>
          <w:t xml:space="preserve">[47] </w:t>
        </w:r>
      </w:hyperlink>
      <w:r>
        <w:t xml:space="preserve">Mallack EJ, et al. Clinical and radiographic course of arrested cerebral adrenoleukodystrophy. Neurology. 2020;94(24):e2499–e2507. </w:t>
      </w:r>
      <w:hyperlink w:history="1" r:id="rIdmweuepkrpczantrjyxqmu">
        <w:r>
          <w:rPr>
            <w:rStyle w:val="Hyperlink"/>
            <w:sz w:val="18"/>
            <w:szCs w:val="18"/>
          </w:rPr>
          <w:t xml:space="preserve">https://doi.org/10.1212/WNL.0000000000009626</w:t>
        </w:r>
      </w:hyperlink>
    </w:p>
    <w:p>
      <w:pPr>
        <w:spacing w:after="80"/>
      </w:pPr>
      <w:hyperlink w:history="1" r:id="rIdbvar7s-pk6qqlbbotdvgc">
        <w:r>
          <w:rPr>
            <w:rStyle w:val="Hyperlink"/>
            <w:b/>
            <w:bCs/>
          </w:rPr>
          <w:t xml:space="preserve">[48] </w:t>
        </w:r>
      </w:hyperlink>
      <w:r>
        <w:t xml:space="preserve">Iorio A, et al. Establishing the prevalence and prevalence at birth of hemophilia in males: a meta-analytic approach using national registries. Ann Intern Med. 2019;171(8):540–546. </w:t>
      </w:r>
      <w:hyperlink w:history="1" r:id="rIdj3459i8vvs-mfm1gco5gd">
        <w:r>
          <w:rPr>
            <w:rStyle w:val="Hyperlink"/>
            <w:sz w:val="18"/>
            <w:szCs w:val="18"/>
          </w:rPr>
          <w:t xml:space="preserve">https://doi.org/10.7326/M19-1208</w:t>
        </w:r>
      </w:hyperlink>
    </w:p>
    <w:p>
      <w:pPr>
        <w:spacing w:after="80"/>
      </w:pPr>
      <w:hyperlink w:history="1" r:id="rIdv1a7kc2f387jdkldpkhdt">
        <w:r>
          <w:rPr>
            <w:rStyle w:val="Hyperlink"/>
            <w:b/>
            <w:bCs/>
          </w:rPr>
          <w:t xml:space="preserve">[49] </w:t>
        </w:r>
      </w:hyperlink>
      <w:r>
        <w:t xml:space="preserve">O’Hara J, et al. The cost of severe haemophilia in Europe: the CHESS study. Orphanet J Rare Dis. 2017;12(1):106. </w:t>
      </w:r>
      <w:hyperlink w:history="1" r:id="rIdvtezul8kmaxdtzzanvg7b">
        <w:r>
          <w:rPr>
            <w:rStyle w:val="Hyperlink"/>
            <w:sz w:val="18"/>
            <w:szCs w:val="18"/>
          </w:rPr>
          <w:t xml:space="preserve">https://doi.org/10.1186/s13023-017-0660-y</w:t>
        </w:r>
      </w:hyperlink>
    </w:p>
    <w:p>
      <w:pPr>
        <w:spacing w:after="80"/>
      </w:pPr>
      <w:hyperlink w:history="1" r:id="rIdqdvczvzn61hpwgpcmp8ok">
        <w:r>
          <w:rPr>
            <w:rStyle w:val="Hyperlink"/>
            <w:b/>
            <w:bCs/>
          </w:rPr>
          <w:t xml:space="preserve">[50] </w:t>
        </w:r>
      </w:hyperlink>
      <w:r>
        <w:t xml:space="preserve">Rentz A, et al. Cross-cultural development and psychometric evaluation of a patient-reported health-related quality-of-life questionnaire for adults with haemophilia (Haemo-QoL-A). Haemophilia. 2008;14(5):1023–1034. </w:t>
      </w:r>
      <w:hyperlink w:history="1" r:id="rIdljcu0_jc2j8-alo3k6pik">
        <w:r>
          <w:rPr>
            <w:rStyle w:val="Hyperlink"/>
            <w:sz w:val="18"/>
            <w:szCs w:val="18"/>
          </w:rPr>
          <w:t xml:space="preserve">https://doi.org/10.1111/j.1365-2516.2008.01717.x</w:t>
        </w:r>
      </w:hyperlink>
    </w:p>
    <w:p>
      <w:pPr>
        <w:spacing w:after="80"/>
      </w:pPr>
      <w:hyperlink w:history="1" r:id="rIdhklt_oxyfqu81fb7saxtp">
        <w:r>
          <w:rPr>
            <w:rStyle w:val="Hyperlink"/>
            <w:b/>
            <w:bCs/>
          </w:rPr>
          <w:t xml:space="preserve">[51] </w:t>
        </w:r>
      </w:hyperlink>
      <w:r>
        <w:t xml:space="preserve">Kamat AM, et al. Definitions, end points, and clinical trial designs for non-muscle-invasive bladder cancer: International Bladder Cancer Group recommendations. J Clin Oncol. 2016;34(16):1935–1944. </w:t>
      </w:r>
      <w:hyperlink w:history="1" r:id="rIdl5qvyp7xpuu9mtcdig5qh">
        <w:r>
          <w:rPr>
            <w:rStyle w:val="Hyperlink"/>
            <w:sz w:val="18"/>
            <w:szCs w:val="18"/>
          </w:rPr>
          <w:t xml:space="preserve">https://doi.org/10.1200/JCO.2015.64.4070</w:t>
        </w:r>
      </w:hyperlink>
    </w:p>
    <w:p>
      <w:pPr>
        <w:spacing w:after="80"/>
      </w:pPr>
      <w:hyperlink w:history="1" r:id="rIdowjktyzgnjrvbbsblgdta">
        <w:r>
          <w:rPr>
            <w:rStyle w:val="Hyperlink"/>
            <w:b/>
            <w:bCs/>
          </w:rPr>
          <w:t xml:space="preserve">[52] </w:t>
        </w:r>
      </w:hyperlink>
      <w:r>
        <w:t xml:space="preserve">Lerner SP, et al. Clarification of bladder cancer disease states following treatment of patients with intravesical BCG. Bladder Cancer. 2015;1(1):29–30. </w:t>
      </w:r>
      <w:hyperlink w:history="1" r:id="rIdnr81ywxb9n-qgyvcsqkuw">
        <w:r>
          <w:rPr>
            <w:rStyle w:val="Hyperlink"/>
            <w:sz w:val="18"/>
            <w:szCs w:val="18"/>
          </w:rPr>
          <w:t xml:space="preserve">https://doi.org/10.3233/BLC-159002</w:t>
        </w:r>
      </w:hyperlink>
    </w:p>
    <w:p>
      <w:pPr>
        <w:spacing w:after="80"/>
      </w:pPr>
      <w:hyperlink w:history="1" r:id="rIdyrubfqahtptcvi_rx0a9n">
        <w:r>
          <w:rPr>
            <w:rStyle w:val="Hyperlink"/>
            <w:b/>
            <w:bCs/>
          </w:rPr>
          <w:t xml:space="preserve">[53] </w:t>
        </w:r>
      </w:hyperlink>
      <w:r>
        <w:t xml:space="preserve">Weinstock RS, et al. Severe hypoglycemia and diabetic ketoacidosis in adults with type 1 diabetes: T1D Exchange Clinic Registry. J Clin Endocrinol Metab. 2013;98(8):3411–3419. </w:t>
      </w:r>
      <w:hyperlink w:history="1" r:id="rIdcwob18khv0sfzzazq9vgh">
        <w:r>
          <w:rPr>
            <w:rStyle w:val="Hyperlink"/>
            <w:sz w:val="18"/>
            <w:szCs w:val="18"/>
          </w:rPr>
          <w:t xml:space="preserve">https://doi.org/10.1210/jc.2013-1589</w:t>
        </w:r>
      </w:hyperlink>
    </w:p>
    <w:p>
      <w:pPr>
        <w:spacing w:after="80"/>
      </w:pPr>
      <w:hyperlink w:history="1" r:id="rIdhim1ekpbqdblevlc9va3t">
        <w:r>
          <w:rPr>
            <w:rStyle w:val="Hyperlink"/>
            <w:b/>
            <w:bCs/>
          </w:rPr>
          <w:t xml:space="preserve">[54] </w:t>
        </w:r>
      </w:hyperlink>
      <w:r>
        <w:t xml:space="preserve">Cox DJ, et al. Fear of hypoglycemia: quantification, validation, and utilization. Diabetes Care. 1987;10(5):617–621. </w:t>
      </w:r>
      <w:hyperlink w:history="1" r:id="rIdzyapblrjamn3aueu6btvo">
        <w:r>
          <w:rPr>
            <w:rStyle w:val="Hyperlink"/>
            <w:sz w:val="18"/>
            <w:szCs w:val="18"/>
          </w:rPr>
          <w:t xml:space="preserve">https://doi.org/10.2337/diacare.10.5.617</w:t>
        </w:r>
      </w:hyperlink>
    </w:p>
    <w:p>
      <w:pPr>
        <w:spacing w:after="80"/>
      </w:pPr>
      <w:hyperlink w:history="1" r:id="rIde8iqr849ehxrzslrhsgd1">
        <w:r>
          <w:rPr>
            <w:rStyle w:val="Hyperlink"/>
            <w:b/>
            <w:bCs/>
          </w:rPr>
          <w:t xml:space="preserve">[55] </w:t>
        </w:r>
      </w:hyperlink>
      <w:r>
        <w:t xml:space="preserve">Clarke WL, et al. Reduced awareness of hypoglycemia in adults with IDDM (Clarke Score). Diabetes Care. 1995;18(4):517–522. </w:t>
      </w:r>
      <w:hyperlink w:history="1" r:id="rId_vkx2clgjul-ljdxgug5z">
        <w:r>
          <w:rPr>
            <w:rStyle w:val="Hyperlink"/>
            <w:sz w:val="18"/>
            <w:szCs w:val="18"/>
          </w:rPr>
          <w:t xml:space="preserve">https://doi.org/10.2337/diacare.18.4.517</w:t>
        </w:r>
      </w:hyperlink>
    </w:p>
    <w:p>
      <w:pPr>
        <w:spacing w:after="80"/>
      </w:pPr>
      <w:hyperlink w:history="1" r:id="rIdrlinsh7y55anj_hyeunrv">
        <w:r>
          <w:rPr>
            <w:rStyle w:val="Hyperlink"/>
            <w:b/>
            <w:bCs/>
          </w:rPr>
          <w:t xml:space="preserve">[56] </w:t>
        </w:r>
      </w:hyperlink>
      <w:r>
        <w:t xml:space="preserve">Hering BJ, et al. Phase 3 trial of transplantation of human islets in type 1 diabetes complicated by severe hypoglycemia (CIT-07). Diabetes Care. 2016;39(7):1230–1240. </w:t>
      </w:r>
      <w:hyperlink w:history="1" r:id="rIdezrkzd0-ocx3rc8tkjlnr">
        <w:r>
          <w:rPr>
            <w:rStyle w:val="Hyperlink"/>
            <w:sz w:val="18"/>
            <w:szCs w:val="18"/>
          </w:rPr>
          <w:t xml:space="preserve">https://doi.org/10.2337/dc15-1988</w:t>
        </w:r>
      </w:hyperlink>
    </w:p>
    <w:p>
      <w:pPr>
        <w:spacing w:after="80"/>
      </w:pPr>
      <w:hyperlink w:history="1" r:id="rId8ncw5kb_mbhvcipvjgnns">
        <w:r>
          <w:rPr>
            <w:rStyle w:val="Hyperlink"/>
            <w:b/>
            <w:bCs/>
          </w:rPr>
          <w:t xml:space="preserve">[57] </w:t>
        </w:r>
      </w:hyperlink>
      <w:r>
        <w:t xml:space="preserve">Platt OS, et al. Mortality in sickle cell disease: life expectancy and risk factors for early death. N Engl J Med. 1994;330(23):1639–1644. </w:t>
      </w:r>
      <w:hyperlink w:history="1" r:id="rIdh52uq5ow2eoc7fmnkgxen">
        <w:r>
          <w:rPr>
            <w:rStyle w:val="Hyperlink"/>
            <w:sz w:val="18"/>
            <w:szCs w:val="18"/>
          </w:rPr>
          <w:t xml:space="preserve">https://doi.org/10.1056/NEJM199406093302303</w:t>
        </w:r>
      </w:hyperlink>
    </w:p>
    <w:p>
      <w:pPr>
        <w:spacing w:after="80"/>
      </w:pPr>
      <w:hyperlink w:history="1" r:id="rIdset2jlo0govu938cmsgks">
        <w:r>
          <w:rPr>
            <w:rStyle w:val="Hyperlink"/>
            <w:b/>
            <w:bCs/>
          </w:rPr>
          <w:t xml:space="preserve">[58] </w:t>
        </w:r>
      </w:hyperlink>
      <w:r>
        <w:t xml:space="preserve">Brousseau DC, et al. Acute care utilization and rehospitalizations for sickle cell disease. JAMA. 2010;303(13):1288–1294. </w:t>
      </w:r>
      <w:hyperlink w:history="1" r:id="rIdtogrqxbvksua4pzdsuxnn">
        <w:r>
          <w:rPr>
            <w:rStyle w:val="Hyperlink"/>
            <w:sz w:val="18"/>
            <w:szCs w:val="18"/>
          </w:rPr>
          <w:t xml:space="preserve">https://doi.org/10.1001/jama.2010.378</w:t>
        </w:r>
      </w:hyperlink>
    </w:p>
    <w:p>
      <w:pPr>
        <w:spacing w:after="80"/>
      </w:pPr>
      <w:hyperlink w:history="1" r:id="rIdfadj2-o9pzhkym42lopz7">
        <w:r>
          <w:rPr>
            <w:rStyle w:val="Hyperlink"/>
            <w:b/>
            <w:bCs/>
          </w:rPr>
          <w:t xml:space="preserve">[59] </w:t>
        </w:r>
      </w:hyperlink>
      <w:r>
        <w:t xml:space="preserve">Kanter J, Smith WR, Osunkwo I. Sickle cell disease in the United States. JAMA. 2021;325(15):1567–1568. </w:t>
      </w:r>
      <w:hyperlink w:history="1" r:id="rIdooeegkpfix_dw_t2pwqnv">
        <w:r>
          <w:rPr>
            <w:rStyle w:val="Hyperlink"/>
            <w:sz w:val="18"/>
            <w:szCs w:val="18"/>
          </w:rPr>
          <w:t xml:space="preserve">https://doi.org/10.1001/jama.2021.0411</w:t>
        </w:r>
      </w:hyperlink>
    </w:p>
    <w:p>
      <w:pPr>
        <w:spacing w:after="80"/>
      </w:pPr>
      <w:hyperlink w:history="1" r:id="rIdmknxdgnbhd-njim0fwt0y">
        <w:r>
          <w:rPr>
            <w:rStyle w:val="Hyperlink"/>
            <w:b/>
            <w:bCs/>
          </w:rPr>
          <w:t xml:space="preserve">[60] </w:t>
        </w:r>
      </w:hyperlink>
      <w:r>
        <w:t xml:space="preserve">Treadwell MJ, et al. Adult Sickle Cell Quality-of-Life Measurement Information System (ASCQ-Me): conceptual model based on review of the literature and formative research. Clin J Pain. 2014;30(10):902–914. </w:t>
      </w:r>
      <w:hyperlink w:history="1" r:id="rId9xf9io5bjah2ejt5jm21u">
        <w:r>
          <w:rPr>
            <w:rStyle w:val="Hyperlink"/>
            <w:sz w:val="18"/>
            <w:szCs w:val="18"/>
          </w:rPr>
          <w:t xml:space="preserve">https://doi.org/10.1097/AJP.0000000000000054</w:t>
        </w:r>
      </w:hyperlink>
    </w:p>
    <w:p>
      <w:pPr>
        <w:spacing w:after="80"/>
      </w:pPr>
      <w:hyperlink w:history="1" r:id="rIdcdeixdl1t8xt0uy1jlqvb">
        <w:r>
          <w:rPr>
            <w:rStyle w:val="Hyperlink"/>
            <w:b/>
            <w:bCs/>
          </w:rPr>
          <w:t xml:space="preserve">[61] </w:t>
        </w:r>
      </w:hyperlink>
      <w:r>
        <w:t xml:space="preserve">Knisely MR, et al. Patient-reported outcomes in sickle cell disease and association with clinical and psychosocial factors: report from the Sickle Cell Disease Implementation Consortium. Am J Hematol. 2020;95(9):1066–1074. </w:t>
      </w:r>
      <w:hyperlink w:history="1" r:id="rIdk4hvt0cqmiyxsfn-vbb2a">
        <w:r>
          <w:rPr>
            <w:rStyle w:val="Hyperlink"/>
            <w:sz w:val="18"/>
            <w:szCs w:val="18"/>
          </w:rPr>
          <w:t xml:space="preserve">https://doi.org/10.1002/ajh.25880</w:t>
        </w:r>
      </w:hyperlink>
    </w:p>
    <w:p>
      <w:pPr>
        <w:spacing w:after="80"/>
      </w:pPr>
      <w:hyperlink w:history="1" r:id="rIdkwvsstk8kpgubwniesmo4">
        <w:r>
          <w:rPr>
            <w:rStyle w:val="Hyperlink"/>
            <w:b/>
            <w:bCs/>
          </w:rPr>
          <w:t xml:space="preserve">[62] </w:t>
        </w:r>
      </w:hyperlink>
      <w:r>
        <w:t xml:space="preserve">Sessa M, et al. Lentiviral haemopoietic stem-cell gene therapy in early-onset metachromatic leukodystrophy: an ad-hoc analysis of a non-randomised, open-label, phase 1/2 trial. Lancet. 2016;388(10043):476–487. </w:t>
      </w:r>
      <w:hyperlink w:history="1" r:id="rIdvkbw2a7quat_bwba6-lr8">
        <w:r>
          <w:rPr>
            <w:rStyle w:val="Hyperlink"/>
            <w:sz w:val="18"/>
            <w:szCs w:val="18"/>
          </w:rPr>
          <w:t xml:space="preserve">https://doi.org/10.1016/S0140-6736(16)30374-9</w:t>
        </w:r>
      </w:hyperlink>
    </w:p>
    <w:p>
      <w:pPr>
        <w:spacing w:after="80"/>
      </w:pPr>
      <w:hyperlink w:history="1" r:id="rIdjkqpjtfr7jg_kyherdypt">
        <w:r>
          <w:rPr>
            <w:rStyle w:val="Hyperlink"/>
            <w:b/>
            <w:bCs/>
          </w:rPr>
          <w:t xml:space="preserve">[63] </w:t>
        </w:r>
      </w:hyperlink>
      <w:r>
        <w:t xml:space="preserve">Kehrer C, et al. Development and reliability of a classification system for gross motor function in children with metachromatic leukodystrophy (GMFC-MLD). Dev Med Child Neurol. 2011;53(2):156–160. </w:t>
      </w:r>
      <w:hyperlink w:history="1" r:id="rIdwprs096tn7om7mzhz9muc">
        <w:r>
          <w:rPr>
            <w:rStyle w:val="Hyperlink"/>
            <w:sz w:val="18"/>
            <w:szCs w:val="18"/>
          </w:rPr>
          <w:t xml:space="preserve">https://doi.org/10.1111/j.1469-8749.2010.03821.x</w:t>
        </w:r>
      </w:hyperlink>
    </w:p>
    <w:p>
      <w:pPr>
        <w:spacing w:after="80"/>
      </w:pPr>
      <w:hyperlink w:history="1" r:id="rIdcqdqg04gjarsfg23vwlg-">
        <w:r>
          <w:rPr>
            <w:rStyle w:val="Hyperlink"/>
            <w:b/>
            <w:bCs/>
          </w:rPr>
          <w:t xml:space="preserve">[64] </w:t>
        </w:r>
      </w:hyperlink>
      <w:r>
        <w:t xml:space="preserve">Fumagalli F, et al. Lentiviral haematopoietic stem-cell gene therapy for early-onset metachromatic leukodystrophy: long-term results from a non-randomised, open-label, phase 1/2 trial and expanded access. Lancet. 2022;399(10322):372–383. </w:t>
      </w:r>
      <w:hyperlink w:history="1" r:id="rIdhe13v6t_jnuy-76xzd3uu">
        <w:r>
          <w:rPr>
            <w:rStyle w:val="Hyperlink"/>
            <w:sz w:val="18"/>
            <w:szCs w:val="18"/>
          </w:rPr>
          <w:t xml:space="preserve">https://doi.org/10.1016/S0140-6736(21)02017-1</w:t>
        </w:r>
      </w:hyperlink>
    </w:p>
    <w:p>
      <w:pPr>
        <w:spacing w:after="80"/>
      </w:pPr>
      <w:hyperlink w:history="1" r:id="rId5kqo7cxgmoh3nbykzgdcx">
        <w:r>
          <w:rPr>
            <w:rStyle w:val="Hyperlink"/>
            <w:b/>
            <w:bCs/>
          </w:rPr>
          <w:t xml:space="preserve">[65] </w:t>
        </w:r>
      </w:hyperlink>
      <w:r>
        <w:t xml:space="preserve">Wassenberg T, et al. Consensus guideline for the diagnosis and treatment of aromatic L-amino acid decarboxylase (AADC) deficiency. Orphanet J Rare Dis. 2017;12(1):12. </w:t>
      </w:r>
      <w:hyperlink w:history="1" r:id="rIdemaziorg5oqkgobvwrfzm">
        <w:r>
          <w:rPr>
            <w:rStyle w:val="Hyperlink"/>
            <w:sz w:val="18"/>
            <w:szCs w:val="18"/>
          </w:rPr>
          <w:t xml:space="preserve">https://doi.org/10.1186/s13023-016-0522-z</w:t>
        </w:r>
      </w:hyperlink>
    </w:p>
    <w:p>
      <w:pPr>
        <w:spacing w:after="80"/>
      </w:pPr>
      <w:hyperlink w:history="1" r:id="rIdvjh57busydeg09d9amzqr">
        <w:r>
          <w:rPr>
            <w:rStyle w:val="Hyperlink"/>
            <w:b/>
            <w:bCs/>
          </w:rPr>
          <w:t xml:space="preserve">[66] </w:t>
        </w:r>
      </w:hyperlink>
      <w:r>
        <w:t xml:space="preserve">Hwu PWL, et al. Natural history of aromatic L-amino acid decarboxylase deficiency in Taiwan. JIMD Rep. 2018;40:1–6. </w:t>
      </w:r>
      <w:hyperlink w:history="1" r:id="rIdcjr6e8dcyncikaww2lyoh">
        <w:r>
          <w:rPr>
            <w:rStyle w:val="Hyperlink"/>
            <w:sz w:val="18"/>
            <w:szCs w:val="18"/>
          </w:rPr>
          <w:t xml:space="preserve">https://doi.org/10.1007/8904_2017_54</w:t>
        </w:r>
      </w:hyperlink>
    </w:p>
    <w:p>
      <w:pPr>
        <w:spacing w:after="80"/>
      </w:pPr>
      <w:hyperlink w:history="1" r:id="rIdyef3nw_shoa5mdbbyd5hw">
        <w:r>
          <w:rPr>
            <w:rStyle w:val="Hyperlink"/>
            <w:b/>
            <w:bCs/>
          </w:rPr>
          <w:t xml:space="preserve">[67] </w:t>
        </w:r>
      </w:hyperlink>
      <w:r>
        <w:t xml:space="preserve">Tai CH, et al. Long-term efficacy and safety of eladocagene exuparvovec in patients with AADC deficiency. Mol Ther. 2022;30(2):509–518. </w:t>
      </w:r>
      <w:hyperlink w:history="1" r:id="rId-jydmt-9ifg5yc8lebwsa">
        <w:r>
          <w:rPr>
            <w:rStyle w:val="Hyperlink"/>
            <w:sz w:val="18"/>
            <w:szCs w:val="18"/>
          </w:rPr>
          <w:t xml:space="preserve">https://doi.org/10.1016/j.ymthe.2021.11.005</w:t>
        </w:r>
      </w:hyperlink>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D85A3F"/>
      <w:u w:val="single" w:color="D85A3F"/>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7759" w:sz="8" w:space="6"/>
      </w:pBdr>
      <w:spacing w:after="240" w:before="360"/>
      <w:outlineLvl w:val="0"/>
    </w:pPr>
    <w:rPr>
      <w:rFonts w:ascii="Helvetica Neue" w:cs="Helvetica Neue" w:eastAsia="Helvetica Neue" w:hAnsi="Helvetica Neue"/>
      <w:b/>
      <w:bCs/>
      <w:color w:val="FF7759"/>
      <w:spacing w:val="-10"/>
      <w:sz w:val="44"/>
      <w:szCs w:val="44"/>
    </w:rPr>
  </w:style>
  <w:style w:type="paragraph" w:styleId="Heading2">
    <w:name w:val="Heading 2"/>
    <w:basedOn w:val="Normal"/>
    <w:next w:val="Normal"/>
    <w:qFormat/>
    <w:pPr>
      <w:spacing w:after="160" w:before="320"/>
      <w:outlineLvl w:val="1"/>
    </w:pPr>
    <w:rPr>
      <w:rFonts w:ascii="Helvetica Neue" w:cs="Helvetica Neue" w:eastAsia="Helvetica Neue" w:hAnsi="Helvetica Neue"/>
      <w:b/>
      <w:bCs/>
      <w:color w:val="D85A3F"/>
      <w:spacing w:val="-6"/>
      <w:sz w:val="28"/>
      <w:szCs w:val="28"/>
    </w:rPr>
  </w:style>
  <w:style w:type="paragraph" w:styleId="Heading3">
    <w:name w:val="Heading 3"/>
    <w:basedOn w:val="Normal"/>
    <w:next w:val="Normal"/>
    <w:qFormat/>
    <w:pPr>
      <w:spacing w:after="110" w:before="220"/>
      <w:outlineLvl w:val="2"/>
    </w:pPr>
    <w:rPr>
      <w:rFonts w:ascii="Helvetica Neue" w:cs="Helvetica Neue" w:eastAsia="Helvetica Neue" w:hAnsi="Helvetica Neue"/>
      <w:b/>
      <w:bCs/>
      <w:color w:val="39594D"/>
      <w:spacing w:val="-4"/>
      <w:sz w:val="22"/>
      <w:szCs w:val="22"/>
    </w:rPr>
  </w:style>
  <w:style w:type="paragraph" w:styleId="Hyperlink">
    <w:name w:val="Hyperlink"/>
    <w:basedOn w:val="Normal"/>
    <w:next w:val="Normal"/>
    <w:rPr>
      <w:color w:val="D85A3F"/>
      <w:u w:val="single" w:color="D85A3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nof-m4zxjvlt_sy5zyqp" Type="http://schemas.openxmlformats.org/officeDocument/2006/relationships/hyperlink" Target="https://www.fda.gov/drugs/nda-and-bla-approvals/accelerated-approval-program" TargetMode="External"/><Relationship Id="rIdtyfklnc_lfct-upkrw0ak" Type="http://schemas.openxmlformats.org/officeDocument/2006/relationships/hyperlink" Target="https://www.fda.gov/science-research/real-world-evidence/fda-use-real-world-evidence-regulatory-decision-making" TargetMode="External"/><Relationship Id="rIdpztghmjuij1kozfvneoat" Type="http://schemas.openxmlformats.org/officeDocument/2006/relationships/hyperlink" Target="https://www.fda.gov/media/170827/download" TargetMode="External"/><Relationship Id="rIdbqncfphjj3t8fb48z_txs" Type="http://schemas.openxmlformats.org/officeDocument/2006/relationships/hyperlink" Target="https://www.fda.gov/science-research/real-world-evidence/fda-use-real-world-evidence-regulatory-decision-making" TargetMode="External"/><Relationship Id="rIdif66plx916dreyvwqz-ts" Type="http://schemas.openxmlformats.org/officeDocument/2006/relationships/hyperlink" Target="https://doi.org/10.1056/NEJM199406093302303" TargetMode="External"/><Relationship Id="rIdfza-nphnpqmegchedxvgl" Type="http://schemas.openxmlformats.org/officeDocument/2006/relationships/hyperlink" Target="https://doi.org/10.1001/jama.2021.0411" TargetMode="External"/><Relationship Id="rId38vrc-6c81ktshibt9f_c" Type="http://schemas.openxmlformats.org/officeDocument/2006/relationships/hyperlink" Target="https://doi.org/10.7326/M19-1208" TargetMode="External"/><Relationship Id="rId3nt3pem60xb8_swouj28x" Type="http://schemas.openxmlformats.org/officeDocument/2006/relationships/hyperlink" Target="https://doi.org/10.1001/jama.2010.378" TargetMode="External"/><Relationship Id="rIdl-vaeholvjgxwnu8aex8n" Type="http://schemas.openxmlformats.org/officeDocument/2006/relationships/hyperlink" Target="https://doi.org/10.1210/jc.2013-1589" TargetMode="External"/><Relationship Id="rIdbqaiikxgu4h6wb7qa6n7c" Type="http://schemas.openxmlformats.org/officeDocument/2006/relationships/hyperlink" Target="https://doi.org/10.1002/ajmg.10660" TargetMode="External"/><Relationship Id="rIdn_npiujdvbcesdenu7j7i" Type="http://schemas.openxmlformats.org/officeDocument/2006/relationships/hyperlink" Target="https://doi.org/10.1016/j.jaad.2012.09.036" TargetMode="External"/><Relationship Id="rIdswbzh879jx9kicwro_nu9" Type="http://schemas.openxmlformats.org/officeDocument/2006/relationships/hyperlink" Target="https://doi.org/10.1002/cam4.815" TargetMode="External"/><Relationship Id="rIdvptlijgclsfsionqhsxfv" Type="http://schemas.openxmlformats.org/officeDocument/2006/relationships/hyperlink" Target="https://doi.org/10.1016/S1470-2045(12)70580-6" TargetMode="External"/><Relationship Id="rIdtvopt1spisiwk4cxaa4nh" Type="http://schemas.openxmlformats.org/officeDocument/2006/relationships/hyperlink" Target="https://doi.org/10.1186/1750-1172-3-11" TargetMode="External"/><Relationship Id="rIdtr9i4qffx2y4pol9_4mxo" Type="http://schemas.openxmlformats.org/officeDocument/2006/relationships/hyperlink" Target="https://doi.org/10.3324/haematol.2012.066845" TargetMode="External"/><Relationship Id="rIdnbunytyymiwwaebx7r7gq" Type="http://schemas.openxmlformats.org/officeDocument/2006/relationships/hyperlink" Target="https://doi.org/10.1016/S0140-6736(03)13643-4" TargetMode="External"/><Relationship Id="rIddjmooerxzbctgmmbmaoyq" Type="http://schemas.openxmlformats.org/officeDocument/2006/relationships/hyperlink" Target="https://doi.org/10.1038/ejhg.2010.175" TargetMode="External"/><Relationship Id="rId2sxmje0tmrhrasvu1ea66" Type="http://schemas.openxmlformats.org/officeDocument/2006/relationships/hyperlink" Target="https://doi.org/10.1158/1078-0432.CCR-11-3025" TargetMode="External"/><Relationship Id="rIdqhv71_bg907yeuiwitvyx" Type="http://schemas.openxmlformats.org/officeDocument/2006/relationships/hyperlink" Target="https://doi.org/10.1016/j.ejca.2017.02.007" TargetMode="External"/><Relationship Id="rIdgsfboq_l09-kwa6xpauys" Type="http://schemas.openxmlformats.org/officeDocument/2006/relationships/hyperlink" Target="https://doi.org/10.1093/annonc/mdu162" TargetMode="External"/><Relationship Id="rIdbj1-lw7pzbuh7kgmz0waf" Type="http://schemas.openxmlformats.org/officeDocument/2006/relationships/hyperlink" Target="https://doi.org/10.1212/WNL.0000000000000741" TargetMode="External"/><Relationship Id="rIdz8e7we8m5rk2j7ubm80vw" Type="http://schemas.openxmlformats.org/officeDocument/2006/relationships/hyperlink" Target="https://doi.org/10.1002/ana.25101" TargetMode="External"/><Relationship Id="rId0wkizflvtwm5ycfqoe3wi" Type="http://schemas.openxmlformats.org/officeDocument/2006/relationships/hyperlink" Target="https://doi.org/10.1212/01.wnl.0000250332.89420.e6" TargetMode="External"/><Relationship Id="rId1aut28cb5r9lsxrhqif3s" Type="http://schemas.openxmlformats.org/officeDocument/2006/relationships/hyperlink" Target="https://doi.org/10.1093/neuonc/noy067" TargetMode="External"/><Relationship Id="rIdamjfw9jpp7sof9ipk_dkj" Type="http://schemas.openxmlformats.org/officeDocument/2006/relationships/hyperlink" Target="https://doi.org/10.1093/neuonc/noaa053" TargetMode="External"/><Relationship Id="rIdkujzk7hx_iep42boka4wg" Type="http://schemas.openxmlformats.org/officeDocument/2006/relationships/hyperlink" Target="https://doi.org/10.1016/j.bbmt.2018.09.036" TargetMode="External"/><Relationship Id="rIdoesdtnpwouhnrgp6t7igj" Type="http://schemas.openxmlformats.org/officeDocument/2006/relationships/hyperlink" Target="https://doi.org/10.1212/WNL.0000000000002891" TargetMode="External"/><Relationship Id="rId-vaoym-6eodzljnckulab" Type="http://schemas.openxmlformats.org/officeDocument/2006/relationships/hyperlink" Target="https://doi.org/10.1002/ana.24370" TargetMode="External"/><Relationship Id="rIdt_nyrcu5tcgfcrtwcdfdc" Type="http://schemas.openxmlformats.org/officeDocument/2006/relationships/hyperlink" Target="https://doi.org/10.1200/JCO.2015.64.4070" TargetMode="External"/><Relationship Id="rIddgghilpnxgit3mr5irjow" Type="http://schemas.openxmlformats.org/officeDocument/2006/relationships/hyperlink" Target="https://doi.org/10.3233/BLC-159002" TargetMode="External"/><Relationship Id="rIdzlczjyn96k59s4yqfigdx" Type="http://schemas.openxmlformats.org/officeDocument/2006/relationships/hyperlink" Target="https://doi.org/10.1212/WNL.0000000000001317" TargetMode="External"/><Relationship Id="rIdyjoq7crtzygdobe3zbwub" Type="http://schemas.openxmlformats.org/officeDocument/2006/relationships/hyperlink" Target="https://doi.org/10.1016/S0140-6736(21)02017-1" TargetMode="External"/><Relationship Id="rIddp4lc3wpklcjbsnbnaexc" Type="http://schemas.openxmlformats.org/officeDocument/2006/relationships/hyperlink" Target="https://doi.org/10.1016/S2352-4642(18)30179-2" TargetMode="External"/><Relationship Id="rIdpe8t7bxd3yjomdgwcxcnn" Type="http://schemas.openxmlformats.org/officeDocument/2006/relationships/hyperlink" Target="https://doi.org/10.1056/NEJMoa1712649" TargetMode="External"/><Relationship Id="rIdld4kwsj-_ubxmyyxuak8w" Type="http://schemas.openxmlformats.org/officeDocument/2006/relationships/hyperlink" Target="https://doi.org/10.1182/blood-2017-03-769620" TargetMode="External"/><Relationship Id="rIdcz2wra9xp1n1-s53ntwjv" Type="http://schemas.openxmlformats.org/officeDocument/2006/relationships/hyperlink" Target="https://www.fda.gov/media/170827/download" TargetMode="External"/><Relationship Id="rId79ns06gnf7gfqoabj67zh" Type="http://schemas.openxmlformats.org/officeDocument/2006/relationships/hyperlink" Target="https://www.fda.gov/science-research/real-world-evidence/fda-use-real-world-evidence-regulatory-decision-making" TargetMode="External"/><Relationship Id="rIdbokfdaz5wupe6qpu3godl" Type="http://schemas.openxmlformats.org/officeDocument/2006/relationships/hyperlink" Target="https://doi.org/10.1016/j.bbmt.2018.09.036" TargetMode="External"/><Relationship Id="rId4kkuvzk_n0xtiir-eati6" Type="http://schemas.openxmlformats.org/officeDocument/2006/relationships/hyperlink" Target="https://doi.org/10.1212/WNL.0000000000009626" TargetMode="External"/><Relationship Id="rIdhkp1l9_l9og_zulez7gze" Type="http://schemas.openxmlformats.org/officeDocument/2006/relationships/hyperlink" Target="https://doi.org/10.1111/j.1469-8749.2010.03821.x" TargetMode="External"/><Relationship Id="rIdwwyo-dguynf6-mf6tuool" Type="http://schemas.openxmlformats.org/officeDocument/2006/relationships/hyperlink" Target="https://doi.org/10.1016/S0140-6736(21)02017-1" TargetMode="External"/><Relationship Id="rIdgohzkflybgdnrou5u45nz" Type="http://schemas.openxmlformats.org/officeDocument/2006/relationships/hyperlink" Target="https://doi.org/10.1182/blood-2017-03-769620" TargetMode="External"/><Relationship Id="rIdwf5vgymfnldypu5dy9eim" Type="http://schemas.openxmlformats.org/officeDocument/2006/relationships/hyperlink" Target="https://doi.org/10.1212/WNL.0000000000000741" TargetMode="External"/><Relationship Id="rIddpqs0dhapkqxz0ffj3v3c" Type="http://schemas.openxmlformats.org/officeDocument/2006/relationships/hyperlink" Target="https://doi.org/10.1002/ana.25101" TargetMode="External"/><Relationship Id="rIdtamuvrh4hbn7kjhvliszc" Type="http://schemas.openxmlformats.org/officeDocument/2006/relationships/hyperlink" Target="https://doi.org/10.1038/sj.bmt.1703650" TargetMode="External"/><Relationship Id="rIdkrhsaftfg4qfqajrs9uom" Type="http://schemas.openxmlformats.org/officeDocument/2006/relationships/hyperlink" Target="https://doi.org/10.1111/j.1365-2516.2008.01717.x" TargetMode="External"/><Relationship Id="rIdkmrjps5jsfogvuoyd5ypt" Type="http://schemas.openxmlformats.org/officeDocument/2006/relationships/hyperlink" Target="https://doi.org/10.1097/AJP.0000000000000054" TargetMode="External"/><Relationship Id="rId9knxnergukcoxg5dx5gl9" Type="http://schemas.openxmlformats.org/officeDocument/2006/relationships/hyperlink" Target="https://doi.org/10.1111/bjh.12631" TargetMode="External"/><Relationship Id="rIdzfcgilxocndh27fjxoqrg" Type="http://schemas.openxmlformats.org/officeDocument/2006/relationships/hyperlink" Target="https://doi.org/10.1212/01.wnl.0000435744.57038.af" TargetMode="External"/><Relationship Id="rId0dfvyomvbzct_snqt6_-w" Type="http://schemas.openxmlformats.org/officeDocument/2006/relationships/hyperlink" Target="https://www.fda.gov/science-research/real-world-evidence/fda-use-real-world-evidence-regulatory-decision-making" TargetMode="External"/><Relationship Id="rId_z_le_9yb8t8hgizylyvw" Type="http://schemas.openxmlformats.org/officeDocument/2006/relationships/hyperlink" Target="https://doi.org/10.1038/s41586-018-0217-9" TargetMode="External"/><Relationship Id="rIdm9wdmvtggjgoc9vk5vexz" Type="http://schemas.openxmlformats.org/officeDocument/2006/relationships/hyperlink" Target="https://doi.org/10.1016/S0140-6736(21)02017-1" TargetMode="External"/><Relationship Id="rId5kr9ilfpytydytamj0had" Type="http://schemas.openxmlformats.org/officeDocument/2006/relationships/hyperlink" Target="https://doi.org/10.1016/j.ymthe.2021.11.005" TargetMode="External"/><Relationship Id="rIduc-jbe_onjka47geufhnb" Type="http://schemas.openxmlformats.org/officeDocument/2006/relationships/hyperlink" Target="https://doi.org/10.1212/WNL.0000000000002891" TargetMode="External"/><Relationship Id="rIdxlq6ljodaqzfhc6epligl" Type="http://schemas.openxmlformats.org/officeDocument/2006/relationships/hyperlink" Target="https://doi.org/10.1002/ana.24370" TargetMode="External"/><Relationship Id="rIdu7teo5vye832d6yxfevpo" Type="http://schemas.openxmlformats.org/officeDocument/2006/relationships/hyperlink" Target="https://doi.org/10.1016/j.nmd.2015.09.012" TargetMode="External"/><Relationship Id="rIdm1-r0qsfq95baggzug3c5" Type="http://schemas.openxmlformats.org/officeDocument/2006/relationships/hyperlink" Target="https://doi.org/10.1016/j.nmd.2016.01.003" TargetMode="External"/><Relationship Id="rIdeaaw1qmx0jsvn8vsubjqh" Type="http://schemas.openxmlformats.org/officeDocument/2006/relationships/hyperlink" Target="https://doi.org/10.1002/ajmg.10660" TargetMode="External"/><Relationship Id="rIdruo7pdjby3ovcpsyfz9n7" Type="http://schemas.openxmlformats.org/officeDocument/2006/relationships/hyperlink" Target="https://doi.org/10.1016/S2352-4642(18)30179-2" TargetMode="External"/><Relationship Id="rIdfobluu014pdx4boealvza" Type="http://schemas.openxmlformats.org/officeDocument/2006/relationships/hyperlink" Target="https://doi.org/10.1056/NEJMoa1712649" TargetMode="External"/><Relationship Id="rId6kkku9l66xsdjx8dx8iye" Type="http://schemas.openxmlformats.org/officeDocument/2006/relationships/hyperlink" Target="https://doi.org/10.1002/cam4.815" TargetMode="External"/><Relationship Id="rIdasbaudgqmh2pm8dxjheav" Type="http://schemas.openxmlformats.org/officeDocument/2006/relationships/hyperlink" Target="https://doi.org/10.1016/j.jaad.2012.09.036" TargetMode="External"/><Relationship Id="rIdlgiaqd5urp_n-245vhn9f" Type="http://schemas.openxmlformats.org/officeDocument/2006/relationships/hyperlink" Target="https://doi.org/10.1200/JCO.2016.67.3301" TargetMode="External"/><Relationship Id="rIdu6h_-w4zr0exhhrmk6sjz" Type="http://schemas.openxmlformats.org/officeDocument/2006/relationships/hyperlink" Target="https://doi.org/10.1016/S1470-2045(12)70580-6" TargetMode="External"/><Relationship Id="rIdsxg6f2ebgz4jfi5qqycmp" Type="http://schemas.openxmlformats.org/officeDocument/2006/relationships/hyperlink" Target="https://doi.org/10.1182/blood-2017-03-769620" TargetMode="External"/><Relationship Id="rIdek0qtgbvkcc7jbe7wowlb" Type="http://schemas.openxmlformats.org/officeDocument/2006/relationships/hyperlink" Target="https://doi.org/10.1182/blood-2017-03-769620" TargetMode="External"/><Relationship Id="rIdxp7hjm6t_l994bnhiqytd" Type="http://schemas.openxmlformats.org/officeDocument/2006/relationships/hyperlink" Target="https://doi.org/10.1056/NEJMoa1613683" TargetMode="External"/><Relationship Id="rId28hsghfmqpebflj8l3qgr" Type="http://schemas.openxmlformats.org/officeDocument/2006/relationships/hyperlink" Target="https://doi.org/10.1158/1078-0432.CCR-14-3212" TargetMode="External"/><Relationship Id="rIdv-8xmrnskj2swttg_urdf" Type="http://schemas.openxmlformats.org/officeDocument/2006/relationships/hyperlink" Target="https://doi.org/10.1212/WNL.0000000000000741" TargetMode="External"/><Relationship Id="rIdm7sg_ya0ldwdce7gfdpzn" Type="http://schemas.openxmlformats.org/officeDocument/2006/relationships/hyperlink" Target="https://doi.org/10.1002/ana.25101" TargetMode="External"/><Relationship Id="rId6nzsdefhqeck4lvpkskw3" Type="http://schemas.openxmlformats.org/officeDocument/2006/relationships/hyperlink" Target="https://doi.org/10.1016/j.nmd.2016.10.002" TargetMode="External"/><Relationship Id="rIdr2d9xqqfps2yt3f7c-o8i" Type="http://schemas.openxmlformats.org/officeDocument/2006/relationships/hyperlink" Target="https://doi.org/10.1212/WNL.0000000000000741" TargetMode="External"/><Relationship Id="rIdfvxrqcoy7rxwk0fl8ansb" Type="http://schemas.openxmlformats.org/officeDocument/2006/relationships/hyperlink" Target="https://doi.org/10.1002/ana.25101" TargetMode="External"/><Relationship Id="rIdaxbj0h32uigp4naym3ea-" Type="http://schemas.openxmlformats.org/officeDocument/2006/relationships/hyperlink" Target="https://doi.org/10.1158/1078-0432.CCR-11-3025" TargetMode="External"/><Relationship Id="rIdmczher4q3cnea9_fqt7ao" Type="http://schemas.openxmlformats.org/officeDocument/2006/relationships/hyperlink" Target="https://doi.org/10.1016/j.ejca.2017.02.007" TargetMode="External"/><Relationship Id="rId26zpwdgx6oim_-gaoudnx" Type="http://schemas.openxmlformats.org/officeDocument/2006/relationships/hyperlink" Target="https://doi.org/10.1158/1078-0432.CCR-11-3025" TargetMode="External"/><Relationship Id="rId1vukhned1lplm4zffsxhz" Type="http://schemas.openxmlformats.org/officeDocument/2006/relationships/hyperlink" Target="https://doi.org/10.1016/j.ejca.2017.02.007" TargetMode="External"/><Relationship Id="rIdczzctigszypqhzty5rzea" Type="http://schemas.openxmlformats.org/officeDocument/2006/relationships/hyperlink" Target="https://doi.org/10.1212/01.wnl.0000250332.89420.e6" TargetMode="External"/><Relationship Id="rIdudhaqdmu7ezof9ixts0ym" Type="http://schemas.openxmlformats.org/officeDocument/2006/relationships/hyperlink" Target="https://doi.org/10.1093/neuonc/noy067" TargetMode="External"/><Relationship Id="rIdnouzdkyc_ah775ilkdarn" Type="http://schemas.openxmlformats.org/officeDocument/2006/relationships/hyperlink" Target="https://doi.org/10.1093/neuonc/noaa053" TargetMode="External"/><Relationship Id="rIdus8heirb0bzy4fh5ofwa-" Type="http://schemas.openxmlformats.org/officeDocument/2006/relationships/hyperlink" Target="https://doi.org/10.1212/01.wnl.0000435744.57038.af" TargetMode="External"/><Relationship Id="rIdls_dvooxnrekfcce-ekta" Type="http://schemas.openxmlformats.org/officeDocument/2006/relationships/hyperlink" Target="https://doi.org/10.1093/noajnl/vdaf101" TargetMode="External"/><Relationship Id="rIdsedbkcq9kuagkh-us2exl" Type="http://schemas.openxmlformats.org/officeDocument/2006/relationships/hyperlink" Target="https://doi.org/10.1093/annonc/mdu162" TargetMode="External"/><Relationship Id="rIdl_o6jdihihottimvqesbt" Type="http://schemas.openxmlformats.org/officeDocument/2006/relationships/hyperlink" Target="https://doi.org/10.1200/PO.17.00080" TargetMode="External"/><Relationship Id="rIdimeqgv1kqbjvgusqur3yc" Type="http://schemas.openxmlformats.org/officeDocument/2006/relationships/hyperlink" Target="https://doi.org/10.1212/WNL.0000000000001317" TargetMode="External"/><Relationship Id="rIdtxcse4bsvdfvlu4m_qab-" Type="http://schemas.openxmlformats.org/officeDocument/2006/relationships/hyperlink" Target="https://doi.org/10.1016/j.ymgme.2015.11.010" TargetMode="External"/><Relationship Id="rIdjctbambofgo_l6m0if75y" Type="http://schemas.openxmlformats.org/officeDocument/2006/relationships/hyperlink" Target="https://www.fda.gov/science-research/real-world-evidence/fda-use-real-world-evidence-regulatory-decision-making" TargetMode="External"/><Relationship Id="rId59govcg2xgzj6f6ijlq7h" Type="http://schemas.openxmlformats.org/officeDocument/2006/relationships/hyperlink" Target="https://doi.org/10.1016/S0140-6736(03)13643-4" TargetMode="External"/><Relationship Id="rIdrnkqg1vcdwfkm0sub3u-f" Type="http://schemas.openxmlformats.org/officeDocument/2006/relationships/hyperlink" Target="https://doi.org/10.1016/S1470-2045(18)30487-X" TargetMode="External"/><Relationship Id="rIdol4xugo4qr51aq8rr56xo" Type="http://schemas.openxmlformats.org/officeDocument/2006/relationships/hyperlink" Target="https://doi.org/10.1038/ejhg.2010.175" TargetMode="External"/><Relationship Id="rIdpseyekurtzjectqibwtry" Type="http://schemas.openxmlformats.org/officeDocument/2006/relationships/hyperlink" Target="https://doi.org/10.1182/blood-2013-04-499616" TargetMode="External"/><Relationship Id="rIdux58iwz8gqvjbqifzuwhj" Type="http://schemas.openxmlformats.org/officeDocument/2006/relationships/hyperlink" Target="https://doi.org/10.1016/j.bbmt.2015.02.025" TargetMode="External"/><Relationship Id="rIdsocnm5pihodb8fct9b23f" Type="http://schemas.openxmlformats.org/officeDocument/2006/relationships/hyperlink" Target="https://doi.org/10.1038/sj.bmt.1703650" TargetMode="External"/><Relationship Id="rIdsxtttdxz3hulakzi5bb5g" Type="http://schemas.openxmlformats.org/officeDocument/2006/relationships/hyperlink" Target="https://doi.org/10.1016/j.bbmt.2014.10.024" TargetMode="External"/><Relationship Id="rIdv0s2ectfovmymnp3lneyg" Type="http://schemas.openxmlformats.org/officeDocument/2006/relationships/hyperlink" Target="https://doi.org/10.1002/ajmg.a.36836" TargetMode="External"/><Relationship Id="rIdglkazz4dqz9lxyriwnp8w" Type="http://schemas.openxmlformats.org/officeDocument/2006/relationships/hyperlink" Target="https://doi.org/10.1038/s41586-018-0217-9" TargetMode="External"/><Relationship Id="rIdp_5zu2modyrf8y2f-elsj" Type="http://schemas.openxmlformats.org/officeDocument/2006/relationships/hyperlink" Target="https://doi.org/10.1038/s41586-018-0217-9" TargetMode="External"/><Relationship Id="rId6nipnaj1lrylchc8jwa4q" Type="http://schemas.openxmlformats.org/officeDocument/2006/relationships/hyperlink" Target="https://www.fda.gov/science-research/real-world-evidence/fda-use-real-world-evidence-regulatory-decision-making" TargetMode="External"/><Relationship Id="rIdzqxbvavpyqh8amblrbcfb" Type="http://schemas.openxmlformats.org/officeDocument/2006/relationships/hyperlink" Target="https://doi.org/10.1186/1750-1172-3-11" TargetMode="External"/><Relationship Id="rId0lphq1m7osx5tzubttheh" Type="http://schemas.openxmlformats.org/officeDocument/2006/relationships/hyperlink" Target="https://doi.org/10.3324/haematol.2012.066845" TargetMode="External"/><Relationship Id="rIdyy2o8aa8suvuiwy8c1ewv" Type="http://schemas.openxmlformats.org/officeDocument/2006/relationships/hyperlink" Target="https://doi.org/10.1111/bjh.12631" TargetMode="External"/><Relationship Id="rIdcc6r_loervx2rusbr6y2u" Type="http://schemas.openxmlformats.org/officeDocument/2006/relationships/hyperlink" Target="https://doi.org/10.1016/S1474-4422(07)70177-1" TargetMode="External"/><Relationship Id="rIdd_do9zhq741udbmwka5kk" Type="http://schemas.openxmlformats.org/officeDocument/2006/relationships/hyperlink" Target="https://doi.org/10.1016/j.bbmt.2018.09.036" TargetMode="External"/><Relationship Id="rIdzfmp_2jvfwv70o5sz4xra" Type="http://schemas.openxmlformats.org/officeDocument/2006/relationships/hyperlink" Target="https://doi.org/10.1212/WNL.0000000000009626" TargetMode="External"/><Relationship Id="rIdiov_hdhfpdkv4nnajyfyn" Type="http://schemas.openxmlformats.org/officeDocument/2006/relationships/hyperlink" Target="https://www.fda.gov/science-research/real-world-evidence/fda-use-real-world-evidence-regulatory-decision-making" TargetMode="External"/><Relationship Id="rIddykovl2hytlbpkciu0s3c" Type="http://schemas.openxmlformats.org/officeDocument/2006/relationships/hyperlink" Target="https://doi.org/10.1016/j.bbmt.2018.09.036" TargetMode="External"/><Relationship Id="rIdv2xtg7b46xy8talqilhc3" Type="http://schemas.openxmlformats.org/officeDocument/2006/relationships/hyperlink" Target="https://doi.org/10.7326/M19-1208" TargetMode="External"/><Relationship Id="rId9vk_0s_vy0zzhg7rt8xes" Type="http://schemas.openxmlformats.org/officeDocument/2006/relationships/hyperlink" Target="https://doi.org/10.1186/s13023-017-0660-y" TargetMode="External"/><Relationship Id="rIdrb5kpmmjsmpvfag1pyrwz" Type="http://schemas.openxmlformats.org/officeDocument/2006/relationships/hyperlink" Target="https://doi.org/10.1111/j.1365-2516.2008.01717.x" TargetMode="External"/><Relationship Id="rId2fu2xgeln83n8by55nvlm" Type="http://schemas.openxmlformats.org/officeDocument/2006/relationships/hyperlink" Target="https://doi.org/10.1200/JCO.2015.64.4070" TargetMode="External"/><Relationship Id="rIdeparjv6j2mnecphbdqsrk" Type="http://schemas.openxmlformats.org/officeDocument/2006/relationships/hyperlink" Target="https://doi.org/10.3233/BLC-159002" TargetMode="External"/><Relationship Id="rIdcyz3v-l46bactzbehw1z1" Type="http://schemas.openxmlformats.org/officeDocument/2006/relationships/hyperlink" Target="https://doi.org/10.1210/jc.2013-1589" TargetMode="External"/><Relationship Id="rIdfy03do253d8f-djttlhfg" Type="http://schemas.openxmlformats.org/officeDocument/2006/relationships/hyperlink" Target="https://doi.org/10.2337/diacare.10.5.617" TargetMode="External"/><Relationship Id="rId0_rl0xvyxj2dz0bdbeylh" Type="http://schemas.openxmlformats.org/officeDocument/2006/relationships/hyperlink" Target="https://doi.org/10.2337/diacare.18.4.517" TargetMode="External"/><Relationship Id="rIdjouffb3xfv5yjvg1o-h5x" Type="http://schemas.openxmlformats.org/officeDocument/2006/relationships/hyperlink" Target="https://doi.org/10.2337/dc15-1988" TargetMode="External"/><Relationship Id="rIdaho4nvqomw68rqrztj2zx" Type="http://schemas.openxmlformats.org/officeDocument/2006/relationships/hyperlink" Target="https://doi.org/10.1056/NEJM199406093302303" TargetMode="External"/><Relationship Id="rIdlpnclvxdpyfkb1jmrww2j" Type="http://schemas.openxmlformats.org/officeDocument/2006/relationships/hyperlink" Target="https://doi.org/10.1001/jama.2010.378" TargetMode="External"/><Relationship Id="rIdwcicdvufxfg3icnis3p9r" Type="http://schemas.openxmlformats.org/officeDocument/2006/relationships/hyperlink" Target="https://doi.org/10.1001/jama.2021.0411" TargetMode="External"/><Relationship Id="rIdszgnvg2w-dazsezjtpbfa" Type="http://schemas.openxmlformats.org/officeDocument/2006/relationships/hyperlink" Target="https://doi.org/10.1097/AJP.0000000000000054" TargetMode="External"/><Relationship Id="rIdzi8m9bzkc8h_m3zsg5w61" Type="http://schemas.openxmlformats.org/officeDocument/2006/relationships/hyperlink" Target="https://doi.org/10.1002/ajh.25880" TargetMode="External"/><Relationship Id="rIdcgww8l6yo2xkepqqllgu9" Type="http://schemas.openxmlformats.org/officeDocument/2006/relationships/hyperlink" Target="https://doi.org/10.1056/NEJM199406093302303" TargetMode="External"/><Relationship Id="rIdkiglywirbtlawgzbtwufm" Type="http://schemas.openxmlformats.org/officeDocument/2006/relationships/hyperlink" Target="https://doi.org/10.1001/jama.2010.378" TargetMode="External"/><Relationship Id="rIdmffclbo_od-5sjhwdj_7d" Type="http://schemas.openxmlformats.org/officeDocument/2006/relationships/hyperlink" Target="https://doi.org/10.1001/jama.2021.0411" TargetMode="External"/><Relationship Id="rIdyxa9j-umljxoptqmtvp6a" Type="http://schemas.openxmlformats.org/officeDocument/2006/relationships/hyperlink" Target="https://doi.org/10.1097/AJP.0000000000000054" TargetMode="External"/><Relationship Id="rIdvjcvim50gh-tm51iatlht" Type="http://schemas.openxmlformats.org/officeDocument/2006/relationships/hyperlink" Target="https://doi.org/10.1002/ajh.25880" TargetMode="External"/><Relationship Id="rIdlglpogexwwakpfdanqowk" Type="http://schemas.openxmlformats.org/officeDocument/2006/relationships/hyperlink" Target="https://doi.org/10.1016/S0140-6736(16)30374-9" TargetMode="External"/><Relationship Id="rIdvrf4kda2upcc4lpczvi2i" Type="http://schemas.openxmlformats.org/officeDocument/2006/relationships/hyperlink" Target="https://doi.org/10.1111/j.1469-8749.2010.03821.x" TargetMode="External"/><Relationship Id="rIdupxvg8xk_winusr4-finq" Type="http://schemas.openxmlformats.org/officeDocument/2006/relationships/hyperlink" Target="https://doi.org/10.1016/S0140-6736(21)02017-1" TargetMode="External"/><Relationship Id="rIdkm9tvs_grii3lmhzo1zr-" Type="http://schemas.openxmlformats.org/officeDocument/2006/relationships/hyperlink" Target="https://www.fda.gov/science-research/real-world-evidence/fda-use-real-world-evidence-regulatory-decision-making" TargetMode="External"/><Relationship Id="rIdxjqnjeefbzqs9s7sdacjn" Type="http://schemas.openxmlformats.org/officeDocument/2006/relationships/hyperlink" Target="https://doi.org/10.1016/S0140-6736(21)02017-1" TargetMode="External"/><Relationship Id="rId6fyodunwdg0mqvhigrbsx" Type="http://schemas.openxmlformats.org/officeDocument/2006/relationships/hyperlink" Target="https://doi.org/10.1186/s13023-016-0522-z" TargetMode="External"/><Relationship Id="rIdf68mxiry4pxcs7bgsj6gt" Type="http://schemas.openxmlformats.org/officeDocument/2006/relationships/hyperlink" Target="https://doi.org/10.1007/8904_2017_54" TargetMode="External"/><Relationship Id="rIdkseovxok41h8ljrxq6kir" Type="http://schemas.openxmlformats.org/officeDocument/2006/relationships/hyperlink" Target="https://doi.org/10.1016/j.ymthe.2021.11.005" TargetMode="External"/><Relationship Id="rIdhkte0aniecsxjcrtapsfh" Type="http://schemas.openxmlformats.org/officeDocument/2006/relationships/hyperlink" Target="https://doi.org/10.1212/01.wnl.0000250332.89420.e6" TargetMode="External"/><Relationship Id="rIdbaupmslnggc8bgpynizqw" Type="http://schemas.openxmlformats.org/officeDocument/2006/relationships/hyperlink" Target="https://doi.org/10.1093/neuonc/noaa053" TargetMode="External"/><Relationship Id="rId4p4bczvrdmov-ucmzgzt2" Type="http://schemas.openxmlformats.org/officeDocument/2006/relationships/hyperlink" Target="https://doi.org/10.1093/neuonc/noy067" TargetMode="External"/><Relationship Id="rIdcus8a869goimgzutqweyh" Type="http://schemas.openxmlformats.org/officeDocument/2006/relationships/hyperlink" Target="https://doi.org/10.1212/01.wnl.0000435744.57038.af" TargetMode="External"/><Relationship Id="rIdpn0w73tyosabvfwyddehi" Type="http://schemas.openxmlformats.org/officeDocument/2006/relationships/hyperlink" Target="https://doi.org/10.1093/noajnl/vdaf101" TargetMode="External"/><Relationship Id="rId1cbl3kv4quvhqhrdcfpqn" Type="http://schemas.openxmlformats.org/officeDocument/2006/relationships/hyperlink" Target="https://www.fda.gov/science-research/real-world-evidence/fda-use-real-world-evidence-regulatory-decision-making" TargetMode="External"/><Relationship Id="rIdbddcret5yz-q9jn9kyczk" Type="http://schemas.openxmlformats.org/officeDocument/2006/relationships/hyperlink" Target="https://www.fda.gov/science-research/real-world-evidence/fda-use-real-world-evidence-regulatory-decision-making" TargetMode="External"/><Relationship Id="rIdanliwivvqvh7lcl5smtnu" Type="http://schemas.openxmlformats.org/officeDocument/2006/relationships/hyperlink" Target="https://www.fda.gov/media/170827/download" TargetMode="External"/><Relationship Id="rIdbchbsajrsqxkwuysjuyod" Type="http://schemas.openxmlformats.org/officeDocument/2006/relationships/hyperlink" Target="https://www.fda.gov/media/170827/download" TargetMode="External"/><Relationship Id="rIdslmhuoybxzx2pfhkshizl" Type="http://schemas.openxmlformats.org/officeDocument/2006/relationships/hyperlink" Target="https://www.fda.gov/drugs/nda-and-bla-approvals/accelerated-approval-program" TargetMode="External"/><Relationship Id="rIdp_qjmpawtw43tx70aezwo" Type="http://schemas.openxmlformats.org/officeDocument/2006/relationships/hyperlink" Target="https://www.fda.gov/drugs/nda-and-bla-approvals/accelerated-approval-program" TargetMode="External"/><Relationship Id="rId_exwulv_rbekewnca3bbz" Type="http://schemas.openxmlformats.org/officeDocument/2006/relationships/hyperlink" Target="https://www.fda.gov/drugs/resources-information-approved-drugs/ongoing-cancer-accelerated-approvals" TargetMode="External"/><Relationship Id="rIdyhtkpl8tlgg6rojigob6d" Type="http://schemas.openxmlformats.org/officeDocument/2006/relationships/hyperlink" Target="https://www.fda.gov/drugs/resources-information-approved-drugs/ongoing-cancer-accelerated-approvals" TargetMode="External"/><Relationship Id="rIdm8g1k4r7ozy_6_i9tdjdh" Type="http://schemas.openxmlformats.org/officeDocument/2006/relationships/hyperlink" Target="https://doi.org/10.1212/WNL.0000000000002891" TargetMode="External"/><Relationship Id="rIdsme5cilbogvygnmt2sehq" Type="http://schemas.openxmlformats.org/officeDocument/2006/relationships/hyperlink" Target="https://doi.org/10.1212/WNL.0000000000002891" TargetMode="External"/><Relationship Id="rId-htgzrx3wshu1ovnqkoxu" Type="http://schemas.openxmlformats.org/officeDocument/2006/relationships/hyperlink" Target="https://doi.org/10.1002/ana.24370" TargetMode="External"/><Relationship Id="rId37c54ajihcqmiiqjvc-il" Type="http://schemas.openxmlformats.org/officeDocument/2006/relationships/hyperlink" Target="https://doi.org/10.1002/ana.24370" TargetMode="External"/><Relationship Id="rIdt3dk6y-ufxidn0otpvyk3" Type="http://schemas.openxmlformats.org/officeDocument/2006/relationships/hyperlink" Target="https://doi.org/10.1016/j.nmd.2015.09.012" TargetMode="External"/><Relationship Id="rIdw182v7vbpnoey67ucdwhb" Type="http://schemas.openxmlformats.org/officeDocument/2006/relationships/hyperlink" Target="https://doi.org/10.1016/j.nmd.2015.09.012" TargetMode="External"/><Relationship Id="rIdwjigbflma0g7x1suf6hjn" Type="http://schemas.openxmlformats.org/officeDocument/2006/relationships/hyperlink" Target="https://doi.org/10.1016/j.nmd.2016.01.003" TargetMode="External"/><Relationship Id="rIdnor0lbfgbee7_cdhe8oh5" Type="http://schemas.openxmlformats.org/officeDocument/2006/relationships/hyperlink" Target="https://doi.org/10.1016/j.nmd.2016.01.003" TargetMode="External"/><Relationship Id="rIdzysxwo2mqfrv_0geroybe" Type="http://schemas.openxmlformats.org/officeDocument/2006/relationships/hyperlink" Target="https://doi.org/10.1016/S2352-4642(18)30179-2" TargetMode="External"/><Relationship Id="rIdceonbvdviqqeqq0a0rytx" Type="http://schemas.openxmlformats.org/officeDocument/2006/relationships/hyperlink" Target="https://doi.org/10.1016/S2352-4642(18)30179-2" TargetMode="External"/><Relationship Id="rId7hi8kunmdpwzethv3andg" Type="http://schemas.openxmlformats.org/officeDocument/2006/relationships/hyperlink" Target="https://doi.org/10.1002/ajmg.10660" TargetMode="External"/><Relationship Id="rIdjfpzkandyci8k8zfvp5je" Type="http://schemas.openxmlformats.org/officeDocument/2006/relationships/hyperlink" Target="https://doi.org/10.1002/ajmg.10660" TargetMode="External"/><Relationship Id="rIdye1_lsy2us6lynw023xej" Type="http://schemas.openxmlformats.org/officeDocument/2006/relationships/hyperlink" Target="https://doi.org/10.1056/NEJMoa1712649" TargetMode="External"/><Relationship Id="rId17n1k-nuhzo0ylsrwdcqv" Type="http://schemas.openxmlformats.org/officeDocument/2006/relationships/hyperlink" Target="https://doi.org/10.1056/NEJMoa1712649" TargetMode="External"/><Relationship Id="rId4gs-leuqeo_gyyzqa0ak0" Type="http://schemas.openxmlformats.org/officeDocument/2006/relationships/hyperlink" Target="https://doi.org/10.1002/cam4.815" TargetMode="External"/><Relationship Id="rIdap97uci3yw1cvsmty-5iw" Type="http://schemas.openxmlformats.org/officeDocument/2006/relationships/hyperlink" Target="https://doi.org/10.1002/cam4.815" TargetMode="External"/><Relationship Id="rIdmvyvswljocsgozkiwqd9y" Type="http://schemas.openxmlformats.org/officeDocument/2006/relationships/hyperlink" Target="https://doi.org/10.1016/j.jaad.2012.09.036" TargetMode="External"/><Relationship Id="rIdlsqhwps3pq_sug9opv3xm" Type="http://schemas.openxmlformats.org/officeDocument/2006/relationships/hyperlink" Target="https://doi.org/10.1016/j.jaad.2012.09.036" TargetMode="External"/><Relationship Id="rIdipoj4afxlg5j5flytw73y" Type="http://schemas.openxmlformats.org/officeDocument/2006/relationships/hyperlink" Target="https://doi.org/10.1200/JCO.2016.67.3301" TargetMode="External"/><Relationship Id="rIdei39bgpndc20nzyhnxwtk" Type="http://schemas.openxmlformats.org/officeDocument/2006/relationships/hyperlink" Target="https://doi.org/10.1200/JCO.2016.67.3301" TargetMode="External"/><Relationship Id="rIdd2w3kkskbph9k5ybch_xi" Type="http://schemas.openxmlformats.org/officeDocument/2006/relationships/hyperlink" Target="https://doi.org/10.1016/S1470-2045(12)70580-6" TargetMode="External"/><Relationship Id="rIdanm944sm9cago_-hyedm0" Type="http://schemas.openxmlformats.org/officeDocument/2006/relationships/hyperlink" Target="https://doi.org/10.1016/S1470-2045(12)70580-6" TargetMode="External"/><Relationship Id="rIdilgufsec6qznngfdcqiqt" Type="http://schemas.openxmlformats.org/officeDocument/2006/relationships/hyperlink" Target="https://doi.org/10.1182/blood-2017-03-769620" TargetMode="External"/><Relationship Id="rIdnsiis5uu2lttzyoqu2jey" Type="http://schemas.openxmlformats.org/officeDocument/2006/relationships/hyperlink" Target="https://doi.org/10.1182/blood-2017-03-769620" TargetMode="External"/><Relationship Id="rIdmepcze8fsgiupkpdsggvs" Type="http://schemas.openxmlformats.org/officeDocument/2006/relationships/hyperlink" Target="https://doi.org/10.1056/NEJMoa1613683" TargetMode="External"/><Relationship Id="rIdku9jrqte-6m2ote7graie" Type="http://schemas.openxmlformats.org/officeDocument/2006/relationships/hyperlink" Target="https://doi.org/10.1056/NEJMoa1613683" TargetMode="External"/><Relationship Id="rIdweqynok6vee-kjicqyl9t" Type="http://schemas.openxmlformats.org/officeDocument/2006/relationships/hyperlink" Target="https://doi.org/10.1158/1078-0432.CCR-14-3212" TargetMode="External"/><Relationship Id="rIdizfj1zuryv6qwbortox1r" Type="http://schemas.openxmlformats.org/officeDocument/2006/relationships/hyperlink" Target="https://doi.org/10.1158/1078-0432.CCR-14-3212" TargetMode="External"/><Relationship Id="rId0_sezraumvyqjna7dwk-v" Type="http://schemas.openxmlformats.org/officeDocument/2006/relationships/hyperlink" Target="https://doi.org/10.1212/WNL.0000000000000741" TargetMode="External"/><Relationship Id="rIdpk0rnh09xcbqjol_dnikk" Type="http://schemas.openxmlformats.org/officeDocument/2006/relationships/hyperlink" Target="https://doi.org/10.1212/WNL.0000000000000741" TargetMode="External"/><Relationship Id="rIdtc3lq-hgqnr3_2fhqawut" Type="http://schemas.openxmlformats.org/officeDocument/2006/relationships/hyperlink" Target="https://doi.org/10.1002/ana.25101" TargetMode="External"/><Relationship Id="rId5ykhtrdtutsms09pzv5ka" Type="http://schemas.openxmlformats.org/officeDocument/2006/relationships/hyperlink" Target="https://doi.org/10.1002/ana.25101" TargetMode="External"/><Relationship Id="rIdkpaciscxvsw8rhdpsyrvq" Type="http://schemas.openxmlformats.org/officeDocument/2006/relationships/hyperlink" Target="https://doi.org/10.1016/j.nmd.2016.10.002" TargetMode="External"/><Relationship Id="rIdl8bije7lygaf1eylyfhbv" Type="http://schemas.openxmlformats.org/officeDocument/2006/relationships/hyperlink" Target="https://doi.org/10.1016/j.nmd.2016.10.002" TargetMode="External"/><Relationship Id="rId_twzhhucm3pktpyw8wgk7" Type="http://schemas.openxmlformats.org/officeDocument/2006/relationships/hyperlink" Target="https://doi.org/10.1158/1078-0432.CCR-11-3025" TargetMode="External"/><Relationship Id="rIdm39r0jsjejcz69l3ovnfl" Type="http://schemas.openxmlformats.org/officeDocument/2006/relationships/hyperlink" Target="https://doi.org/10.1158/1078-0432.CCR-11-3025" TargetMode="External"/><Relationship Id="rIdsbujizs8kxj1pw-tpqqao" Type="http://schemas.openxmlformats.org/officeDocument/2006/relationships/hyperlink" Target="https://doi.org/10.1016/j.ejca.2017.02.007" TargetMode="External"/><Relationship Id="rId_iispwaa2bvlhjp51k8t_" Type="http://schemas.openxmlformats.org/officeDocument/2006/relationships/hyperlink" Target="https://doi.org/10.1016/j.ejca.2017.02.007" TargetMode="External"/><Relationship Id="rIdc1vxe1yuiufyxgt4z2zps" Type="http://schemas.openxmlformats.org/officeDocument/2006/relationships/hyperlink" Target="https://doi.org/10.1212/01.wnl.0000250332.89420.e6" TargetMode="External"/><Relationship Id="rIdk2rlbczcdd0zppxremj-q" Type="http://schemas.openxmlformats.org/officeDocument/2006/relationships/hyperlink" Target="https://doi.org/10.1212/01.wnl.0000250332.89420.e6" TargetMode="External"/><Relationship Id="rIdzmhy2qshusyrxbfotqtsk" Type="http://schemas.openxmlformats.org/officeDocument/2006/relationships/hyperlink" Target="https://doi.org/10.1093/neuonc/noy067" TargetMode="External"/><Relationship Id="rIddxd-elknlazpz_9fx_oxw" Type="http://schemas.openxmlformats.org/officeDocument/2006/relationships/hyperlink" Target="https://doi.org/10.1093/neuonc/noy067" TargetMode="External"/><Relationship Id="rId9lf4grc2k2al68o45ralm" Type="http://schemas.openxmlformats.org/officeDocument/2006/relationships/hyperlink" Target="https://doi.org/10.1093/neuonc/noaa053" TargetMode="External"/><Relationship Id="rIdmma8z4ro7j84scxsx8tlv" Type="http://schemas.openxmlformats.org/officeDocument/2006/relationships/hyperlink" Target="https://doi.org/10.1093/neuonc/noaa053" TargetMode="External"/><Relationship Id="rIdtgvixjc5wo_vdbm9xl-p6" Type="http://schemas.openxmlformats.org/officeDocument/2006/relationships/hyperlink" Target="https://doi.org/10.1212/01.wnl.0000435744.57038.af" TargetMode="External"/><Relationship Id="rIdhlxsakltkttetleyynugy" Type="http://schemas.openxmlformats.org/officeDocument/2006/relationships/hyperlink" Target="https://doi.org/10.1212/01.wnl.0000435744.57038.af" TargetMode="External"/><Relationship Id="rIdqipqtfm0--diayokzm8mj" Type="http://schemas.openxmlformats.org/officeDocument/2006/relationships/hyperlink" Target="https://doi.org/10.1093/noajnl/vdaf101" TargetMode="External"/><Relationship Id="rIdbcixzfwu25hae9uhfqpqp" Type="http://schemas.openxmlformats.org/officeDocument/2006/relationships/hyperlink" Target="https://doi.org/10.1093/noajnl/vdaf101" TargetMode="External"/><Relationship Id="rIdtaw6go-1b32yocm8ziayq" Type="http://schemas.openxmlformats.org/officeDocument/2006/relationships/hyperlink" Target="https://doi.org/10.1093/annonc/mdu162" TargetMode="External"/><Relationship Id="rId4nrab7sxehyv_lz5ozt1p" Type="http://schemas.openxmlformats.org/officeDocument/2006/relationships/hyperlink" Target="https://doi.org/10.1093/annonc/mdu162" TargetMode="External"/><Relationship Id="rIdxiz__705cc6zuxy-lkpre" Type="http://schemas.openxmlformats.org/officeDocument/2006/relationships/hyperlink" Target="https://doi.org/10.1200/PO.17.00080" TargetMode="External"/><Relationship Id="rIdvq0evqmjmrilc6ihdx8dj" Type="http://schemas.openxmlformats.org/officeDocument/2006/relationships/hyperlink" Target="https://doi.org/10.1200/PO.17.00080" TargetMode="External"/><Relationship Id="rIdrdgsy8gosqc3yfibtdksy" Type="http://schemas.openxmlformats.org/officeDocument/2006/relationships/hyperlink" Target="https://doi.org/10.1212/WNL.0000000000001317" TargetMode="External"/><Relationship Id="rId9rt52oweswhl4p7eg-c00" Type="http://schemas.openxmlformats.org/officeDocument/2006/relationships/hyperlink" Target="https://doi.org/10.1212/WNL.0000000000001317" TargetMode="External"/><Relationship Id="rIdzlga46lrlj_h_jmi9hl2u" Type="http://schemas.openxmlformats.org/officeDocument/2006/relationships/hyperlink" Target="https://doi.org/10.1016/j.ymgme.2015.11.010" TargetMode="External"/><Relationship Id="rIdpwrccflpuiuozehrkai1j" Type="http://schemas.openxmlformats.org/officeDocument/2006/relationships/hyperlink" Target="https://doi.org/10.1016/j.ymgme.2015.11.010" TargetMode="External"/><Relationship Id="rIdooyeaazu6qypgrjxe-iq7" Type="http://schemas.openxmlformats.org/officeDocument/2006/relationships/hyperlink" Target="https://doi.org/10.1016/S0140-6736(03)13643-4" TargetMode="External"/><Relationship Id="rIdbx3uw7v3ws_jsewqtbf9e" Type="http://schemas.openxmlformats.org/officeDocument/2006/relationships/hyperlink" Target="https://doi.org/10.1016/S0140-6736(03)13643-4" TargetMode="External"/><Relationship Id="rIdnx5py7cpk0gtvgrh7t9gz" Type="http://schemas.openxmlformats.org/officeDocument/2006/relationships/hyperlink" Target="https://doi.org/10.1016/S1470-2045(18)30487-X" TargetMode="External"/><Relationship Id="rId5501gfeg5nnn_b9jxtzwh" Type="http://schemas.openxmlformats.org/officeDocument/2006/relationships/hyperlink" Target="https://doi.org/10.1016/S1470-2045(18)30487-X" TargetMode="External"/><Relationship Id="rIdwh1jjk2ytdi3xahe2_1r9" Type="http://schemas.openxmlformats.org/officeDocument/2006/relationships/hyperlink" Target="https://doi.org/10.1038/ejhg.2010.175" TargetMode="External"/><Relationship Id="rId7pgvdq3ntkyl8udwzg6p5" Type="http://schemas.openxmlformats.org/officeDocument/2006/relationships/hyperlink" Target="https://doi.org/10.1038/ejhg.2010.175" TargetMode="External"/><Relationship Id="rIdhv_in83zbwzq8xr9v5xr-" Type="http://schemas.openxmlformats.org/officeDocument/2006/relationships/hyperlink" Target="https://doi.org/10.1182/blood-2013-04-499616" TargetMode="External"/><Relationship Id="rIdjsal2kyoegq6s772js4z9" Type="http://schemas.openxmlformats.org/officeDocument/2006/relationships/hyperlink" Target="https://doi.org/10.1182/blood-2013-04-499616" TargetMode="External"/><Relationship Id="rId_bf6eohg9puwtatsgeua0" Type="http://schemas.openxmlformats.org/officeDocument/2006/relationships/hyperlink" Target="https://doi.org/10.1016/j.bbmt.2015.02.025" TargetMode="External"/><Relationship Id="rIdv4y-u1au6ekgxmi_yz0xl" Type="http://schemas.openxmlformats.org/officeDocument/2006/relationships/hyperlink" Target="https://doi.org/10.1016/j.bbmt.2015.02.025" TargetMode="External"/><Relationship Id="rIdofpripvfrfxpt94z0fdxy" Type="http://schemas.openxmlformats.org/officeDocument/2006/relationships/hyperlink" Target="https://doi.org/10.1038/sj.bmt.1703650" TargetMode="External"/><Relationship Id="rIdpkecfojjik8rnn-dmn7o8" Type="http://schemas.openxmlformats.org/officeDocument/2006/relationships/hyperlink" Target="https://doi.org/10.1038/sj.bmt.1703650" TargetMode="External"/><Relationship Id="rIdv0ha4lk9osxz30jn7ugkt" Type="http://schemas.openxmlformats.org/officeDocument/2006/relationships/hyperlink" Target="https://doi.org/10.1016/j.bbmt.2014.10.024" TargetMode="External"/><Relationship Id="rIdhz40_8o1lhl4n7h17nwrh" Type="http://schemas.openxmlformats.org/officeDocument/2006/relationships/hyperlink" Target="https://doi.org/10.1016/j.bbmt.2014.10.024" TargetMode="External"/><Relationship Id="rIdqqxwme09nxzekjwvtjxfr" Type="http://schemas.openxmlformats.org/officeDocument/2006/relationships/hyperlink" Target="https://doi.org/10.1002/ajmg.a.36836" TargetMode="External"/><Relationship Id="rId0amo-bt-v8lr43pq2duz2" Type="http://schemas.openxmlformats.org/officeDocument/2006/relationships/hyperlink" Target="https://doi.org/10.1002/ajmg.a.36836" TargetMode="External"/><Relationship Id="rId5tg7dqbvg2idho-upy-1k" Type="http://schemas.openxmlformats.org/officeDocument/2006/relationships/hyperlink" Target="https://doi.org/10.1038/s41586-018-0217-9" TargetMode="External"/><Relationship Id="rIdlnk0wpji6iv6d24ljutqx" Type="http://schemas.openxmlformats.org/officeDocument/2006/relationships/hyperlink" Target="https://doi.org/10.1038/s41586-018-0217-9" TargetMode="External"/><Relationship Id="rIdlvpeqlzakvfpgt3wsz4_i" Type="http://schemas.openxmlformats.org/officeDocument/2006/relationships/hyperlink" Target="https://doi.org/10.1186/1750-1172-3-11" TargetMode="External"/><Relationship Id="rIdqvxg1qj8btyvrddct6arc" Type="http://schemas.openxmlformats.org/officeDocument/2006/relationships/hyperlink" Target="https://doi.org/10.1186/1750-1172-3-11" TargetMode="External"/><Relationship Id="rId7c7dpmxheelon0btvkml5" Type="http://schemas.openxmlformats.org/officeDocument/2006/relationships/hyperlink" Target="https://doi.org/10.3324/haematol.2012.066845" TargetMode="External"/><Relationship Id="rIdy2slmtbgzwzmcowxz7h7x" Type="http://schemas.openxmlformats.org/officeDocument/2006/relationships/hyperlink" Target="https://doi.org/10.3324/haematol.2012.066845" TargetMode="External"/><Relationship Id="rId-h-wdk_7_h_ah3csdm0fa" Type="http://schemas.openxmlformats.org/officeDocument/2006/relationships/hyperlink" Target="https://doi.org/10.1111/bjh.12631" TargetMode="External"/><Relationship Id="rIdxrmq1-pcrb0wfn1m9kgxg" Type="http://schemas.openxmlformats.org/officeDocument/2006/relationships/hyperlink" Target="https://doi.org/10.1111/bjh.12631" TargetMode="External"/><Relationship Id="rId-s-acqrafwual5fpaugle" Type="http://schemas.openxmlformats.org/officeDocument/2006/relationships/hyperlink" Target="https://doi.org/10.1016/S1474-4422(07)70177-1" TargetMode="External"/><Relationship Id="rIdqdiqbcvghuarqsqu3ftdm" Type="http://schemas.openxmlformats.org/officeDocument/2006/relationships/hyperlink" Target="https://doi.org/10.1016/S1474-4422(07)70177-1" TargetMode="External"/><Relationship Id="rIds0h5nsx4g9fax3fd8fj_c" Type="http://schemas.openxmlformats.org/officeDocument/2006/relationships/hyperlink" Target="https://doi.org/10.1016/j.bbmt.2018.09.036" TargetMode="External"/><Relationship Id="rIdje9bd_tw3ws1lyzdtagak" Type="http://schemas.openxmlformats.org/officeDocument/2006/relationships/hyperlink" Target="https://doi.org/10.1016/j.bbmt.2018.09.036" TargetMode="External"/><Relationship Id="rIdtzvvypbcu116lhgv6t2s0" Type="http://schemas.openxmlformats.org/officeDocument/2006/relationships/hyperlink" Target="https://doi.org/10.1212/WNL.0000000000009626" TargetMode="External"/><Relationship Id="rIdmweuepkrpczantrjyxqmu" Type="http://schemas.openxmlformats.org/officeDocument/2006/relationships/hyperlink" Target="https://doi.org/10.1212/WNL.0000000000009626" TargetMode="External"/><Relationship Id="rIdbvar7s-pk6qqlbbotdvgc" Type="http://schemas.openxmlformats.org/officeDocument/2006/relationships/hyperlink" Target="https://doi.org/10.7326/M19-1208" TargetMode="External"/><Relationship Id="rIdj3459i8vvs-mfm1gco5gd" Type="http://schemas.openxmlformats.org/officeDocument/2006/relationships/hyperlink" Target="https://doi.org/10.7326/M19-1208" TargetMode="External"/><Relationship Id="rIdv1a7kc2f387jdkldpkhdt" Type="http://schemas.openxmlformats.org/officeDocument/2006/relationships/hyperlink" Target="https://doi.org/10.1186/s13023-017-0660-y" TargetMode="External"/><Relationship Id="rIdvtezul8kmaxdtzzanvg7b" Type="http://schemas.openxmlformats.org/officeDocument/2006/relationships/hyperlink" Target="https://doi.org/10.1186/s13023-017-0660-y" TargetMode="External"/><Relationship Id="rIdqdvczvzn61hpwgpcmp8ok" Type="http://schemas.openxmlformats.org/officeDocument/2006/relationships/hyperlink" Target="https://doi.org/10.1111/j.1365-2516.2008.01717.x" TargetMode="External"/><Relationship Id="rIdljcu0_jc2j8-alo3k6pik" Type="http://schemas.openxmlformats.org/officeDocument/2006/relationships/hyperlink" Target="https://doi.org/10.1111/j.1365-2516.2008.01717.x" TargetMode="External"/><Relationship Id="rIdhklt_oxyfqu81fb7saxtp" Type="http://schemas.openxmlformats.org/officeDocument/2006/relationships/hyperlink" Target="https://doi.org/10.1200/JCO.2015.64.4070" TargetMode="External"/><Relationship Id="rIdl5qvyp7xpuu9mtcdig5qh" Type="http://schemas.openxmlformats.org/officeDocument/2006/relationships/hyperlink" Target="https://doi.org/10.1200/JCO.2015.64.4070" TargetMode="External"/><Relationship Id="rIdowjktyzgnjrvbbsblgdta" Type="http://schemas.openxmlformats.org/officeDocument/2006/relationships/hyperlink" Target="https://doi.org/10.3233/BLC-159002" TargetMode="External"/><Relationship Id="rIdnr81ywxb9n-qgyvcsqkuw" Type="http://schemas.openxmlformats.org/officeDocument/2006/relationships/hyperlink" Target="https://doi.org/10.3233/BLC-159002" TargetMode="External"/><Relationship Id="rIdyrubfqahtptcvi_rx0a9n" Type="http://schemas.openxmlformats.org/officeDocument/2006/relationships/hyperlink" Target="https://doi.org/10.1210/jc.2013-1589" TargetMode="External"/><Relationship Id="rIdcwob18khv0sfzzazq9vgh" Type="http://schemas.openxmlformats.org/officeDocument/2006/relationships/hyperlink" Target="https://doi.org/10.1210/jc.2013-1589" TargetMode="External"/><Relationship Id="rIdhim1ekpbqdblevlc9va3t" Type="http://schemas.openxmlformats.org/officeDocument/2006/relationships/hyperlink" Target="https://doi.org/10.2337/diacare.10.5.617" TargetMode="External"/><Relationship Id="rIdzyapblrjamn3aueu6btvo" Type="http://schemas.openxmlformats.org/officeDocument/2006/relationships/hyperlink" Target="https://doi.org/10.2337/diacare.10.5.617" TargetMode="External"/><Relationship Id="rIde8iqr849ehxrzslrhsgd1" Type="http://schemas.openxmlformats.org/officeDocument/2006/relationships/hyperlink" Target="https://doi.org/10.2337/diacare.18.4.517" TargetMode="External"/><Relationship Id="rId_vkx2clgjul-ljdxgug5z" Type="http://schemas.openxmlformats.org/officeDocument/2006/relationships/hyperlink" Target="https://doi.org/10.2337/diacare.18.4.517" TargetMode="External"/><Relationship Id="rIdrlinsh7y55anj_hyeunrv" Type="http://schemas.openxmlformats.org/officeDocument/2006/relationships/hyperlink" Target="https://doi.org/10.2337/dc15-1988" TargetMode="External"/><Relationship Id="rIdezrkzd0-ocx3rc8tkjlnr" Type="http://schemas.openxmlformats.org/officeDocument/2006/relationships/hyperlink" Target="https://doi.org/10.2337/dc15-1988" TargetMode="External"/><Relationship Id="rId8ncw5kb_mbhvcipvjgnns" Type="http://schemas.openxmlformats.org/officeDocument/2006/relationships/hyperlink" Target="https://doi.org/10.1056/NEJM199406093302303" TargetMode="External"/><Relationship Id="rIdh52uq5ow2eoc7fmnkgxen" Type="http://schemas.openxmlformats.org/officeDocument/2006/relationships/hyperlink" Target="https://doi.org/10.1056/NEJM199406093302303" TargetMode="External"/><Relationship Id="rIdset2jlo0govu938cmsgks" Type="http://schemas.openxmlformats.org/officeDocument/2006/relationships/hyperlink" Target="https://doi.org/10.1001/jama.2010.378" TargetMode="External"/><Relationship Id="rIdtogrqxbvksua4pzdsuxnn" Type="http://schemas.openxmlformats.org/officeDocument/2006/relationships/hyperlink" Target="https://doi.org/10.1001/jama.2010.378" TargetMode="External"/><Relationship Id="rIdfadj2-o9pzhkym42lopz7" Type="http://schemas.openxmlformats.org/officeDocument/2006/relationships/hyperlink" Target="https://doi.org/10.1001/jama.2021.0411" TargetMode="External"/><Relationship Id="rIdooeegkpfix_dw_t2pwqnv" Type="http://schemas.openxmlformats.org/officeDocument/2006/relationships/hyperlink" Target="https://doi.org/10.1001/jama.2021.0411" TargetMode="External"/><Relationship Id="rIdmknxdgnbhd-njim0fwt0y" Type="http://schemas.openxmlformats.org/officeDocument/2006/relationships/hyperlink" Target="https://doi.org/10.1097/AJP.0000000000000054" TargetMode="External"/><Relationship Id="rId9xf9io5bjah2ejt5jm21u" Type="http://schemas.openxmlformats.org/officeDocument/2006/relationships/hyperlink" Target="https://doi.org/10.1097/AJP.0000000000000054" TargetMode="External"/><Relationship Id="rIdcdeixdl1t8xt0uy1jlqvb" Type="http://schemas.openxmlformats.org/officeDocument/2006/relationships/hyperlink" Target="https://doi.org/10.1002/ajh.25880" TargetMode="External"/><Relationship Id="rIdk4hvt0cqmiyxsfn-vbb2a" Type="http://schemas.openxmlformats.org/officeDocument/2006/relationships/hyperlink" Target="https://doi.org/10.1002/ajh.25880" TargetMode="External"/><Relationship Id="rIdkwvsstk8kpgubwniesmo4" Type="http://schemas.openxmlformats.org/officeDocument/2006/relationships/hyperlink" Target="https://doi.org/10.1016/S0140-6736(16)30374-9" TargetMode="External"/><Relationship Id="rIdvkbw2a7quat_bwba6-lr8" Type="http://schemas.openxmlformats.org/officeDocument/2006/relationships/hyperlink" Target="https://doi.org/10.1016/S0140-6736(16)30374-9" TargetMode="External"/><Relationship Id="rIdjkqpjtfr7jg_kyherdypt" Type="http://schemas.openxmlformats.org/officeDocument/2006/relationships/hyperlink" Target="https://doi.org/10.1111/j.1469-8749.2010.03821.x" TargetMode="External"/><Relationship Id="rIdwprs096tn7om7mzhz9muc" Type="http://schemas.openxmlformats.org/officeDocument/2006/relationships/hyperlink" Target="https://doi.org/10.1111/j.1469-8749.2010.03821.x" TargetMode="External"/><Relationship Id="rIdcqdqg04gjarsfg23vwlg-" Type="http://schemas.openxmlformats.org/officeDocument/2006/relationships/hyperlink" Target="https://doi.org/10.1016/S0140-6736(21)02017-1" TargetMode="External"/><Relationship Id="rIdhe13v6t_jnuy-76xzd3uu" Type="http://schemas.openxmlformats.org/officeDocument/2006/relationships/hyperlink" Target="https://doi.org/10.1016/S0140-6736(21)02017-1" TargetMode="External"/><Relationship Id="rId5kqo7cxgmoh3nbykzgdcx" Type="http://schemas.openxmlformats.org/officeDocument/2006/relationships/hyperlink" Target="https://doi.org/10.1186/s13023-016-0522-z" TargetMode="External"/><Relationship Id="rIdemaziorg5oqkgobvwrfzm" Type="http://schemas.openxmlformats.org/officeDocument/2006/relationships/hyperlink" Target="https://doi.org/10.1186/s13023-016-0522-z" TargetMode="External"/><Relationship Id="rIdvjh57busydeg09d9amzqr" Type="http://schemas.openxmlformats.org/officeDocument/2006/relationships/hyperlink" Target="https://doi.org/10.1007/8904_2017_54" TargetMode="External"/><Relationship Id="rIdcjr6e8dcyncikaww2lyoh" Type="http://schemas.openxmlformats.org/officeDocument/2006/relationships/hyperlink" Target="https://doi.org/10.1007/8904_2017_54" TargetMode="External"/><Relationship Id="rIdyef3nw_shoa5mdbbyd5hw" Type="http://schemas.openxmlformats.org/officeDocument/2006/relationships/hyperlink" Target="https://doi.org/10.1016/j.ymthe.2021.11.005" TargetMode="External"/><Relationship Id="rId-jydmt-9ifg5yc8lebwsa" Type="http://schemas.openxmlformats.org/officeDocument/2006/relationships/hyperlink" Target="https://doi.org/10.1016/j.ymthe.2021.11.005" TargetMode="External"/><Relationship Id="rId2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Pre-Approval HEOR Evidence Supporting FDA Single-Arm Trial Approvals</dc:title>
  <dc:creator>Claude</dc:creator>
  <cp:lastModifiedBy>Un-named</cp:lastModifiedBy>
  <cp:revision>1</cp:revision>
  <dcterms:created xsi:type="dcterms:W3CDTF">2026-04-28T17:52:59.288Z</dcterms:created>
  <dcterms:modified xsi:type="dcterms:W3CDTF">2026-04-28T17:52:59.288Z</dcterms:modified>
</cp:coreProperties>
</file>

<file path=docProps/custom.xml><?xml version="1.0" encoding="utf-8"?>
<Properties xmlns="http://schemas.openxmlformats.org/officeDocument/2006/custom-properties" xmlns:vt="http://schemas.openxmlformats.org/officeDocument/2006/docPropsVTypes"/>
</file>