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480b400bf05cef7453165b79c9c66c2e5504c6f"/>
    <w:p>
      <w:pPr>
        <w:pStyle w:val="Heading1"/>
      </w:pPr>
      <w:r>
        <w:t xml:space="preserve">FDA Single-Arm Trial Approvals in the Last Decade</w:t>
      </w:r>
    </w:p>
    <w:bookmarkStart w:id="23" w:name="executive-summary"/>
    <w:p>
      <w:pPr>
        <w:pStyle w:val="Heading2"/>
      </w:pPr>
      <w:r>
        <w:t xml:space="preserve">Executive summary</w:t>
      </w:r>
    </w:p>
    <w:p>
      <w:pPr>
        <w:pStyle w:val="FirstParagraph"/>
      </w:pPr>
      <w:r>
        <w:t xml:space="preserve">Using a</w:t>
      </w:r>
      <w:r>
        <w:t xml:space="preserve"> </w:t>
      </w:r>
      <w:r>
        <w:rPr>
          <w:b/>
          <w:bCs/>
        </w:rPr>
        <w:t xml:space="preserve">treatment-level scope</w:t>
      </w:r>
      <w:r>
        <w:t xml:space="preserve"> </w:t>
      </w:r>
      <w:r>
        <w:t xml:space="preserve">rather than an indication-level scope, I reviewed FDA therapeutic approvals from</w:t>
      </w:r>
      <w:r>
        <w:t xml:space="preserve"> </w:t>
      </w:r>
      <w:r>
        <w:rPr>
          <w:b/>
          <w:bCs/>
        </w:rPr>
        <w:t xml:space="preserve">April 27, 2016 through April 27, 2026</w:t>
      </w:r>
      <w:r>
        <w:t xml:space="preserve"> </w:t>
      </w:r>
      <w:r>
        <w:t xml:space="preserve">and focused on products whose</w:t>
      </w:r>
      <w:r>
        <w:t xml:space="preserve"> </w:t>
      </w:r>
      <w:r>
        <w:rPr>
          <w:b/>
          <w:bCs/>
        </w:rPr>
        <w:t xml:space="preserve">first FDA approval</w:t>
      </w:r>
      <w:r>
        <w:t xml:space="preserve"> </w:t>
      </w:r>
      <w:r>
        <w:t xml:space="preserve">was supported by</w:t>
      </w:r>
      <w:r>
        <w:t xml:space="preserve"> </w:t>
      </w:r>
      <w:r>
        <w:rPr>
          <w:b/>
          <w:bCs/>
        </w:rPr>
        <w:t xml:space="preserve">single-arm clinical evidence only</w:t>
      </w:r>
      <w:r>
        <w:t xml:space="preserve">, sometimes contextualized by historical or external controls. I excluded generics, biosimilars, formulation-only changes, pediatric extrapolation supplements, and products whose first approval package clearly included randomized pivotal efficacy data. I also excluded some borderline cases when the public FDA materials retrieved in this run showed a mixed package or did not let me extract the requested fields with enough confidence. The result below is therefore a</w:t>
      </w:r>
      <w:r>
        <w:t xml:space="preserve"> </w:t>
      </w:r>
      <w:r>
        <w:rPr>
          <w:b/>
          <w:bCs/>
        </w:rPr>
        <w:t xml:space="preserve">high-confidence analytical subset</w:t>
      </w:r>
      <w:r>
        <w:t xml:space="preserve">, not a complete indication-level census. The broader FDA cancer accelerated-approval lists make clear that the full universe, especially for supplemental oncology indications, is materially larger.</w:t>
      </w:r>
      <w:r>
        <w:t xml:space="preserve"> </w:t>
      </w:r>
      <w:hyperlink r:id="rId21">
        <w:r>
          <w:rPr>
            <w:rStyle w:val="Hyperlink"/>
          </w:rPr>
          <w:t xml:space="preserve">[1]</w:t>
        </w:r>
      </w:hyperlink>
    </w:p>
    <w:p>
      <w:pPr>
        <w:pStyle w:val="BodyText"/>
      </w:pPr>
      <w:r>
        <w:t xml:space="preserve">The central pattern is consistent across the subset and across the broader FDA lists. The FDA is most willing to accept a single-arm evidentiary package when three conditions are simultaneously present: the disease is</w:t>
      </w:r>
      <w:r>
        <w:t xml:space="preserve"> </w:t>
      </w:r>
      <w:r>
        <w:rPr>
          <w:b/>
          <w:bCs/>
        </w:rPr>
        <w:t xml:space="preserve">serious or life-threatening</w:t>
      </w:r>
      <w:r>
        <w:t xml:space="preserve">, the</w:t>
      </w:r>
      <w:r>
        <w:t xml:space="preserve"> </w:t>
      </w:r>
      <w:r>
        <w:rPr>
          <w:b/>
          <w:bCs/>
        </w:rPr>
        <w:t xml:space="preserve">counterfactual is clinically interpretable without concurrent randomization</w:t>
      </w:r>
      <w:r>
        <w:t xml:space="preserve">, and the observed effect is either</w:t>
      </w:r>
      <w:r>
        <w:t xml:space="preserve"> </w:t>
      </w:r>
      <w:r>
        <w:rPr>
          <w:b/>
          <w:bCs/>
        </w:rPr>
        <w:t xml:space="preserve">dramatic</w:t>
      </w:r>
      <w:r>
        <w:t xml:space="preserve"> </w:t>
      </w:r>
      <w:r>
        <w:t xml:space="preserve">or measured on a</w:t>
      </w:r>
      <w:r>
        <w:t xml:space="preserve"> </w:t>
      </w:r>
      <w:r>
        <w:rPr>
          <w:b/>
          <w:bCs/>
        </w:rPr>
        <w:t xml:space="preserve">surrogate / intermediate endpoint</w:t>
      </w:r>
      <w:r>
        <w:t xml:space="preserve"> </w:t>
      </w:r>
      <w:r>
        <w:t xml:space="preserve">that FDA considered reasonably likely to predict benefit. In oncology, that usually means</w:t>
      </w:r>
      <w:r>
        <w:t xml:space="preserve"> </w:t>
      </w:r>
      <w:r>
        <w:rPr>
          <w:b/>
          <w:bCs/>
        </w:rPr>
        <w:t xml:space="preserve">ORR and DOR</w:t>
      </w:r>
      <w:r>
        <w:t xml:space="preserve"> </w:t>
      </w:r>
      <w:r>
        <w:t xml:space="preserve">in biomarker-defined refractory populations. In rare disease and advanced therapy, it more often means</w:t>
      </w:r>
      <w:r>
        <w:t xml:space="preserve"> </w:t>
      </w:r>
      <w:r>
        <w:rPr>
          <w:b/>
          <w:bCs/>
        </w:rPr>
        <w:t xml:space="preserve">survival, motor milestone, transfusion independence, bleed reduction, or natural-history divergence</w:t>
      </w:r>
      <w:r>
        <w:t xml:space="preserve">, often with external controls or historical comparators.</w:t>
      </w:r>
      <w:r>
        <w:t xml:space="preserve"> </w:t>
      </w:r>
      <w:hyperlink r:id="rId22">
        <w:r>
          <w:rPr>
            <w:rStyle w:val="Hyperlink"/>
          </w:rPr>
          <w:t xml:space="preserve">[2]</w:t>
        </w:r>
      </w:hyperlink>
    </w:p>
    <w:p>
      <w:pPr>
        <w:pStyle w:val="BodyText"/>
      </w:pPr>
      <w:r>
        <w:t xml:space="preserve">Across the broader regulatory landscape, two clusters dominate. One is</w:t>
      </w:r>
      <w:r>
        <w:t xml:space="preserve"> </w:t>
      </w:r>
      <w:r>
        <w:rPr>
          <w:b/>
          <w:bCs/>
        </w:rPr>
        <w:t xml:space="preserve">precision oncology</w:t>
      </w:r>
      <w:r>
        <w:t xml:space="preserve">, where single-arm approvals are concentrated in rare molecular subsets or heavily pretreated cancers. The other is</w:t>
      </w:r>
      <w:r>
        <w:t xml:space="preserve"> </w:t>
      </w:r>
      <w:r>
        <w:rPr>
          <w:b/>
          <w:bCs/>
        </w:rPr>
        <w:t xml:space="preserve">ultra-rare genetic disease and advanced cell/gene therapy</w:t>
      </w:r>
      <w:r>
        <w:t xml:space="preserve">, where randomization is often infeasible or ethically unattractive and disease natural history is unusually well characterized. FDA primary documents repeatedly invoke unmet need, rarity, first-in-disease treatment status, and the impracticality of running adequately powered randomized trials.</w:t>
      </w:r>
      <w:r>
        <w:t xml:space="preserve"> </w:t>
      </w:r>
      <w:hyperlink r:id="rId21">
        <w:r>
          <w:rPr>
            <w:rStyle w:val="Hyperlink"/>
          </w:rPr>
          <w:t xml:space="preserve">[3]</w:t>
        </w:r>
      </w:hyperlink>
    </w:p>
    <w:bookmarkEnd w:id="23"/>
    <w:bookmarkStart w:id="25" w:name="scope-and-method"/>
    <w:p>
      <w:pPr>
        <w:pStyle w:val="Heading2"/>
      </w:pPr>
      <w:r>
        <w:t xml:space="preserve">Scope and method</w:t>
      </w:r>
    </w:p>
    <w:p>
      <w:pPr>
        <w:pStyle w:val="FirstParagraph"/>
      </w:pPr>
      <w:r>
        <w:t xml:space="preserve">The unit of analysis here is the</w:t>
      </w:r>
      <w:r>
        <w:t xml:space="preserve"> </w:t>
      </w:r>
      <w:r>
        <w:rPr>
          <w:b/>
          <w:bCs/>
        </w:rPr>
        <w:t xml:space="preserve">first FDA therapeutic approval of each product</w:t>
      </w:r>
      <w:r>
        <w:t xml:space="preserve"> </w:t>
      </w:r>
      <w:r>
        <w:t xml:space="preserve">in the 10-year window. That choice is deliberate. If I had instead counted every supplemental indication, the oncology portion alone would expand substantially, because FDA’s cancer accelerated-approval pages show many later single-arm indication approvals, conversions, and withdrawals for already marketed agents. Those later events are analytically important, but they are not the cleanest way to answer a request framed around “each treatment.”</w:t>
      </w:r>
      <w:r>
        <w:t xml:space="preserve"> </w:t>
      </w:r>
      <w:hyperlink r:id="rId21">
        <w:r>
          <w:rPr>
            <w:rStyle w:val="Hyperlink"/>
          </w:rPr>
          <w:t xml:space="preserve">[4]</w:t>
        </w:r>
      </w:hyperlink>
    </w:p>
    <w:p>
      <w:pPr>
        <w:pStyle w:val="BodyText"/>
      </w:pPr>
      <w:r>
        <w:t xml:space="preserve">For each included product, I prioritized</w:t>
      </w:r>
      <w:r>
        <w:t xml:space="preserve"> </w:t>
      </w:r>
      <w:r>
        <w:rPr>
          <w:b/>
          <w:bCs/>
        </w:rPr>
        <w:t xml:space="preserve">FDA labels, approval letters, Summary Basis for Regulatory Action documents, multidisciplinary or summary reviews, and FDA approval notices</w:t>
      </w:r>
      <w:r>
        <w:t xml:space="preserve">. I used FDA’s real-world-evidence page when it explicitly summarized how external controls or natural-history data were used in the approval. When the retrieved FDA excerpt did not contain an exact sample size, numerical efficacy estimate, or sponsor name, I mark that detail as</w:t>
      </w:r>
      <w:r>
        <w:t xml:space="preserve"> </w:t>
      </w:r>
      <w:r>
        <w:rPr>
          <w:b/>
          <w:bCs/>
        </w:rPr>
        <w:t xml:space="preserve">unspecified in retrieved excerpt</w:t>
      </w:r>
      <w:r>
        <w:t xml:space="preserve"> </w:t>
      </w:r>
      <w:r>
        <w:t xml:space="preserve">rather than overstate certainty.</w:t>
      </w:r>
      <w:r>
        <w:t xml:space="preserve"> </w:t>
      </w:r>
      <w:hyperlink r:id="rId24">
        <w:r>
          <w:rPr>
            <w:rStyle w:val="Hyperlink"/>
          </w:rPr>
          <w:t xml:space="preserve">[5]</w:t>
        </w:r>
      </w:hyperlink>
    </w:p>
    <w:bookmarkEnd w:id="25"/>
    <w:bookmarkStart w:id="52" w:name="X1390c57224b86dfdab6a7b09bbe5af16823af40"/>
    <w:p>
      <w:pPr>
        <w:pStyle w:val="Heading2"/>
      </w:pPr>
      <w:r>
        <w:t xml:space="preserve">High-confidence treatment-level inventory</w:t>
      </w:r>
    </w:p>
    <w:p>
      <w:pPr>
        <w:pStyle w:val="FirstParagraph"/>
      </w:pPr>
      <w:r>
        <w:rPr>
          <w:i/>
          <w:iCs/>
        </w:rPr>
        <w:t xml:space="preserve">Abbreviations used inside cells: AA = accelerated approval; TA = traditional or regular approval; ORR = objective response rate; DOR = duration of response; PMR = postmarketing requirement. “No” under randomized data means I did not identify randomized efficacy data supporting the first approval package in the retrieved FDA materials. “Supportive only” means randomized or controlled information existed, but not as the core pivotal efficacy evidence for the approved indication.</w:t>
      </w:r>
    </w:p>
    <w:bookmarkStart w:id="38" w:name="detailed-inventory"/>
    <w:p>
      <w:pPr>
        <w:pStyle w:val="Heading3"/>
      </w:pPr>
      <w:r>
        <w:t xml:space="preserve">Detailed inventory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Treatment</w:t>
            </w:r>
          </w:p>
        </w:tc>
        <w:tc>
          <w:tcPr/>
          <w:p>
            <w:pPr>
              <w:pStyle w:val="Compact"/>
            </w:pPr>
            <w:r>
              <w:t xml:space="preserve">Approval snapshot</w:t>
            </w:r>
          </w:p>
        </w:tc>
        <w:tc>
          <w:tcPr/>
          <w:p>
            <w:pPr>
              <w:pStyle w:val="Compact"/>
            </w:pPr>
            <w:r>
              <w:t xml:space="preserve">Trial and efficacy basis</w:t>
            </w:r>
          </w:p>
        </w:tc>
        <w:tc>
          <w:tcPr/>
          <w:p>
            <w:pPr>
              <w:pStyle w:val="Compact"/>
            </w:pPr>
            <w:r>
              <w:t xml:space="preserve">Safety, randomized data, pathway, and FDA rationale</w:t>
            </w:r>
          </w:p>
        </w:tc>
        <w:tc>
          <w:tcPr/>
          <w:p>
            <w:pPr>
              <w:pStyle w:val="Compact"/>
            </w:pPr>
            <w:r>
              <w:t xml:space="preserve">FDA primary docs consulted</w:t>
            </w:r>
          </w:p>
        </w:tc>
      </w:tr>
      <w:tr>
        <w:tc>
          <w:tcPr/>
          <w:p>
            <w:pPr>
              <w:pStyle w:val="Compact"/>
            </w:pPr>
            <w:r>
              <w:rPr>
                <w:b/>
                <w:bCs/>
              </w:rPr>
              <w:t xml:space="preserve">EXONDYS 51 / eteplirsen</w:t>
            </w:r>
          </w:p>
        </w:tc>
        <w:tc>
          <w:tcPr/>
          <w:p>
            <w:pPr>
              <w:pStyle w:val="Compact"/>
            </w:pPr>
            <w:r>
              <w:rPr>
                <w:b/>
                <w:bCs/>
              </w:rPr>
              <w:t xml:space="preserve">2016-09-19</w:t>
            </w:r>
            <w:r>
              <w:t xml:space="preserve">. Indication: Duchenne muscular dystrophy amenable to exon 51 skipping. Sponsor:</w:t>
            </w:r>
            <w:r>
              <w:t xml:space="preserve"> </w:t>
            </w:r>
            <w:r>
              <w:rPr>
                <w:b/>
                <w:bCs/>
              </w:rPr>
              <w:t xml:space="preserve">Sarepta</w:t>
            </w:r>
            <w:r>
              <w:t xml:space="preserve">.</w:t>
            </w:r>
          </w:p>
        </w:tc>
        <w:tc>
          <w:tcPr/>
          <w:p>
            <w:pPr>
              <w:pStyle w:val="Compact"/>
            </w:pPr>
            <w:r>
              <w:t xml:space="preserve">Single-study, open-label, single-arm package; sample size</w:t>
            </w:r>
            <w:r>
              <w:t xml:space="preserve"> </w:t>
            </w:r>
            <w:r>
              <w:rPr>
                <w:b/>
                <w:bCs/>
              </w:rPr>
              <w:t xml:space="preserve">unspecified in retrieved excerpt</w:t>
            </w:r>
            <w:r>
              <w:t xml:space="preserve">. Primary basis:</w:t>
            </w:r>
            <w:r>
              <w:t xml:space="preserve"> </w:t>
            </w:r>
            <w:r>
              <w:rPr>
                <w:b/>
                <w:bCs/>
              </w:rPr>
              <w:t xml:space="preserve">increase in dystrophin in skeletal muscle</w:t>
            </w:r>
            <w:r>
              <w:t xml:space="preserve"> </w:t>
            </w:r>
            <w:r>
              <w:t xml:space="preserve">as a surrogate. Key efficacy result in retrieved FDA materials: increase in dystrophin in some treated patients; clinical benefit had not yet been verified at approval.</w:t>
            </w:r>
          </w:p>
        </w:tc>
        <w:tc>
          <w:tcPr/>
          <w:p>
            <w:pPr>
              <w:pStyle w:val="Compact"/>
            </w:pPr>
            <w:r>
              <w:t xml:space="preserve">Safety: label flagged ongoing uncertainty and need for confirmatory evidence; detailed AE frequencies not reproduced in retrieved snippet. Randomized data at approval:</w:t>
            </w:r>
            <w:r>
              <w:t xml:space="preserve"> </w:t>
            </w:r>
            <w:r>
              <w:rPr>
                <w:b/>
                <w:bCs/>
              </w:rPr>
              <w:t xml:space="preserve">No pivotal randomized efficacy data identified</w:t>
            </w:r>
            <w:r>
              <w:t xml:space="preserve">. Pathway:</w:t>
            </w:r>
            <w:r>
              <w:t xml:space="preserve"> </w:t>
            </w:r>
            <w:r>
              <w:rPr>
                <w:b/>
                <w:bCs/>
              </w:rPr>
              <w:t xml:space="preserve">AA</w:t>
            </w:r>
            <w:r>
              <w:t xml:space="preserve">. FDA rationale quote: “</w:t>
            </w:r>
            <w:r>
              <w:rPr>
                <w:b/>
                <w:bCs/>
              </w:rPr>
              <w:t xml:space="preserve">FDA has the flexibility to interpret data from a single trial, or a single trial with supporting evidence, as substantial evidence of effectiveness.</w:t>
            </w:r>
            <w:r>
              <w:t xml:space="preserve">”</w:t>
            </w:r>
          </w:p>
        </w:tc>
        <w:tc>
          <w:tcPr/>
          <w:p>
            <w:pPr>
              <w:pStyle w:val="Compact"/>
            </w:pPr>
            <w:r>
              <w:t xml:space="preserve">Label and approval letter; summary review and memorandum.</w:t>
            </w:r>
            <w:r>
              <w:t xml:space="preserve"> </w:t>
            </w:r>
            <w:hyperlink r:id="rId26">
              <w:r>
                <w:rPr>
                  <w:rStyle w:val="Hyperlink"/>
                </w:rPr>
                <w:t xml:space="preserve">[6]</w:t>
              </w:r>
            </w:hyperlink>
          </w:p>
        </w:tc>
      </w:tr>
      <w:tr>
        <w:tc>
          <w:tcPr/>
          <w:p>
            <w:pPr>
              <w:pStyle w:val="Compact"/>
            </w:pPr>
            <w:r>
              <w:rPr>
                <w:b/>
                <w:bCs/>
              </w:rPr>
              <w:t xml:space="preserve">BRINEURA / cerliponase alfa</w:t>
            </w:r>
          </w:p>
        </w:tc>
        <w:tc>
          <w:tcPr/>
          <w:p>
            <w:pPr>
              <w:pStyle w:val="Compact"/>
            </w:pPr>
            <w:r>
              <w:rPr>
                <w:b/>
                <w:bCs/>
              </w:rPr>
              <w:t xml:space="preserve">2017-04-27</w:t>
            </w:r>
            <w:r>
              <w:t xml:space="preserve">. Indication: CLN2 disease. Sponsor:</w:t>
            </w:r>
            <w:r>
              <w:t xml:space="preserve"> </w:t>
            </w:r>
            <w:r>
              <w:rPr>
                <w:b/>
                <w:bCs/>
              </w:rPr>
              <w:t xml:space="preserve">unspecified in retrieved excerpt</w:t>
            </w:r>
            <w:r>
              <w:t xml:space="preserve">.</w:t>
            </w:r>
          </w:p>
        </w:tc>
        <w:tc>
          <w:tcPr/>
          <w:p>
            <w:pPr>
              <w:pStyle w:val="Compact"/>
            </w:pPr>
            <w:r>
              <w:t xml:space="preserve">Open-label, single-arm study with</w:t>
            </w:r>
            <w:r>
              <w:t xml:space="preserve"> </w:t>
            </w:r>
            <w:r>
              <w:rPr>
                <w:b/>
                <w:bCs/>
              </w:rPr>
              <w:t xml:space="preserve">historical control</w:t>
            </w:r>
            <w:r>
              <w:t xml:space="preserve">;</w:t>
            </w:r>
            <w:r>
              <w:t xml:space="preserve"> </w:t>
            </w:r>
            <w:r>
              <w:rPr>
                <w:b/>
                <w:bCs/>
              </w:rPr>
              <w:t xml:space="preserve">24</w:t>
            </w:r>
            <w:r>
              <w:t xml:space="preserve"> </w:t>
            </w:r>
            <w:r>
              <w:t xml:space="preserve">enrolled. Endpoint: decline on the</w:t>
            </w:r>
            <w:r>
              <w:t xml:space="preserve"> </w:t>
            </w:r>
            <w:r>
              <w:rPr>
                <w:b/>
                <w:bCs/>
              </w:rPr>
              <w:t xml:space="preserve">CLN2 motor-language scale</w:t>
            </w:r>
            <w:r>
              <w:t xml:space="preserve">. Key efficacy: slower decline versus independent historical controls; FDA label noted language-domain comparability limits.</w:t>
            </w:r>
          </w:p>
        </w:tc>
        <w:tc>
          <w:tcPr/>
          <w:p>
            <w:pPr>
              <w:pStyle w:val="Compact"/>
            </w:pPr>
            <w:r>
              <w:t xml:space="preserve">Safety: hypersensitivity and device-related administration risks are prominent in label; exact frequencies not reproduced here. Randomized data at approval:</w:t>
            </w:r>
            <w:r>
              <w:t xml:space="preserve"> </w:t>
            </w:r>
            <w:r>
              <w:rPr>
                <w:b/>
                <w:bCs/>
              </w:rPr>
              <w:t xml:space="preserve">No</w:t>
            </w:r>
            <w:r>
              <w:t xml:space="preserve">. Pathway:</w:t>
            </w:r>
            <w:r>
              <w:t xml:space="preserve"> </w:t>
            </w:r>
            <w:r>
              <w:rPr>
                <w:b/>
                <w:bCs/>
              </w:rPr>
              <w:t xml:space="preserve">TA</w:t>
            </w:r>
            <w:r>
              <w:t xml:space="preserve">. FDA rationale quote: “</w:t>
            </w:r>
            <w:r>
              <w:rPr>
                <w:b/>
                <w:bCs/>
              </w:rPr>
              <w:t xml:space="preserve">Currently there are no approved pharmacological therapies for CLN2.</w:t>
            </w:r>
            <w:r>
              <w:t xml:space="preserve">”</w:t>
            </w:r>
          </w:p>
        </w:tc>
        <w:tc>
          <w:tcPr/>
          <w:p>
            <w:pPr>
              <w:pStyle w:val="Compact"/>
            </w:pPr>
            <w:r>
              <w:t xml:space="preserve">Summary review and label.</w:t>
            </w:r>
            <w:r>
              <w:t xml:space="preserve"> </w:t>
            </w:r>
            <w:hyperlink r:id="rId27">
              <w:r>
                <w:rPr>
                  <w:rStyle w:val="Hyperlink"/>
                </w:rPr>
                <w:t xml:space="preserve">[7]</w:t>
              </w:r>
            </w:hyperlink>
          </w:p>
        </w:tc>
      </w:tr>
      <w:tr>
        <w:tc>
          <w:tcPr/>
          <w:p>
            <w:pPr>
              <w:pStyle w:val="Compact"/>
            </w:pPr>
            <w:r>
              <w:rPr>
                <w:b/>
                <w:bCs/>
              </w:rPr>
              <w:t xml:space="preserve">BAVENCIO / avelumab</w:t>
            </w:r>
          </w:p>
        </w:tc>
        <w:tc>
          <w:tcPr/>
          <w:p>
            <w:pPr>
              <w:pStyle w:val="Compact"/>
            </w:pPr>
            <w:r>
              <w:rPr>
                <w:b/>
                <w:bCs/>
              </w:rPr>
              <w:t xml:space="preserve">2017-03-23</w:t>
            </w:r>
            <w:r>
              <w:t xml:space="preserve">. Indication: metastatic Merkel cell carcinoma. Sponsor:</w:t>
            </w:r>
            <w:r>
              <w:t xml:space="preserve"> </w:t>
            </w:r>
            <w:r>
              <w:rPr>
                <w:b/>
                <w:bCs/>
              </w:rPr>
              <w:t xml:space="preserve">unspecified in retrieved excerpt</w:t>
            </w:r>
            <w:r>
              <w:t xml:space="preserve">.</w:t>
            </w:r>
          </w:p>
        </w:tc>
        <w:tc>
          <w:tcPr/>
          <w:p>
            <w:pPr>
              <w:pStyle w:val="Compact"/>
            </w:pPr>
            <w:r>
              <w:t xml:space="preserve">Open-label, multicenter, single-arm trial; sample size and exact ORR</w:t>
            </w:r>
            <w:r>
              <w:t xml:space="preserve"> </w:t>
            </w:r>
            <w:r>
              <w:rPr>
                <w:b/>
                <w:bCs/>
              </w:rPr>
              <w:t xml:space="preserve">not specified in retrieved excerpt</w:t>
            </w:r>
            <w:r>
              <w:t xml:space="preserve">. Approval page states the product was the</w:t>
            </w:r>
            <w:r>
              <w:t xml:space="preserve"> </w:t>
            </w:r>
            <w:r>
              <w:rPr>
                <w:b/>
                <w:bCs/>
              </w:rPr>
              <w:t xml:space="preserve">first FDA-approved product</w:t>
            </w:r>
            <w:r>
              <w:t xml:space="preserve"> </w:t>
            </w:r>
            <w:r>
              <w:t xml:space="preserve">for this cancer.</w:t>
            </w:r>
          </w:p>
        </w:tc>
        <w:tc>
          <w:tcPr/>
          <w:p>
            <w:pPr>
              <w:pStyle w:val="Compact"/>
            </w:pPr>
            <w:r>
              <w:t xml:space="preserve">Safety: exact common AEs were not reproduced in the retrieved excerpt. Randomized data at approval:</w:t>
            </w:r>
            <w:r>
              <w:t xml:space="preserve"> </w:t>
            </w:r>
            <w:r>
              <w:rPr>
                <w:b/>
                <w:bCs/>
              </w:rPr>
              <w:t xml:space="preserve">No identified pivotal randomized efficacy evidence</w:t>
            </w:r>
            <w:r>
              <w:t xml:space="preserve">. Pathway:</w:t>
            </w:r>
            <w:r>
              <w:t xml:space="preserve"> </w:t>
            </w:r>
            <w:r>
              <w:rPr>
                <w:b/>
                <w:bCs/>
              </w:rPr>
              <w:t xml:space="preserve">AA</w:t>
            </w:r>
            <w:r>
              <w:t xml:space="preserve">, later converted. FDA rationale quote: “</w:t>
            </w:r>
            <w:r>
              <w:rPr>
                <w:b/>
                <w:bCs/>
              </w:rPr>
              <w:t xml:space="preserve">This is the first FDA-approved product to treat this type of cancer.</w:t>
            </w:r>
            <w:r>
              <w:t xml:space="preserve">”</w:t>
            </w:r>
          </w:p>
        </w:tc>
        <w:tc>
          <w:tcPr/>
          <w:p>
            <w:pPr>
              <w:pStyle w:val="Compact"/>
            </w:pPr>
            <w:r>
              <w:t xml:space="preserve">FDA approval notice and later AA-conversion listing.</w:t>
            </w:r>
            <w:r>
              <w:t xml:space="preserve"> </w:t>
            </w:r>
            <w:hyperlink r:id="rId28">
              <w:r>
                <w:rPr>
                  <w:rStyle w:val="Hyperlink"/>
                </w:rPr>
                <w:t xml:space="preserve">[8]</w:t>
              </w:r>
            </w:hyperlink>
          </w:p>
        </w:tc>
      </w:tr>
      <w:tr>
        <w:tc>
          <w:tcPr/>
          <w:p>
            <w:pPr>
              <w:pStyle w:val="Compact"/>
            </w:pPr>
            <w:r>
              <w:rPr>
                <w:b/>
                <w:bCs/>
              </w:rPr>
              <w:t xml:space="preserve">KYMRIAH / tisagenlecleucel</w:t>
            </w:r>
          </w:p>
        </w:tc>
        <w:tc>
          <w:tcPr/>
          <w:p>
            <w:pPr>
              <w:pStyle w:val="Compact"/>
            </w:pPr>
            <w:r>
              <w:rPr>
                <w:b/>
                <w:bCs/>
              </w:rPr>
              <w:t xml:space="preserve">2017-08-30</w:t>
            </w:r>
            <w:r>
              <w:t xml:space="preserve">. Indication: relapsed or refractory B-cell precursor ALL in patients up to age 25. Sponsor:</w:t>
            </w:r>
            <w:r>
              <w:t xml:space="preserve"> </w:t>
            </w:r>
            <w:r>
              <w:rPr>
                <w:b/>
                <w:bCs/>
              </w:rPr>
              <w:t xml:space="preserve">unspecified in retrieved excerpt</w:t>
            </w:r>
            <w:r>
              <w:t xml:space="preserve">.</w:t>
            </w:r>
          </w:p>
        </w:tc>
        <w:tc>
          <w:tcPr/>
          <w:p>
            <w:pPr>
              <w:pStyle w:val="Compact"/>
            </w:pPr>
            <w:r>
              <w:t xml:space="preserve">Single-arm trial;</w:t>
            </w:r>
            <w:r>
              <w:t xml:space="preserve"> </w:t>
            </w:r>
            <w:r>
              <w:rPr>
                <w:b/>
                <w:bCs/>
              </w:rPr>
              <w:t xml:space="preserve">63</w:t>
            </w:r>
            <w:r>
              <w:t xml:space="preserve"> </w:t>
            </w:r>
            <w:r>
              <w:t xml:space="preserve">treated. Endpoint: remission-based efficacy in relapsed/refractory ALL. Exact remission percentage was not reproduced in the retrieved snippet, but FDA described the trial as the first approval basis for a CAR-T product.</w:t>
            </w:r>
          </w:p>
        </w:tc>
        <w:tc>
          <w:tcPr/>
          <w:p>
            <w:pPr>
              <w:pStyle w:val="Compact"/>
            </w:pPr>
            <w:r>
              <w:t xml:space="preserve">Safety: CAR-T associated toxicities were part of the approval package; exact frequencies not reproduced in the retrieved excerpt. Randomized data at approval:</w:t>
            </w:r>
            <w:r>
              <w:t xml:space="preserve"> </w:t>
            </w:r>
            <w:r>
              <w:rPr>
                <w:b/>
                <w:bCs/>
              </w:rPr>
              <w:t xml:space="preserve">No</w:t>
            </w:r>
            <w:r>
              <w:t xml:space="preserve">. Pathway:</w:t>
            </w:r>
            <w:r>
              <w:t xml:space="preserve"> </w:t>
            </w:r>
            <w:r>
              <w:rPr>
                <w:b/>
                <w:bCs/>
              </w:rPr>
              <w:t xml:space="preserve">TA</w:t>
            </w:r>
            <w:r>
              <w:t xml:space="preserve">. FDA rationale quote: the FDA described KYMRIAH as the “</w:t>
            </w:r>
            <w:r>
              <w:rPr>
                <w:b/>
                <w:bCs/>
              </w:rPr>
              <w:t xml:space="preserve">first CAR-T cell immunotherapy approved by the FDA, and the first gene therapy approved in the United States</w:t>
            </w:r>
            <w:r>
              <w:t xml:space="preserve">.”</w:t>
            </w:r>
          </w:p>
        </w:tc>
        <w:tc>
          <w:tcPr/>
          <w:p>
            <w:pPr>
              <w:pStyle w:val="Compact"/>
            </w:pPr>
            <w:r>
              <w:t xml:space="preserve">FDA approval notice and FDA D.I.S.C.O. page.</w:t>
            </w:r>
            <w:r>
              <w:t xml:space="preserve"> </w:t>
            </w:r>
            <w:hyperlink r:id="rId29">
              <w:r>
                <w:rPr>
                  <w:rStyle w:val="Hyperlink"/>
                </w:rPr>
                <w:t xml:space="preserve">[9]</w:t>
              </w:r>
            </w:hyperlink>
          </w:p>
        </w:tc>
      </w:tr>
      <w:tr>
        <w:tc>
          <w:tcPr/>
          <w:p>
            <w:pPr>
              <w:pStyle w:val="Compact"/>
            </w:pPr>
            <w:r>
              <w:rPr>
                <w:b/>
                <w:bCs/>
              </w:rPr>
              <w:t xml:space="preserve">YESCARTA / axicabtagene ciloleucel</w:t>
            </w:r>
          </w:p>
        </w:tc>
        <w:tc>
          <w:tcPr/>
          <w:p>
            <w:pPr>
              <w:pStyle w:val="Compact"/>
            </w:pPr>
            <w:r>
              <w:rPr>
                <w:b/>
                <w:bCs/>
              </w:rPr>
              <w:t xml:space="preserve">2017-10-25</w:t>
            </w:r>
            <w:r>
              <w:t xml:space="preserve">. Indication: large B-cell lymphoma after at least two prior lines. Sponsor:</w:t>
            </w:r>
            <w:r>
              <w:t xml:space="preserve"> </w:t>
            </w:r>
            <w:r>
              <w:rPr>
                <w:b/>
                <w:bCs/>
              </w:rPr>
              <w:t xml:space="preserve">unspecified in retrieved excerpt</w:t>
            </w:r>
            <w:r>
              <w:t xml:space="preserve">.</w:t>
            </w:r>
          </w:p>
        </w:tc>
        <w:tc>
          <w:tcPr/>
          <w:p>
            <w:pPr>
              <w:pStyle w:val="Compact"/>
            </w:pPr>
            <w:r>
              <w:t xml:space="preserve">Single-arm multicenter trial;</w:t>
            </w:r>
            <w:r>
              <w:t xml:space="preserve"> </w:t>
            </w:r>
            <w:r>
              <w:rPr>
                <w:b/>
                <w:bCs/>
              </w:rPr>
              <w:t xml:space="preserve">108 enrolled</w:t>
            </w:r>
            <w:r>
              <w:t xml:space="preserve">,</w:t>
            </w:r>
            <w:r>
              <w:t xml:space="preserve"> </w:t>
            </w:r>
            <w:r>
              <w:rPr>
                <w:b/>
                <w:bCs/>
              </w:rPr>
              <w:t xml:space="preserve">101 efficacy-evaluable</w:t>
            </w:r>
            <w:r>
              <w:t xml:space="preserve">. Endpoints: ORR and complete remission rate by independent central review. Key efficacy:</w:t>
            </w:r>
            <w:r>
              <w:t xml:space="preserve"> </w:t>
            </w:r>
            <w:r>
              <w:rPr>
                <w:b/>
                <w:bCs/>
              </w:rPr>
              <w:t xml:space="preserve">ORR 72%</w:t>
            </w:r>
            <w:r>
              <w:t xml:space="preserve">,</w:t>
            </w:r>
            <w:r>
              <w:t xml:space="preserve"> </w:t>
            </w:r>
            <w:r>
              <w:rPr>
                <w:b/>
                <w:bCs/>
              </w:rPr>
              <w:t xml:space="preserve">CR 51%</w:t>
            </w:r>
            <w:r>
              <w:t xml:space="preserve">.</w:t>
            </w:r>
          </w:p>
        </w:tc>
        <w:tc>
          <w:tcPr/>
          <w:p>
            <w:pPr>
              <w:pStyle w:val="Compact"/>
            </w:pPr>
            <w:r>
              <w:t xml:space="preserve">Safety: detailed AE frequencies not reproduced in the retrieved snippet. Randomized data at approval:</w:t>
            </w:r>
            <w:r>
              <w:t xml:space="preserve"> </w:t>
            </w:r>
            <w:r>
              <w:rPr>
                <w:b/>
                <w:bCs/>
              </w:rPr>
              <w:t xml:space="preserve">No</w:t>
            </w:r>
            <w:r>
              <w:t xml:space="preserve">. Pathway:</w:t>
            </w:r>
            <w:r>
              <w:t xml:space="preserve"> </w:t>
            </w:r>
            <w:r>
              <w:rPr>
                <w:b/>
                <w:bCs/>
              </w:rPr>
              <w:t xml:space="preserve">TA</w:t>
            </w:r>
            <w:r>
              <w:t xml:space="preserve">. FDA reasoning is best inferred from the magnitude of response in a refractory population with poor expected outcomes.</w:t>
            </w:r>
          </w:p>
        </w:tc>
        <w:tc>
          <w:tcPr/>
          <w:p>
            <w:pPr>
              <w:pStyle w:val="Compact"/>
            </w:pPr>
            <w:r>
              <w:t xml:space="preserve">FDA approval notice.</w:t>
            </w:r>
            <w:r>
              <w:t xml:space="preserve"> </w:t>
            </w:r>
            <w:hyperlink r:id="rId30">
              <w:r>
                <w:rPr>
                  <w:rStyle w:val="Hyperlink"/>
                </w:rPr>
                <w:t xml:space="preserve">[10]</w:t>
              </w:r>
            </w:hyperlink>
          </w:p>
        </w:tc>
      </w:tr>
      <w:tr>
        <w:tc>
          <w:tcPr/>
          <w:p>
            <w:pPr>
              <w:pStyle w:val="Compact"/>
            </w:pPr>
            <w:r>
              <w:rPr>
                <w:b/>
                <w:bCs/>
              </w:rPr>
              <w:t xml:space="preserve">BALVERSA / erdafitinib</w:t>
            </w:r>
          </w:p>
        </w:tc>
        <w:tc>
          <w:tcPr/>
          <w:p>
            <w:pPr>
              <w:pStyle w:val="Compact"/>
            </w:pPr>
            <w:r>
              <w:rPr>
                <w:b/>
                <w:bCs/>
              </w:rPr>
              <w:t xml:space="preserve">2019-04-12</w:t>
            </w:r>
            <w:r>
              <w:t xml:space="preserve">. Indication: locally advanced or metastatic urothelial carcinoma with susceptible FGFR alterations after platinum. Sponsor:</w:t>
            </w:r>
            <w:r>
              <w:t xml:space="preserve"> </w:t>
            </w:r>
            <w:r>
              <w:rPr>
                <w:b/>
                <w:bCs/>
              </w:rPr>
              <w:t xml:space="preserve">unspecified in retrieved excerpt</w:t>
            </w:r>
            <w:r>
              <w:t xml:space="preserve">.</w:t>
            </w:r>
          </w:p>
        </w:tc>
        <w:tc>
          <w:tcPr/>
          <w:p>
            <w:pPr>
              <w:pStyle w:val="Compact"/>
            </w:pPr>
            <w:r>
              <w:t xml:space="preserve">Open-label, single-arm trial; sample size</w:t>
            </w:r>
            <w:r>
              <w:t xml:space="preserve"> </w:t>
            </w:r>
            <w:r>
              <w:rPr>
                <w:b/>
                <w:bCs/>
              </w:rPr>
              <w:t xml:space="preserve">not reproduced in retrieved snippet</w:t>
            </w:r>
            <w:r>
              <w:t xml:space="preserve">. Endpoint basis: response in molecularly selected disease.</w:t>
            </w:r>
          </w:p>
        </w:tc>
        <w:tc>
          <w:tcPr/>
          <w:p>
            <w:pPr>
              <w:pStyle w:val="Compact"/>
            </w:pPr>
            <w:r>
              <w:t xml:space="preserve">Safety: approval notice snippet did not reproduce detailed AE frequencies. Randomized data at approval:</w:t>
            </w:r>
            <w:r>
              <w:t xml:space="preserve"> </w:t>
            </w:r>
            <w:r>
              <w:rPr>
                <w:b/>
                <w:bCs/>
              </w:rPr>
              <w:t xml:space="preserve">No pivotal randomized efficacy evidence identified</w:t>
            </w:r>
            <w:r>
              <w:t xml:space="preserve">. Pathway:</w:t>
            </w:r>
            <w:r>
              <w:t xml:space="preserve"> </w:t>
            </w:r>
            <w:r>
              <w:rPr>
                <w:b/>
                <w:bCs/>
              </w:rPr>
              <w:t xml:space="preserve">AA</w:t>
            </w:r>
            <w:r>
              <w:t xml:space="preserve">, later converted. FDA reasoning is best inferred as biomarker selection plus clinically interpretable tumor response in refractory disease.</w:t>
            </w:r>
          </w:p>
        </w:tc>
        <w:tc>
          <w:tcPr/>
          <w:p>
            <w:pPr>
              <w:pStyle w:val="Compact"/>
            </w:pPr>
            <w:r>
              <w:t xml:space="preserve">FDA approval notice and later verified-AA listing.</w:t>
            </w:r>
            <w:r>
              <w:t xml:space="preserve"> </w:t>
            </w:r>
            <w:hyperlink r:id="rId31">
              <w:r>
                <w:rPr>
                  <w:rStyle w:val="Hyperlink"/>
                </w:rPr>
                <w:t xml:space="preserve">[11]</w:t>
              </w:r>
            </w:hyperlink>
          </w:p>
        </w:tc>
      </w:tr>
      <w:tr>
        <w:tc>
          <w:tcPr/>
          <w:p>
            <w:pPr>
              <w:pStyle w:val="Compact"/>
            </w:pPr>
            <w:r>
              <w:rPr>
                <w:b/>
                <w:bCs/>
              </w:rPr>
              <w:t xml:space="preserve">ZOLGENSMA / onasemnogene abeparvovec-xioi</w:t>
            </w:r>
          </w:p>
        </w:tc>
        <w:tc>
          <w:tcPr/>
          <w:p>
            <w:pPr>
              <w:pStyle w:val="Compact"/>
            </w:pPr>
            <w:r>
              <w:rPr>
                <w:b/>
                <w:bCs/>
              </w:rPr>
              <w:t xml:space="preserve">2019-05-24</w:t>
            </w:r>
            <w:r>
              <w:t xml:space="preserve">. Indication: spinal muscular atrophy in children younger than 2 years. Sponsor:</w:t>
            </w:r>
            <w:r>
              <w:t xml:space="preserve"> </w:t>
            </w:r>
            <w:r>
              <w:rPr>
                <w:b/>
                <w:bCs/>
              </w:rPr>
              <w:t xml:space="preserve">unspecified in retrieved excerpt</w:t>
            </w:r>
            <w:r>
              <w:t xml:space="preserve">.</w:t>
            </w:r>
          </w:p>
        </w:tc>
        <w:tc>
          <w:tcPr/>
          <w:p>
            <w:pPr>
              <w:pStyle w:val="Compact"/>
            </w:pPr>
            <w:r>
              <w:t xml:space="preserve">FDA SBRA states primary evidence came from an ongoing</w:t>
            </w:r>
            <w:r>
              <w:t xml:space="preserve"> </w:t>
            </w:r>
            <w:r>
              <w:rPr>
                <w:b/>
                <w:bCs/>
              </w:rPr>
              <w:t xml:space="preserve">Phase 3</w:t>
            </w:r>
            <w:r>
              <w:t xml:space="preserve"> </w:t>
            </w:r>
            <w:r>
              <w:t xml:space="preserve">and a completed</w:t>
            </w:r>
            <w:r>
              <w:t xml:space="preserve"> </w:t>
            </w:r>
            <w:r>
              <w:rPr>
                <w:b/>
                <w:bCs/>
              </w:rPr>
              <w:t xml:space="preserve">Phase 1</w:t>
            </w:r>
            <w:r>
              <w:t xml:space="preserve">, both non-randomized single-arm studies. Key outcomes were survival and motor-function outcomes; exact numerical values were not reproduced in the retrieved snippet.</w:t>
            </w:r>
          </w:p>
        </w:tc>
        <w:tc>
          <w:tcPr/>
          <w:p>
            <w:pPr>
              <w:pStyle w:val="Compact"/>
            </w:pPr>
            <w:r>
              <w:t xml:space="preserve">Safety: FDA press release and label emphasize serious monitoring needs; exact AE rates not reproduced in the retrieved excerpt. Randomized data at approval:</w:t>
            </w:r>
            <w:r>
              <w:t xml:space="preserve"> </w:t>
            </w:r>
            <w:r>
              <w:rPr>
                <w:b/>
                <w:bCs/>
              </w:rPr>
              <w:t xml:space="preserve">No</w:t>
            </w:r>
            <w:r>
              <w:t xml:space="preserve">. Pathway:</w:t>
            </w:r>
            <w:r>
              <w:t xml:space="preserve"> </w:t>
            </w:r>
            <w:r>
              <w:rPr>
                <w:b/>
                <w:bCs/>
              </w:rPr>
              <w:t xml:space="preserve">TA</w:t>
            </w:r>
            <w:r>
              <w:t xml:space="preserve">. FDA rationale is strongly supported by the severity and lethality of infantile SMA and the marked departure from natural history.</w:t>
            </w:r>
          </w:p>
        </w:tc>
        <w:tc>
          <w:tcPr/>
          <w:p>
            <w:pPr>
              <w:pStyle w:val="Compact"/>
            </w:pPr>
            <w:r>
              <w:t xml:space="preserve">FDA press release and SBRA.</w:t>
            </w:r>
            <w:r>
              <w:t xml:space="preserve"> </w:t>
            </w:r>
            <w:hyperlink r:id="rId32">
              <w:r>
                <w:rPr>
                  <w:rStyle w:val="Hyperlink"/>
                </w:rPr>
                <w:t xml:space="preserve">[12]</w:t>
              </w:r>
            </w:hyperlink>
          </w:p>
        </w:tc>
      </w:tr>
      <w:tr>
        <w:tc>
          <w:tcPr/>
          <w:p>
            <w:pPr>
              <w:pStyle w:val="Compact"/>
            </w:pPr>
            <w:r>
              <w:rPr>
                <w:b/>
                <w:bCs/>
              </w:rPr>
              <w:t xml:space="preserve">AYVAKIT / avapritinib</w:t>
            </w:r>
          </w:p>
        </w:tc>
        <w:tc>
          <w:tcPr/>
          <w:p>
            <w:pPr>
              <w:pStyle w:val="Compact"/>
            </w:pPr>
            <w:r>
              <w:rPr>
                <w:b/>
                <w:bCs/>
              </w:rPr>
              <w:t xml:space="preserve">2020-01-09</w:t>
            </w:r>
            <w:r>
              <w:t xml:space="preserve">. Indication: unresectable or metastatic GIST with a PDGFRA exon 18 mutation. Sponsor:</w:t>
            </w:r>
            <w:r>
              <w:t xml:space="preserve"> </w:t>
            </w:r>
            <w:r>
              <w:rPr>
                <w:b/>
                <w:bCs/>
              </w:rPr>
              <w:t xml:space="preserve">Blueprint Medicines Corporation</w:t>
            </w:r>
            <w:r>
              <w:t xml:space="preserve">.</w:t>
            </w:r>
          </w:p>
        </w:tc>
        <w:tc>
          <w:tcPr/>
          <w:p>
            <w:pPr>
              <w:pStyle w:val="Compact"/>
            </w:pPr>
            <w:r>
              <w:t xml:space="preserve">NAVIGATOR; multicenter, single-arm, open-label.</w:t>
            </w:r>
            <w:r>
              <w:t xml:space="preserve"> </w:t>
            </w:r>
            <w:r>
              <w:rPr>
                <w:b/>
                <w:bCs/>
              </w:rPr>
              <w:t xml:space="preserve">43</w:t>
            </w:r>
            <w:r>
              <w:t xml:space="preserve"> </w:t>
            </w:r>
            <w:r>
              <w:t xml:space="preserve">patients with PDGFRA exon 18 mutation, including</w:t>
            </w:r>
            <w:r>
              <w:t xml:space="preserve"> </w:t>
            </w:r>
            <w:r>
              <w:rPr>
                <w:b/>
                <w:bCs/>
              </w:rPr>
              <w:t xml:space="preserve">38</w:t>
            </w:r>
            <w:r>
              <w:t xml:space="preserve"> </w:t>
            </w:r>
            <w:r>
              <w:t xml:space="preserve">with D842V. Endpoint: tumor response.</w:t>
            </w:r>
          </w:p>
        </w:tc>
        <w:tc>
          <w:tcPr/>
          <w:p>
            <w:pPr>
              <w:pStyle w:val="Compact"/>
            </w:pPr>
            <w:r>
              <w:t xml:space="preserve">Safety: dose lowered during development because of toxicity; exact frequent AEs not reproduced here. Randomized data at approval:</w:t>
            </w:r>
            <w:r>
              <w:t xml:space="preserve"> </w:t>
            </w:r>
            <w:r>
              <w:rPr>
                <w:b/>
                <w:bCs/>
              </w:rPr>
              <w:t xml:space="preserve">No</w:t>
            </w:r>
            <w:r>
              <w:t xml:space="preserve">. Pathway:</w:t>
            </w:r>
            <w:r>
              <w:t xml:space="preserve"> </w:t>
            </w:r>
            <w:r>
              <w:rPr>
                <w:b/>
                <w:bCs/>
              </w:rPr>
              <w:t xml:space="preserve">TA</w:t>
            </w:r>
            <w:r>
              <w:t xml:space="preserve">. FDA rationale quote: “</w:t>
            </w:r>
            <w:r>
              <w:rPr>
                <w:b/>
                <w:bCs/>
              </w:rPr>
              <w:t xml:space="preserve">the first therapy approved for patients with GIST harboring a PDGFRA exon 18 mutation.</w:t>
            </w:r>
            <w:r>
              <w:t xml:space="preserve">”</w:t>
            </w:r>
          </w:p>
        </w:tc>
        <w:tc>
          <w:tcPr/>
          <w:p>
            <w:pPr>
              <w:pStyle w:val="Compact"/>
            </w:pPr>
            <w:r>
              <w:t xml:space="preserve">FDA approval notice.</w:t>
            </w:r>
            <w:r>
              <w:t xml:space="preserve"> </w:t>
            </w:r>
            <w:hyperlink r:id="rId33">
              <w:r>
                <w:rPr>
                  <w:rStyle w:val="Hyperlink"/>
                </w:rPr>
                <w:t xml:space="preserve">[13]</w:t>
              </w:r>
            </w:hyperlink>
          </w:p>
        </w:tc>
      </w:tr>
      <w:tr>
        <w:tc>
          <w:tcPr/>
          <w:p>
            <w:pPr>
              <w:pStyle w:val="Compact"/>
            </w:pPr>
            <w:r>
              <w:rPr>
                <w:b/>
                <w:bCs/>
              </w:rPr>
              <w:t xml:space="preserve">KOSELUGO / selumetinib</w:t>
            </w:r>
          </w:p>
        </w:tc>
        <w:tc>
          <w:tcPr/>
          <w:p>
            <w:pPr>
              <w:pStyle w:val="Compact"/>
            </w:pPr>
            <w:r>
              <w:rPr>
                <w:b/>
                <w:bCs/>
              </w:rPr>
              <w:t xml:space="preserve">2020-04-10</w:t>
            </w:r>
            <w:r>
              <w:t xml:space="preserve">. Indication: pediatric NF1 with symptomatic, inoperable plexiform neurofibromas. Sponsor:</w:t>
            </w:r>
            <w:r>
              <w:t xml:space="preserve"> </w:t>
            </w:r>
            <w:r>
              <w:rPr>
                <w:b/>
                <w:bCs/>
              </w:rPr>
              <w:t xml:space="preserve">AstraZeneca</w:t>
            </w:r>
            <w:r>
              <w:t xml:space="preserve">.</w:t>
            </w:r>
          </w:p>
        </w:tc>
        <w:tc>
          <w:tcPr/>
          <w:p>
            <w:pPr>
              <w:pStyle w:val="Compact"/>
            </w:pPr>
            <w:r>
              <w:t xml:space="preserve">SPRINT; open-label, multicenter, single-arm.</w:t>
            </w:r>
            <w:r>
              <w:t xml:space="preserve"> </w:t>
            </w:r>
            <w:r>
              <w:rPr>
                <w:b/>
                <w:bCs/>
              </w:rPr>
              <w:t xml:space="preserve">50</w:t>
            </w:r>
            <w:r>
              <w:t xml:space="preserve"> </w:t>
            </w:r>
            <w:r>
              <w:t xml:space="preserve">in efficacy population,</w:t>
            </w:r>
            <w:r>
              <w:t xml:space="preserve"> </w:t>
            </w:r>
            <w:r>
              <w:rPr>
                <w:b/>
                <w:bCs/>
              </w:rPr>
              <w:t xml:space="preserve">74</w:t>
            </w:r>
            <w:r>
              <w:t xml:space="preserve"> </w:t>
            </w:r>
            <w:r>
              <w:t xml:space="preserve">in primary safety set. Endpoint: confirmed partial response in target PN and clinical morbidity context. Exact ORR was not reproduced in the retrieved snippet.</w:t>
            </w:r>
          </w:p>
        </w:tc>
        <w:tc>
          <w:tcPr/>
          <w:p>
            <w:pPr>
              <w:pStyle w:val="Compact"/>
            </w:pPr>
            <w:r>
              <w:t xml:space="preserve">Safety: common AEs in</w:t>
            </w:r>
            <w:r>
              <w:t xml:space="preserve"> </w:t>
            </w:r>
            <w:r>
              <w:rPr>
                <w:b/>
                <w:bCs/>
              </w:rPr>
              <w:t xml:space="preserve">≥40%</w:t>
            </w:r>
            <w:r>
              <w:t xml:space="preserve"> </w:t>
            </w:r>
            <w:r>
              <w:t xml:space="preserve">included vomiting, rash, abdominal pain, diarrhea, nausea, dry skin, fatigue, musculoskeletal pain, fever, acne, stomatitis, headache, paronychia, and pruritus. Randomized data at approval:</w:t>
            </w:r>
            <w:r>
              <w:t xml:space="preserve"> </w:t>
            </w:r>
            <w:r>
              <w:rPr>
                <w:b/>
                <w:bCs/>
              </w:rPr>
              <w:t xml:space="preserve">No</w:t>
            </w:r>
            <w:r>
              <w:t xml:space="preserve">. Pathway:</w:t>
            </w:r>
            <w:r>
              <w:t xml:space="preserve"> </w:t>
            </w:r>
            <w:r>
              <w:rPr>
                <w:b/>
                <w:bCs/>
              </w:rPr>
              <w:t xml:space="preserve">TA</w:t>
            </w:r>
            <w:r>
              <w:t xml:space="preserve">. FDA rationale quote: “</w:t>
            </w:r>
            <w:r>
              <w:rPr>
                <w:b/>
                <w:bCs/>
              </w:rPr>
              <w:t xml:space="preserve">the first therapy approved</w:t>
            </w:r>
            <w:r>
              <w:t xml:space="preserve">” for this rare, debilitating pediatric condition.</w:t>
            </w:r>
          </w:p>
        </w:tc>
        <w:tc>
          <w:tcPr/>
          <w:p>
            <w:pPr>
              <w:pStyle w:val="Compact"/>
            </w:pPr>
            <w:r>
              <w:t xml:space="preserve">FDA approval notice.</w:t>
            </w:r>
            <w:r>
              <w:t xml:space="preserve"> </w:t>
            </w:r>
            <w:hyperlink r:id="rId34">
              <w:r>
                <w:rPr>
                  <w:rStyle w:val="Hyperlink"/>
                </w:rPr>
                <w:t xml:space="preserve">[14]</w:t>
              </w:r>
            </w:hyperlink>
          </w:p>
        </w:tc>
      </w:tr>
      <w:tr>
        <w:tc>
          <w:tcPr/>
          <w:p>
            <w:pPr>
              <w:pStyle w:val="Compact"/>
            </w:pPr>
            <w:r>
              <w:rPr>
                <w:b/>
                <w:bCs/>
              </w:rPr>
              <w:t xml:space="preserve">PEMAZYRE / pemigatinib</w:t>
            </w:r>
          </w:p>
        </w:tc>
        <w:tc>
          <w:tcPr/>
          <w:p>
            <w:pPr>
              <w:pStyle w:val="Compact"/>
            </w:pPr>
            <w:r>
              <w:rPr>
                <w:b/>
                <w:bCs/>
              </w:rPr>
              <w:t xml:space="preserve">2020-04-17</w:t>
            </w:r>
            <w:r>
              <w:t xml:space="preserve">. Indication: previously treated unresectable or metastatic cholangiocarcinoma with FGFR2 fusion or rearrangement. Sponsor:</w:t>
            </w:r>
            <w:r>
              <w:t xml:space="preserve"> </w:t>
            </w:r>
            <w:r>
              <w:rPr>
                <w:b/>
                <w:bCs/>
              </w:rPr>
              <w:t xml:space="preserve">unspecified in retrieved excerpt</w:t>
            </w:r>
            <w:r>
              <w:t xml:space="preserve">.</w:t>
            </w:r>
          </w:p>
        </w:tc>
        <w:tc>
          <w:tcPr/>
          <w:p>
            <w:pPr>
              <w:pStyle w:val="Compact"/>
            </w:pPr>
            <w:r>
              <w:t xml:space="preserve">FIGHT-202; multicenter open-label single-arm.</w:t>
            </w:r>
            <w:r>
              <w:t xml:space="preserve"> </w:t>
            </w:r>
            <w:r>
              <w:rPr>
                <w:b/>
                <w:bCs/>
              </w:rPr>
              <w:t xml:space="preserve">107</w:t>
            </w:r>
            <w:r>
              <w:t xml:space="preserve"> </w:t>
            </w:r>
            <w:r>
              <w:t xml:space="preserve">patients. Endpoints: ORR and DOR. Exact efficacy percentages were not reproduced in the retrieved snippet already gathered, but FDA required randomized confirmation afterward.</w:t>
            </w:r>
          </w:p>
        </w:tc>
        <w:tc>
          <w:tcPr/>
          <w:p>
            <w:pPr>
              <w:pStyle w:val="Compact"/>
            </w:pPr>
            <w:r>
              <w:t xml:space="preserve">Safety: detailed AE frequencies not reproduced in the retrieved snippet. Randomized data at approval:</w:t>
            </w:r>
            <w:r>
              <w:t xml:space="preserve"> </w:t>
            </w:r>
            <w:r>
              <w:rPr>
                <w:b/>
                <w:bCs/>
              </w:rPr>
              <w:t xml:space="preserve">No</w:t>
            </w:r>
            <w:r>
              <w:t xml:space="preserve">. Pathway:</w:t>
            </w:r>
            <w:r>
              <w:t xml:space="preserve"> </w:t>
            </w:r>
            <w:r>
              <w:rPr>
                <w:b/>
                <w:bCs/>
              </w:rPr>
              <w:t xml:space="preserve">AA</w:t>
            </w:r>
            <w:r>
              <w:t xml:space="preserve">. FDA reasoning is best inferred from a rare biomarker-defined subgroup and interpretable response-rate endpoint in previously treated disease.</w:t>
            </w:r>
          </w:p>
        </w:tc>
        <w:tc>
          <w:tcPr/>
          <w:p>
            <w:pPr>
              <w:pStyle w:val="Compact"/>
            </w:pPr>
            <w:r>
              <w:t xml:space="preserve">FDA approval notice and AA-PMR listing.</w:t>
            </w:r>
            <w:r>
              <w:t xml:space="preserve"> </w:t>
            </w:r>
            <w:hyperlink r:id="rId35">
              <w:r>
                <w:rPr>
                  <w:rStyle w:val="Hyperlink"/>
                </w:rPr>
                <w:t xml:space="preserve">[15]</w:t>
              </w:r>
            </w:hyperlink>
          </w:p>
        </w:tc>
      </w:tr>
      <w:tr>
        <w:tc>
          <w:tcPr/>
          <w:p>
            <w:pPr>
              <w:pStyle w:val="Compact"/>
            </w:pPr>
            <w:r>
              <w:rPr>
                <w:b/>
                <w:bCs/>
              </w:rPr>
              <w:t xml:space="preserve">NULIBRY / fosdenopterin</w:t>
            </w:r>
          </w:p>
        </w:tc>
        <w:tc>
          <w:tcPr/>
          <w:p>
            <w:pPr>
              <w:pStyle w:val="Compact"/>
            </w:pPr>
            <w:r>
              <w:rPr>
                <w:b/>
                <w:bCs/>
              </w:rPr>
              <w:t xml:space="preserve">2021-02-26</w:t>
            </w:r>
            <w:r>
              <w:t xml:space="preserve">. Indication: molybdenum cofactor deficiency type A. Sponsor:</w:t>
            </w:r>
            <w:r>
              <w:t xml:space="preserve"> </w:t>
            </w:r>
            <w:r>
              <w:rPr>
                <w:b/>
                <w:bCs/>
              </w:rPr>
              <w:t xml:space="preserve">Sentynl Therapeutics</w:t>
            </w:r>
            <w:r>
              <w:t xml:space="preserve">.</w:t>
            </w:r>
          </w:p>
        </w:tc>
        <w:tc>
          <w:tcPr/>
          <w:p>
            <w:pPr>
              <w:pStyle w:val="Compact"/>
            </w:pPr>
            <w:r>
              <w:t xml:space="preserve">FDA RWE page describes a treatment arm pooling</w:t>
            </w:r>
            <w:r>
              <w:t xml:space="preserve"> </w:t>
            </w:r>
            <w:r>
              <w:rPr>
                <w:b/>
                <w:bCs/>
              </w:rPr>
              <w:t xml:space="preserve">two single-arm trials plus expanded-access patients</w:t>
            </w:r>
            <w:r>
              <w:t xml:space="preserve"> </w:t>
            </w:r>
            <w:r>
              <w:t xml:space="preserve">and an</w:t>
            </w:r>
            <w:r>
              <w:t xml:space="preserve"> </w:t>
            </w:r>
            <w:r>
              <w:rPr>
                <w:b/>
                <w:bCs/>
              </w:rPr>
              <w:t xml:space="preserve">external natural-history control</w:t>
            </w:r>
            <w:r>
              <w:t xml:space="preserve"> </w:t>
            </w:r>
            <w:r>
              <w:t xml:space="preserve">from medical records across 15 countries. Endpoint:</w:t>
            </w:r>
            <w:r>
              <w:t xml:space="preserve"> </w:t>
            </w:r>
            <w:r>
              <w:rPr>
                <w:b/>
                <w:bCs/>
              </w:rPr>
              <w:t xml:space="preserve">overall survival</w:t>
            </w:r>
            <w:r>
              <w:t xml:space="preserve">.</w:t>
            </w:r>
          </w:p>
        </w:tc>
        <w:tc>
          <w:tcPr/>
          <w:p>
            <w:pPr>
              <w:pStyle w:val="Compact"/>
            </w:pPr>
            <w:r>
              <w:t xml:space="preserve">Safety: exact AE frequencies not reproduced in the retrieved RWE excerpt. Randomized data at approval:</w:t>
            </w:r>
            <w:r>
              <w:t xml:space="preserve"> </w:t>
            </w:r>
            <w:r>
              <w:rPr>
                <w:b/>
                <w:bCs/>
              </w:rPr>
              <w:t xml:space="preserve">No</w:t>
            </w:r>
            <w:r>
              <w:t xml:space="preserve">. Pathway:</w:t>
            </w:r>
            <w:r>
              <w:t xml:space="preserve"> </w:t>
            </w:r>
            <w:r>
              <w:rPr>
                <w:b/>
                <w:bCs/>
              </w:rPr>
              <w:t xml:space="preserve">TA</w:t>
            </w:r>
            <w:r>
              <w:t xml:space="preserve">. FDA rationale quote: the application used “</w:t>
            </w:r>
            <w:r>
              <w:rPr>
                <w:b/>
                <w:bCs/>
              </w:rPr>
              <w:t xml:space="preserve">single-arm trial with additional treatment data derived from RWD and comparator data derived from RWD</w:t>
            </w:r>
            <w:r>
              <w:t xml:space="preserve">” as an adequate and well-controlled study.</w:t>
            </w:r>
          </w:p>
        </w:tc>
        <w:tc>
          <w:tcPr/>
          <w:p>
            <w:pPr>
              <w:pStyle w:val="Compact"/>
            </w:pPr>
            <w:r>
              <w:t xml:space="preserve">FDA RWE decision page.</w:t>
            </w:r>
            <w:r>
              <w:t xml:space="preserve"> </w:t>
            </w:r>
            <w:hyperlink r:id="rId24">
              <w:r>
                <w:rPr>
                  <w:rStyle w:val="Hyperlink"/>
                </w:rPr>
                <w:t xml:space="preserve">[16]</w:t>
              </w:r>
            </w:hyperlink>
          </w:p>
        </w:tc>
      </w:tr>
      <w:tr>
        <w:tc>
          <w:tcPr/>
          <w:p>
            <w:pPr>
              <w:pStyle w:val="Compact"/>
            </w:pPr>
            <w:r>
              <w:rPr>
                <w:b/>
                <w:bCs/>
              </w:rPr>
              <w:t xml:space="preserve">WELIREG / belzutifan</w:t>
            </w:r>
          </w:p>
        </w:tc>
        <w:tc>
          <w:tcPr/>
          <w:p>
            <w:pPr>
              <w:pStyle w:val="Compact"/>
            </w:pPr>
            <w:r>
              <w:rPr>
                <w:b/>
                <w:bCs/>
              </w:rPr>
              <w:t xml:space="preserve">2021-08-13</w:t>
            </w:r>
            <w:r>
              <w:t xml:space="preserve">. Indication: von Hippel-Lindau disease associated RCC, CNS hemangioblastomas, or pNET not requiring immediate surgery. Sponsor:</w:t>
            </w:r>
            <w:r>
              <w:t xml:space="preserve"> </w:t>
            </w:r>
            <w:r>
              <w:rPr>
                <w:b/>
                <w:bCs/>
              </w:rPr>
              <w:t xml:space="preserve">unspecified in retrieved excerpt</w:t>
            </w:r>
            <w:r>
              <w:t xml:space="preserve">.</w:t>
            </w:r>
          </w:p>
        </w:tc>
        <w:tc>
          <w:tcPr/>
          <w:p>
            <w:pPr>
              <w:pStyle w:val="Compact"/>
            </w:pPr>
            <w:r>
              <w:t xml:space="preserve">Ongoing single-arm phase 2 trial, MK-6482-004. Sample size</w:t>
            </w:r>
            <w:r>
              <w:t xml:space="preserve"> </w:t>
            </w:r>
            <w:r>
              <w:rPr>
                <w:b/>
                <w:bCs/>
              </w:rPr>
              <w:t xml:space="preserve">not reproduced in the retrieved snippet</w:t>
            </w:r>
            <w:r>
              <w:t xml:space="preserve">. Endpoints: ORR and DOR across VHL-associated lesions.</w:t>
            </w:r>
          </w:p>
        </w:tc>
        <w:tc>
          <w:tcPr/>
          <w:p>
            <w:pPr>
              <w:pStyle w:val="Compact"/>
            </w:pPr>
            <w:r>
              <w:t xml:space="preserve">Safety: exact AE frequencies not reproduced here. Randomized data at approval:</w:t>
            </w:r>
            <w:r>
              <w:t xml:space="preserve"> </w:t>
            </w:r>
            <w:r>
              <w:rPr>
                <w:b/>
                <w:bCs/>
              </w:rPr>
              <w:t xml:space="preserve">No</w:t>
            </w:r>
            <w:r>
              <w:t xml:space="preserve">. Pathway:</w:t>
            </w:r>
            <w:r>
              <w:t xml:space="preserve"> </w:t>
            </w:r>
            <w:r>
              <w:rPr>
                <w:b/>
                <w:bCs/>
              </w:rPr>
              <w:t xml:space="preserve">TA</w:t>
            </w:r>
            <w:r>
              <w:t xml:space="preserve">. FDA rationale quote: “</w:t>
            </w:r>
            <w:r>
              <w:rPr>
                <w:b/>
                <w:bCs/>
              </w:rPr>
              <w:t xml:space="preserve">For demonstration of efficacy in a single arm trial, FDA relies on ORR and DoR in single arm trial.</w:t>
            </w:r>
            <w:r>
              <w:t xml:space="preserve">”</w:t>
            </w:r>
          </w:p>
        </w:tc>
        <w:tc>
          <w:tcPr/>
          <w:p>
            <w:pPr>
              <w:pStyle w:val="Compact"/>
            </w:pPr>
            <w:r>
              <w:t xml:space="preserve">Multidiscipline review and other review.</w:t>
            </w:r>
            <w:r>
              <w:t xml:space="preserve"> </w:t>
            </w:r>
            <w:hyperlink r:id="rId36">
              <w:r>
                <w:rPr>
                  <w:rStyle w:val="Hyperlink"/>
                </w:rPr>
                <w:t xml:space="preserve">[17]</w:t>
              </w:r>
            </w:hyperlink>
          </w:p>
        </w:tc>
      </w:tr>
      <w:tr>
        <w:tc>
          <w:tcPr/>
          <w:p>
            <w:pPr>
              <w:pStyle w:val="Compact"/>
            </w:pPr>
            <w:r>
              <w:rPr>
                <w:b/>
                <w:bCs/>
              </w:rPr>
              <w:t xml:space="preserve">REZUROCK / belumosudil</w:t>
            </w:r>
          </w:p>
        </w:tc>
        <w:tc>
          <w:tcPr/>
          <w:p>
            <w:pPr>
              <w:pStyle w:val="Compact"/>
            </w:pPr>
            <w:r>
              <w:rPr>
                <w:b/>
                <w:bCs/>
              </w:rPr>
              <w:t xml:space="preserve">2021-07-16</w:t>
            </w:r>
            <w:r>
              <w:t xml:space="preserve">. Indication: chronic graft-versus-host disease after failure of at least 2 prior lines. Sponsor:</w:t>
            </w:r>
            <w:r>
              <w:t xml:space="preserve"> </w:t>
            </w:r>
            <w:r>
              <w:rPr>
                <w:b/>
                <w:bCs/>
              </w:rPr>
              <w:t xml:space="preserve">unspecified in retrieved excerpt</w:t>
            </w:r>
            <w:r>
              <w:t xml:space="preserve">.</w:t>
            </w:r>
          </w:p>
        </w:tc>
        <w:tc>
          <w:tcPr/>
          <w:p>
            <w:pPr>
              <w:pStyle w:val="Compact"/>
            </w:pPr>
            <w:r>
              <w:t xml:space="preserve">Phase 2 single-arm evidence from KD025-213 and KD025-208; retrieved FDA review specifically described</w:t>
            </w:r>
            <w:r>
              <w:t xml:space="preserve"> </w:t>
            </w:r>
            <w:r>
              <w:rPr>
                <w:b/>
                <w:bCs/>
              </w:rPr>
              <w:t xml:space="preserve">65</w:t>
            </w:r>
            <w:r>
              <w:t xml:space="preserve"> </w:t>
            </w:r>
            <w:r>
              <w:t xml:space="preserve">patients on the 200 mg once-daily arm of Study KD025-213. Endpoint basis: ORR with durability in refractory cGVHD. Exact ORR was not reproduced in the retrieved snippet.</w:t>
            </w:r>
          </w:p>
        </w:tc>
        <w:tc>
          <w:tcPr/>
          <w:p>
            <w:pPr>
              <w:pStyle w:val="Compact"/>
            </w:pPr>
            <w:r>
              <w:t xml:space="preserve">Safety: FDA review described a heavily pretreated population; exact common AE frequencies were not reproduced in the snippets retrieved here. Randomized data at approval:</w:t>
            </w:r>
            <w:r>
              <w:t xml:space="preserve"> </w:t>
            </w:r>
            <w:r>
              <w:rPr>
                <w:b/>
                <w:bCs/>
              </w:rPr>
              <w:t xml:space="preserve">No</w:t>
            </w:r>
            <w:r>
              <w:t xml:space="preserve">. Pathway:</w:t>
            </w:r>
            <w:r>
              <w:t xml:space="preserve"> </w:t>
            </w:r>
            <w:r>
              <w:rPr>
                <w:b/>
                <w:bCs/>
              </w:rPr>
              <w:t xml:space="preserve">TA</w:t>
            </w:r>
            <w:r>
              <w:t xml:space="preserve">. FDA rationale is best inferred from refractory disease after multiple prior therapies and clinically meaningful response in a setting with poor alternatives.</w:t>
            </w:r>
          </w:p>
        </w:tc>
        <w:tc>
          <w:tcPr/>
          <w:p>
            <w:pPr>
              <w:pStyle w:val="Compact"/>
            </w:pPr>
            <w:r>
              <w:t xml:space="preserve">FDA multidiscipline review and related review; FDA approval summary abstract.</w:t>
            </w:r>
            <w:r>
              <w:t xml:space="preserve"> </w:t>
            </w:r>
            <w:hyperlink r:id="rId37">
              <w:r>
                <w:rPr>
                  <w:rStyle w:val="Hyperlink"/>
                </w:rPr>
                <w:t xml:space="preserve">[18]</w:t>
              </w:r>
            </w:hyperlink>
          </w:p>
        </w:tc>
      </w:tr>
    </w:tbl>
    <w:bookmarkEnd w:id="38"/>
    <w:bookmarkStart w:id="49" w:name="detailed-inventory-continued"/>
    <w:p>
      <w:pPr>
        <w:pStyle w:val="Heading3"/>
      </w:pPr>
      <w:r>
        <w:t xml:space="preserve">Detailed inventory continued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Treatment</w:t>
            </w:r>
          </w:p>
        </w:tc>
        <w:tc>
          <w:tcPr/>
          <w:p>
            <w:pPr>
              <w:pStyle w:val="Compact"/>
            </w:pPr>
            <w:r>
              <w:t xml:space="preserve">Approval snapshot</w:t>
            </w:r>
          </w:p>
        </w:tc>
        <w:tc>
          <w:tcPr/>
          <w:p>
            <w:pPr>
              <w:pStyle w:val="Compact"/>
            </w:pPr>
            <w:r>
              <w:t xml:space="preserve">Trial and efficacy basis</w:t>
            </w:r>
          </w:p>
        </w:tc>
        <w:tc>
          <w:tcPr/>
          <w:p>
            <w:pPr>
              <w:pStyle w:val="Compact"/>
            </w:pPr>
            <w:r>
              <w:t xml:space="preserve">Safety, randomized data, pathway, and FDA rationale</w:t>
            </w:r>
          </w:p>
        </w:tc>
        <w:tc>
          <w:tcPr/>
          <w:p>
            <w:pPr>
              <w:pStyle w:val="Compact"/>
            </w:pPr>
            <w:r>
              <w:t xml:space="preserve">FDA primary docs consulted</w:t>
            </w:r>
          </w:p>
        </w:tc>
      </w:tr>
      <w:tr>
        <w:tc>
          <w:tcPr/>
          <w:p>
            <w:pPr>
              <w:pStyle w:val="Compact"/>
            </w:pPr>
            <w:r>
              <w:rPr>
                <w:b/>
                <w:bCs/>
              </w:rPr>
              <w:t xml:space="preserve">LANTIDRA / donislecel</w:t>
            </w:r>
          </w:p>
        </w:tc>
        <w:tc>
          <w:tcPr/>
          <w:p>
            <w:pPr>
              <w:pStyle w:val="Compact"/>
            </w:pPr>
            <w:r>
              <w:rPr>
                <w:b/>
                <w:bCs/>
              </w:rPr>
              <w:t xml:space="preserve">2023-06-28</w:t>
            </w:r>
            <w:r>
              <w:t xml:space="preserve">. Indication: adults with type 1 diabetes and recurrent severe hypoglycemia despite intensive management. Sponsor:</w:t>
            </w:r>
            <w:r>
              <w:t xml:space="preserve"> </w:t>
            </w:r>
            <w:r>
              <w:rPr>
                <w:b/>
                <w:bCs/>
              </w:rPr>
              <w:t xml:space="preserve">unspecified in retrieved excerpt</w:t>
            </w:r>
            <w:r>
              <w:t xml:space="preserve">.</w:t>
            </w:r>
          </w:p>
        </w:tc>
        <w:tc>
          <w:tcPr/>
          <w:p>
            <w:pPr>
              <w:pStyle w:val="Compact"/>
            </w:pPr>
            <w:r>
              <w:t xml:space="preserve">Two prospective, open-label, single-arm studies.</w:t>
            </w:r>
            <w:r>
              <w:t xml:space="preserve"> </w:t>
            </w:r>
            <w:r>
              <w:rPr>
                <w:b/>
                <w:bCs/>
              </w:rPr>
              <w:t xml:space="preserve">30</w:t>
            </w:r>
            <w:r>
              <w:t xml:space="preserve"> </w:t>
            </w:r>
            <w:r>
              <w:t xml:space="preserve">total participants. Endpoint: insulin independence and severe hypoglycemia outcomes. FDA SBRA reported</w:t>
            </w:r>
            <w:r>
              <w:t xml:space="preserve"> </w:t>
            </w:r>
            <w:r>
              <w:rPr>
                <w:b/>
                <w:bCs/>
              </w:rPr>
              <w:t xml:space="preserve">21</w:t>
            </w:r>
            <w:r>
              <w:t xml:space="preserve"> </w:t>
            </w:r>
            <w:r>
              <w:t xml:space="preserve">achieved insulin independence for at least 1 year and</w:t>
            </w:r>
            <w:r>
              <w:t xml:space="preserve"> </w:t>
            </w:r>
            <w:r>
              <w:rPr>
                <w:b/>
                <w:bCs/>
              </w:rPr>
              <w:t xml:space="preserve">10</w:t>
            </w:r>
            <w:r>
              <w:t xml:space="preserve"> </w:t>
            </w:r>
            <w:r>
              <w:t xml:space="preserve">for more than 5 years.</w:t>
            </w:r>
          </w:p>
        </w:tc>
        <w:tc>
          <w:tcPr/>
          <w:p>
            <w:pPr>
              <w:pStyle w:val="Compact"/>
            </w:pPr>
            <w:r>
              <w:t xml:space="preserve">Safety: transplant-related and immunosuppression risks are central; exact AE breakdown not reproduced here. Randomized data at approval:</w:t>
            </w:r>
            <w:r>
              <w:t xml:space="preserve"> </w:t>
            </w:r>
            <w:r>
              <w:rPr>
                <w:b/>
                <w:bCs/>
              </w:rPr>
              <w:t xml:space="preserve">No</w:t>
            </w:r>
            <w:r>
              <w:t xml:space="preserve">. Pathway:</w:t>
            </w:r>
            <w:r>
              <w:t xml:space="preserve"> </w:t>
            </w:r>
            <w:r>
              <w:rPr>
                <w:b/>
                <w:bCs/>
              </w:rPr>
              <w:t xml:space="preserve">TA</w:t>
            </w:r>
            <w:r>
              <w:t xml:space="preserve">. FDA rationale quote: “</w:t>
            </w:r>
            <w:r>
              <w:rPr>
                <w:b/>
                <w:bCs/>
              </w:rPr>
              <w:t xml:space="preserve">If such treatment effect is observed, a single arm trial would be acceptable</w:t>
            </w:r>
            <w:r>
              <w:t xml:space="preserve">” against a natural-history-derived performance threshold.</w:t>
            </w:r>
          </w:p>
        </w:tc>
        <w:tc>
          <w:tcPr/>
          <w:p>
            <w:pPr>
              <w:pStyle w:val="Compact"/>
            </w:pPr>
            <w:r>
              <w:t xml:space="preserve">FDA press release, SBRA, label, and clinical reviewer discussion.</w:t>
            </w:r>
            <w:r>
              <w:t xml:space="preserve"> </w:t>
            </w:r>
            <w:hyperlink r:id="rId39">
              <w:r>
                <w:rPr>
                  <w:rStyle w:val="Hyperlink"/>
                </w:rPr>
                <w:t xml:space="preserve">[19]</w:t>
              </w:r>
            </w:hyperlink>
          </w:p>
        </w:tc>
      </w:tr>
      <w:tr>
        <w:tc>
          <w:tcPr/>
          <w:p>
            <w:pPr>
              <w:pStyle w:val="Compact"/>
            </w:pPr>
            <w:r>
              <w:rPr>
                <w:b/>
                <w:bCs/>
              </w:rPr>
              <w:t xml:space="preserve">VIJOICE / alpelisib</w:t>
            </w:r>
          </w:p>
        </w:tc>
        <w:tc>
          <w:tcPr/>
          <w:p>
            <w:pPr>
              <w:pStyle w:val="Compact"/>
            </w:pPr>
            <w:r>
              <w:rPr>
                <w:b/>
                <w:bCs/>
              </w:rPr>
              <w:t xml:space="preserve">2022-04-05</w:t>
            </w:r>
            <w:r>
              <w:t xml:space="preserve">. Indication: severe manifestations of PIK3CA-related overgrowth spectrum requiring systemic therapy. Sponsor:</w:t>
            </w:r>
            <w:r>
              <w:t xml:space="preserve"> </w:t>
            </w:r>
            <w:r>
              <w:rPr>
                <w:b/>
                <w:bCs/>
              </w:rPr>
              <w:t xml:space="preserve">Novartis Pharmaceuticals</w:t>
            </w:r>
            <w:r>
              <w:t xml:space="preserve">.</w:t>
            </w:r>
          </w:p>
        </w:tc>
        <w:tc>
          <w:tcPr/>
          <w:p>
            <w:pPr>
              <w:pStyle w:val="Compact"/>
            </w:pPr>
            <w:r>
              <w:t xml:space="preserve">EPIK-P1; FDA considered it a</w:t>
            </w:r>
            <w:r>
              <w:t xml:space="preserve"> </w:t>
            </w:r>
            <w:r>
              <w:rPr>
                <w:b/>
                <w:bCs/>
              </w:rPr>
              <w:t xml:space="preserve">single-arm clinical study</w:t>
            </w:r>
            <w:r>
              <w:t xml:space="preserve"> </w:t>
            </w:r>
            <w:r>
              <w:t xml:space="preserve">using expanded-access-treated patients. Endpoint: radiologic response at Week 24. Quantitative response was not reproduced in the retrieved snippets.</w:t>
            </w:r>
          </w:p>
        </w:tc>
        <w:tc>
          <w:tcPr/>
          <w:p>
            <w:pPr>
              <w:pStyle w:val="Compact"/>
            </w:pPr>
            <w:r>
              <w:t xml:space="preserve">Safety: not fully reproduced in the snippets retrieved here. Randomized data at approval:</w:t>
            </w:r>
            <w:r>
              <w:t xml:space="preserve"> </w:t>
            </w:r>
            <w:r>
              <w:rPr>
                <w:b/>
                <w:bCs/>
              </w:rPr>
              <w:t xml:space="preserve">No</w:t>
            </w:r>
            <w:r>
              <w:t xml:space="preserve">. Pathway:</w:t>
            </w:r>
            <w:r>
              <w:t xml:space="preserve"> </w:t>
            </w:r>
            <w:r>
              <w:rPr>
                <w:b/>
                <w:bCs/>
              </w:rPr>
              <w:t xml:space="preserve">AA</w:t>
            </w:r>
            <w:r>
              <w:t xml:space="preserve">. FDA rationale quote: “</w:t>
            </w:r>
            <w:r>
              <w:rPr>
                <w:b/>
                <w:bCs/>
              </w:rPr>
              <w:t xml:space="preserve">since lesions would not be expected to regress in the absence of active therapy, the review team considered the endpoint of radiologic response rate at Week 24 as reasonably likely to predict clinical benefit.</w:t>
            </w:r>
            <w:r>
              <w:t xml:space="preserve">”</w:t>
            </w:r>
          </w:p>
        </w:tc>
        <w:tc>
          <w:tcPr/>
          <w:p>
            <w:pPr>
              <w:pStyle w:val="Compact"/>
            </w:pPr>
            <w:r>
              <w:t xml:space="preserve">FDA approval notice, multidiscipline review, and FDA RWE page.</w:t>
            </w:r>
            <w:r>
              <w:t xml:space="preserve"> </w:t>
            </w:r>
            <w:hyperlink r:id="rId40">
              <w:r>
                <w:rPr>
                  <w:rStyle w:val="Hyperlink"/>
                </w:rPr>
                <w:t xml:space="preserve">[20]</w:t>
              </w:r>
            </w:hyperlink>
          </w:p>
        </w:tc>
      </w:tr>
      <w:tr>
        <w:tc>
          <w:tcPr/>
          <w:p>
            <w:pPr>
              <w:pStyle w:val="Compact"/>
            </w:pPr>
            <w:r>
              <w:rPr>
                <w:b/>
                <w:bCs/>
              </w:rPr>
              <w:t xml:space="preserve">ZYNTEGLO / betibeglogene autotemcel</w:t>
            </w:r>
          </w:p>
        </w:tc>
        <w:tc>
          <w:tcPr/>
          <w:p>
            <w:pPr>
              <w:pStyle w:val="Compact"/>
            </w:pPr>
            <w:r>
              <w:rPr>
                <w:b/>
                <w:bCs/>
              </w:rPr>
              <w:t xml:space="preserve">2022-08-17</w:t>
            </w:r>
            <w:r>
              <w:t xml:space="preserve">. Indication: transfusion-dependent β-thalassemia. Sponsor:</w:t>
            </w:r>
            <w:r>
              <w:t xml:space="preserve"> </w:t>
            </w:r>
            <w:r>
              <w:rPr>
                <w:b/>
                <w:bCs/>
              </w:rPr>
              <w:t xml:space="preserve">unspecified in retrieved excerpt</w:t>
            </w:r>
            <w:r>
              <w:t xml:space="preserve">.</w:t>
            </w:r>
          </w:p>
        </w:tc>
        <w:tc>
          <w:tcPr/>
          <w:p>
            <w:pPr>
              <w:pStyle w:val="Compact"/>
            </w:pPr>
            <w:r>
              <w:t xml:space="preserve">Studies HGB-207 and HGB-212; ongoing, open-label, multicenter, single-arm studies. Sample sizes in label excerpt:</w:t>
            </w:r>
            <w:r>
              <w:t xml:space="preserve"> </w:t>
            </w:r>
            <w:r>
              <w:rPr>
                <w:b/>
                <w:bCs/>
              </w:rPr>
              <w:t xml:space="preserve">23</w:t>
            </w:r>
            <w:r>
              <w:t xml:space="preserve"> </w:t>
            </w:r>
            <w:r>
              <w:t xml:space="preserve">in Study 1 and</w:t>
            </w:r>
            <w:r>
              <w:t xml:space="preserve"> </w:t>
            </w:r>
            <w:r>
              <w:rPr>
                <w:b/>
                <w:bCs/>
              </w:rPr>
              <w:t xml:space="preserve">18</w:t>
            </w:r>
            <w:r>
              <w:t xml:space="preserve"> </w:t>
            </w:r>
            <w:r>
              <w:t xml:space="preserve">in Study 2. Endpoint:</w:t>
            </w:r>
            <w:r>
              <w:t xml:space="preserve"> </w:t>
            </w:r>
            <w:r>
              <w:rPr>
                <w:b/>
                <w:bCs/>
              </w:rPr>
              <w:t xml:space="preserve">transfusion independence</w:t>
            </w:r>
            <w:r>
              <w:t xml:space="preserve">. Label states</w:t>
            </w:r>
            <w:r>
              <w:t xml:space="preserve"> </w:t>
            </w:r>
            <w:r>
              <w:rPr>
                <w:b/>
                <w:bCs/>
              </w:rPr>
              <w:t xml:space="preserve">20</w:t>
            </w:r>
            <w:r>
              <w:t xml:space="preserve"> </w:t>
            </w:r>
            <w:r>
              <w:t xml:space="preserve">patients in Study 1 achieved TI; additional results were reported for Study 2 in the full label.</w:t>
            </w:r>
          </w:p>
        </w:tc>
        <w:tc>
          <w:tcPr/>
          <w:p>
            <w:pPr>
              <w:pStyle w:val="Compact"/>
            </w:pPr>
            <w:r>
              <w:t xml:space="preserve">Safety: gene-therapy conditioning and long-term follow-up issues are central; exact common AE rates not reproduced in the retrieved snippets. Randomized data at approval:</w:t>
            </w:r>
            <w:r>
              <w:t xml:space="preserve"> </w:t>
            </w:r>
            <w:r>
              <w:rPr>
                <w:b/>
                <w:bCs/>
              </w:rPr>
              <w:t xml:space="preserve">No</w:t>
            </w:r>
            <w:r>
              <w:t xml:space="preserve">. Pathway:</w:t>
            </w:r>
            <w:r>
              <w:t xml:space="preserve"> </w:t>
            </w:r>
            <w:r>
              <w:rPr>
                <w:b/>
                <w:bCs/>
              </w:rPr>
              <w:t xml:space="preserve">TA</w:t>
            </w:r>
            <w:r>
              <w:t xml:space="preserve">. FDA rationale was the large and durable shift from chronic transfusion dependence in a severe disease with substantial unmet need.</w:t>
            </w:r>
          </w:p>
        </w:tc>
        <w:tc>
          <w:tcPr/>
          <w:p>
            <w:pPr>
              <w:pStyle w:val="Compact"/>
            </w:pPr>
            <w:r>
              <w:t xml:space="preserve">Label, SBRA, and advisory-committee document.</w:t>
            </w:r>
            <w:r>
              <w:t xml:space="preserve"> </w:t>
            </w:r>
            <w:hyperlink r:id="rId41">
              <w:r>
                <w:rPr>
                  <w:rStyle w:val="Hyperlink"/>
                </w:rPr>
                <w:t xml:space="preserve">[21]</w:t>
              </w:r>
            </w:hyperlink>
          </w:p>
        </w:tc>
      </w:tr>
      <w:tr>
        <w:tc>
          <w:tcPr/>
          <w:p>
            <w:pPr>
              <w:pStyle w:val="Compact"/>
            </w:pPr>
            <w:r>
              <w:rPr>
                <w:b/>
                <w:bCs/>
              </w:rPr>
              <w:t xml:space="preserve">SKYSONA / elivaldogene autotemcel</w:t>
            </w:r>
          </w:p>
        </w:tc>
        <w:tc>
          <w:tcPr/>
          <w:p>
            <w:pPr>
              <w:pStyle w:val="Compact"/>
            </w:pPr>
            <w:r>
              <w:rPr>
                <w:b/>
                <w:bCs/>
              </w:rPr>
              <w:t xml:space="preserve">2022-09-16</w:t>
            </w:r>
            <w:r>
              <w:t xml:space="preserve">. Indication: early, active cerebral adrenoleukodystrophy in boys without a matched donor. Sponsor:</w:t>
            </w:r>
            <w:r>
              <w:t xml:space="preserve"> </w:t>
            </w:r>
            <w:r>
              <w:rPr>
                <w:b/>
                <w:bCs/>
              </w:rPr>
              <w:t xml:space="preserve">Bluebird Bio</w:t>
            </w:r>
            <w:r>
              <w:t xml:space="preserve">.</w:t>
            </w:r>
          </w:p>
        </w:tc>
        <w:tc>
          <w:tcPr/>
          <w:p>
            <w:pPr>
              <w:pStyle w:val="Compact"/>
            </w:pPr>
            <w:r>
              <w:t xml:space="preserve">FDA’s RWE page states the pivotal evidence was an</w:t>
            </w:r>
            <w:r>
              <w:t xml:space="preserve"> </w:t>
            </w:r>
            <w:r>
              <w:rPr>
                <w:b/>
                <w:bCs/>
              </w:rPr>
              <w:t xml:space="preserve">externally controlled trial</w:t>
            </w:r>
            <w:r>
              <w:t xml:space="preserve"> </w:t>
            </w:r>
            <w:r>
              <w:t xml:space="preserve">built from a single-arm treated cohort, natural history, and allo-HSCT comparator data. Endpoint: event-free survival and prevention of neurologic progression. Exact treated sample size was not reproduced in the retrieved snippets.</w:t>
            </w:r>
          </w:p>
        </w:tc>
        <w:tc>
          <w:tcPr/>
          <w:p>
            <w:pPr>
              <w:pStyle w:val="Compact"/>
            </w:pPr>
            <w:r>
              <w:t xml:space="preserve">Safety: long-term follow-up and hematologic malignancy concerns are central in postapproval documents. Randomized data at approval:</w:t>
            </w:r>
            <w:r>
              <w:t xml:space="preserve"> </w:t>
            </w:r>
            <w:r>
              <w:rPr>
                <w:b/>
                <w:bCs/>
              </w:rPr>
              <w:t xml:space="preserve">No</w:t>
            </w:r>
            <w:r>
              <w:t xml:space="preserve">. Pathway:</w:t>
            </w:r>
            <w:r>
              <w:t xml:space="preserve"> </w:t>
            </w:r>
            <w:r>
              <w:rPr>
                <w:b/>
                <w:bCs/>
              </w:rPr>
              <w:t xml:space="preserve">AA</w:t>
            </w:r>
            <w:r>
              <w:t xml:space="preserve">. FDA rationale quote: RWE from external controls “</w:t>
            </w:r>
            <w:r>
              <w:rPr>
                <w:b/>
                <w:bCs/>
              </w:rPr>
              <w:t xml:space="preserve">was a primary source of clinical evidence of effectiveness from a single adequate and well-controlled investigation</w:t>
            </w:r>
            <w:r>
              <w:t xml:space="preserve">.”</w:t>
            </w:r>
          </w:p>
        </w:tc>
        <w:tc>
          <w:tcPr/>
          <w:p>
            <w:pPr>
              <w:pStyle w:val="Compact"/>
            </w:pPr>
            <w:r>
              <w:t xml:space="preserve">FDA SBRA, label summary, and FDA RWE decision page.</w:t>
            </w:r>
            <w:r>
              <w:t xml:space="preserve"> </w:t>
            </w:r>
            <w:hyperlink r:id="rId42">
              <w:r>
                <w:rPr>
                  <w:rStyle w:val="Hyperlink"/>
                </w:rPr>
                <w:t xml:space="preserve">[22]</w:t>
              </w:r>
            </w:hyperlink>
          </w:p>
        </w:tc>
      </w:tr>
      <w:tr>
        <w:tc>
          <w:tcPr/>
          <w:p>
            <w:pPr>
              <w:pStyle w:val="Compact"/>
            </w:pPr>
            <w:r>
              <w:rPr>
                <w:b/>
                <w:bCs/>
              </w:rPr>
              <w:t xml:space="preserve">HEMGENIX / etranacogene dezaparvovec-drlb</w:t>
            </w:r>
          </w:p>
        </w:tc>
        <w:tc>
          <w:tcPr/>
          <w:p>
            <w:pPr>
              <w:pStyle w:val="Compact"/>
            </w:pPr>
            <w:r>
              <w:rPr>
                <w:b/>
                <w:bCs/>
              </w:rPr>
              <w:t xml:space="preserve">2022-11-22</w:t>
            </w:r>
            <w:r>
              <w:t xml:space="preserve">. Indication: adults with hemophilia B who use prophylaxis or have serious spontaneous bleeds. Sponsor:</w:t>
            </w:r>
            <w:r>
              <w:t xml:space="preserve"> </w:t>
            </w:r>
            <w:r>
              <w:rPr>
                <w:b/>
                <w:bCs/>
              </w:rPr>
              <w:t xml:space="preserve">unspecified in retrieved excerpt</w:t>
            </w:r>
            <w:r>
              <w:t xml:space="preserve">.</w:t>
            </w:r>
          </w:p>
        </w:tc>
        <w:tc>
          <w:tcPr/>
          <w:p>
            <w:pPr>
              <w:pStyle w:val="Compact"/>
            </w:pPr>
            <w:r>
              <w:t xml:space="preserve">HOPE-B and related data; single-arm gene-therapy program. Exact phase-3 efficacy sample size was not reproduced in the retrieved snippets here. Endpoint basis: factor IX activity and bleeding reduction.</w:t>
            </w:r>
          </w:p>
        </w:tc>
        <w:tc>
          <w:tcPr/>
          <w:p>
            <w:pPr>
              <w:pStyle w:val="Compact"/>
            </w:pPr>
            <w:r>
              <w:t xml:space="preserve">Safety: hepatotoxicity and long-term follow-up are central; exact AE frequencies not reproduced here. Randomized data at approval:</w:t>
            </w:r>
            <w:r>
              <w:t xml:space="preserve"> </w:t>
            </w:r>
            <w:r>
              <w:rPr>
                <w:b/>
                <w:bCs/>
              </w:rPr>
              <w:t xml:space="preserve">No</w:t>
            </w:r>
            <w:r>
              <w:t xml:space="preserve">. Pathway:</w:t>
            </w:r>
            <w:r>
              <w:t xml:space="preserve"> </w:t>
            </w:r>
            <w:r>
              <w:rPr>
                <w:b/>
                <w:bCs/>
              </w:rPr>
              <w:t xml:space="preserve">TA</w:t>
            </w:r>
            <w:r>
              <w:t xml:space="preserve">. FDA rationale in the SBRA emphasizes a favorable benefit-risk profile for a one-time therapy in a chronic severe bleeding disorder.</w:t>
            </w:r>
          </w:p>
        </w:tc>
        <w:tc>
          <w:tcPr/>
          <w:p>
            <w:pPr>
              <w:pStyle w:val="Compact"/>
            </w:pPr>
            <w:r>
              <w:t xml:space="preserve">SBRA and label.</w:t>
            </w:r>
            <w:r>
              <w:t xml:space="preserve"> </w:t>
            </w:r>
            <w:hyperlink r:id="rId43">
              <w:r>
                <w:rPr>
                  <w:rStyle w:val="Hyperlink"/>
                </w:rPr>
                <w:t xml:space="preserve">[23]</w:t>
              </w:r>
            </w:hyperlink>
          </w:p>
        </w:tc>
      </w:tr>
      <w:tr>
        <w:tc>
          <w:tcPr/>
          <w:p>
            <w:pPr>
              <w:pStyle w:val="Compact"/>
            </w:pPr>
            <w:r>
              <w:rPr>
                <w:b/>
                <w:bCs/>
              </w:rPr>
              <w:t xml:space="preserve">ADSTILADRIN / nadofaragene firadenovec-vncg</w:t>
            </w:r>
          </w:p>
        </w:tc>
        <w:tc>
          <w:tcPr/>
          <w:p>
            <w:pPr>
              <w:pStyle w:val="Compact"/>
            </w:pPr>
            <w:r>
              <w:rPr>
                <w:b/>
                <w:bCs/>
              </w:rPr>
              <w:t xml:space="preserve">2022-12-16</w:t>
            </w:r>
            <w:r>
              <w:t xml:space="preserve">. Indication: high-risk BCG-unresponsive non-muscle-invasive bladder cancer with CIS, with or without papillary tumors. Sponsor:</w:t>
            </w:r>
            <w:r>
              <w:t xml:space="preserve"> </w:t>
            </w:r>
            <w:r>
              <w:rPr>
                <w:b/>
                <w:bCs/>
              </w:rPr>
              <w:t xml:space="preserve">unspecified in retrieved excerpt</w:t>
            </w:r>
            <w:r>
              <w:t xml:space="preserve">.</w:t>
            </w:r>
          </w:p>
        </w:tc>
        <w:tc>
          <w:tcPr/>
          <w:p>
            <w:pPr>
              <w:pStyle w:val="Compact"/>
            </w:pPr>
            <w:r>
              <w:t xml:space="preserve">Study CS-003; single-arm trial in</w:t>
            </w:r>
            <w:r>
              <w:t xml:space="preserve"> </w:t>
            </w:r>
            <w:r>
              <w:rPr>
                <w:b/>
                <w:bCs/>
              </w:rPr>
              <w:t xml:space="preserve">98 evaluable</w:t>
            </w:r>
            <w:r>
              <w:t xml:space="preserve"> </w:t>
            </w:r>
            <w:r>
              <w:t xml:space="preserve">patients. Primary endpoint: complete response. Exact CR rate was not reproduced in the retrieved snippet here.</w:t>
            </w:r>
          </w:p>
        </w:tc>
        <w:tc>
          <w:tcPr/>
          <w:p>
            <w:pPr>
              <w:pStyle w:val="Compact"/>
            </w:pPr>
            <w:r>
              <w:t xml:space="preserve">Safety: exact common AEs were not reproduced in the retrieved FDA abstract snippet. Randomized data at approval:</w:t>
            </w:r>
            <w:r>
              <w:t xml:space="preserve"> </w:t>
            </w:r>
            <w:r>
              <w:rPr>
                <w:b/>
                <w:bCs/>
              </w:rPr>
              <w:t xml:space="preserve">No</w:t>
            </w:r>
            <w:r>
              <w:t xml:space="preserve">. Pathway:</w:t>
            </w:r>
            <w:r>
              <w:t xml:space="preserve"> </w:t>
            </w:r>
            <w:r>
              <w:rPr>
                <w:b/>
                <w:bCs/>
              </w:rPr>
              <w:t xml:space="preserve">TA</w:t>
            </w:r>
            <w:r>
              <w:t xml:space="preserve">. FDA reasoning is best inferred from a high-risk, BCG-unresponsive population facing cystectomy and the clinical interpretability of complete response.</w:t>
            </w:r>
          </w:p>
        </w:tc>
        <w:tc>
          <w:tcPr/>
          <w:p>
            <w:pPr>
              <w:pStyle w:val="Compact"/>
            </w:pPr>
            <w:r>
              <w:t xml:space="preserve">FDA approval summary abstract.</w:t>
            </w:r>
            <w:r>
              <w:t xml:space="preserve"> </w:t>
            </w:r>
            <w:hyperlink r:id="rId44">
              <w:r>
                <w:rPr>
                  <w:rStyle w:val="Hyperlink"/>
                </w:rPr>
                <w:t xml:space="preserve">[24]</w:t>
              </w:r>
            </w:hyperlink>
          </w:p>
        </w:tc>
      </w:tr>
      <w:tr>
        <w:tc>
          <w:tcPr/>
          <w:p>
            <w:pPr>
              <w:pStyle w:val="Compact"/>
            </w:pPr>
            <w:r>
              <w:rPr>
                <w:b/>
                <w:bCs/>
              </w:rPr>
              <w:t xml:space="preserve">CASGEVY / exagamglogene autotemcel</w:t>
            </w:r>
          </w:p>
        </w:tc>
        <w:tc>
          <w:tcPr/>
          <w:p>
            <w:pPr>
              <w:pStyle w:val="Compact"/>
            </w:pPr>
            <w:r>
              <w:rPr>
                <w:b/>
                <w:bCs/>
              </w:rPr>
              <w:t xml:space="preserve">2023-12-08</w:t>
            </w:r>
            <w:r>
              <w:t xml:space="preserve">. Indication: sickle cell disease with recurrent vaso-occlusive crises. Sponsor:</w:t>
            </w:r>
            <w:r>
              <w:t xml:space="preserve"> </w:t>
            </w:r>
            <w:r>
              <w:rPr>
                <w:b/>
                <w:bCs/>
              </w:rPr>
              <w:t xml:space="preserve">unspecified in retrieved excerpt</w:t>
            </w:r>
            <w:r>
              <w:t xml:space="preserve">.</w:t>
            </w:r>
          </w:p>
        </w:tc>
        <w:tc>
          <w:tcPr/>
          <w:p>
            <w:pPr>
              <w:pStyle w:val="Compact"/>
            </w:pPr>
            <w:r>
              <w:t xml:space="preserve">Ongoing, multicenter,</w:t>
            </w:r>
            <w:r>
              <w:t xml:space="preserve"> </w:t>
            </w:r>
            <w:r>
              <w:rPr>
                <w:b/>
                <w:bCs/>
              </w:rPr>
              <w:t xml:space="preserve">single-arm</w:t>
            </w:r>
            <w:r>
              <w:t xml:space="preserve"> </w:t>
            </w:r>
            <w:r>
              <w:t xml:space="preserve">trial.</w:t>
            </w:r>
            <w:r>
              <w:t xml:space="preserve"> </w:t>
            </w:r>
            <w:r>
              <w:rPr>
                <w:b/>
                <w:bCs/>
              </w:rPr>
              <w:t xml:space="preserve">44</w:t>
            </w:r>
            <w:r>
              <w:t xml:space="preserve"> </w:t>
            </w:r>
            <w:r>
              <w:t xml:space="preserve">treated patients in the retrieved FDA press release. Primary efficacy endpoint: freedom from severe VOCs for at least</w:t>
            </w:r>
            <w:r>
              <w:t xml:space="preserve"> </w:t>
            </w:r>
            <w:r>
              <w:rPr>
                <w:b/>
                <w:bCs/>
              </w:rPr>
              <w:t xml:space="preserve">12 consecutive months</w:t>
            </w:r>
            <w:r>
              <w:t xml:space="preserve"> </w:t>
            </w:r>
            <w:r>
              <w:t xml:space="preserve">during the 24-month follow-up.</w:t>
            </w:r>
          </w:p>
        </w:tc>
        <w:tc>
          <w:tcPr/>
          <w:p>
            <w:pPr>
              <w:pStyle w:val="Compact"/>
            </w:pPr>
            <w:r>
              <w:t xml:space="preserve">Safety: conditioning-related and transplant-related risks are central; exact event frequencies not reproduced here. Randomized data at approval:</w:t>
            </w:r>
            <w:r>
              <w:t xml:space="preserve"> </w:t>
            </w:r>
            <w:r>
              <w:rPr>
                <w:b/>
                <w:bCs/>
              </w:rPr>
              <w:t xml:space="preserve">No</w:t>
            </w:r>
            <w:r>
              <w:t xml:space="preserve">. Pathway:</w:t>
            </w:r>
            <w:r>
              <w:t xml:space="preserve"> </w:t>
            </w:r>
            <w:r>
              <w:rPr>
                <w:b/>
                <w:bCs/>
              </w:rPr>
              <w:t xml:space="preserve">TA</w:t>
            </w:r>
            <w:r>
              <w:t xml:space="preserve">. FDA clinical review memo quote: “</w:t>
            </w:r>
            <w:r>
              <w:rPr>
                <w:b/>
                <w:bCs/>
              </w:rPr>
              <w:t xml:space="preserve">The overall benefit-risk profile appears favorable and favors regular approval</w:t>
            </w:r>
            <w:r>
              <w:t xml:space="preserve">.”</w:t>
            </w:r>
          </w:p>
        </w:tc>
        <w:tc>
          <w:tcPr/>
          <w:p>
            <w:pPr>
              <w:pStyle w:val="Compact"/>
            </w:pPr>
            <w:r>
              <w:t xml:space="preserve">FDA press release, SBRA, and clinical review memo.</w:t>
            </w:r>
            <w:r>
              <w:t xml:space="preserve"> </w:t>
            </w:r>
            <w:hyperlink r:id="rId45">
              <w:r>
                <w:rPr>
                  <w:rStyle w:val="Hyperlink"/>
                </w:rPr>
                <w:t xml:space="preserve">[25]</w:t>
              </w:r>
            </w:hyperlink>
          </w:p>
        </w:tc>
      </w:tr>
      <w:tr>
        <w:tc>
          <w:tcPr/>
          <w:p>
            <w:pPr>
              <w:pStyle w:val="Compact"/>
            </w:pPr>
            <w:r>
              <w:rPr>
                <w:b/>
                <w:bCs/>
              </w:rPr>
              <w:t xml:space="preserve">LYFGENIA / lovotibeglogene autotemcel</w:t>
            </w:r>
          </w:p>
        </w:tc>
        <w:tc>
          <w:tcPr/>
          <w:p>
            <w:pPr>
              <w:pStyle w:val="Compact"/>
            </w:pPr>
            <w:r>
              <w:rPr>
                <w:b/>
                <w:bCs/>
              </w:rPr>
              <w:t xml:space="preserve">2023-12-08</w:t>
            </w:r>
            <w:r>
              <w:t xml:space="preserve">. Indication: sickle cell disease with vaso-occlusive events. Sponsor:</w:t>
            </w:r>
            <w:r>
              <w:t xml:space="preserve"> </w:t>
            </w:r>
            <w:r>
              <w:rPr>
                <w:b/>
                <w:bCs/>
              </w:rPr>
              <w:t xml:space="preserve">unspecified in retrieved excerpt</w:t>
            </w:r>
            <w:r>
              <w:t xml:space="preserve">.</w:t>
            </w:r>
          </w:p>
        </w:tc>
        <w:tc>
          <w:tcPr/>
          <w:p>
            <w:pPr>
              <w:pStyle w:val="Compact"/>
            </w:pPr>
            <w:r>
              <w:t xml:space="preserve">Single-arm, 24-month multicenter program. FDA press release states</w:t>
            </w:r>
            <w:r>
              <w:t xml:space="preserve"> </w:t>
            </w:r>
            <w:r>
              <w:rPr>
                <w:b/>
                <w:bCs/>
              </w:rPr>
              <w:t xml:space="preserve">32</w:t>
            </w:r>
            <w:r>
              <w:t xml:space="preserve"> </w:t>
            </w:r>
            <w:r>
              <w:t xml:space="preserve">patients were efficacy-evaluable for the approval analysis and</w:t>
            </w:r>
            <w:r>
              <w:t xml:space="preserve"> </w:t>
            </w:r>
            <w:r>
              <w:rPr>
                <w:b/>
                <w:bCs/>
              </w:rPr>
              <w:t xml:space="preserve">28 (88%)</w:t>
            </w:r>
            <w:r>
              <w:t xml:space="preserve"> </w:t>
            </w:r>
            <w:r>
              <w:t xml:space="preserve">achieved complete resolution of VOEs during the prespecified interval.</w:t>
            </w:r>
          </w:p>
        </w:tc>
        <w:tc>
          <w:tcPr/>
          <w:p>
            <w:pPr>
              <w:pStyle w:val="Compact"/>
            </w:pPr>
            <w:r>
              <w:t xml:space="preserve">Safety: boxed and long-term risks are central in the product label; exact common AE rates were not the key retrieved excerpt here. Randomized data at approval:</w:t>
            </w:r>
            <w:r>
              <w:t xml:space="preserve"> </w:t>
            </w:r>
            <w:r>
              <w:rPr>
                <w:b/>
                <w:bCs/>
              </w:rPr>
              <w:t xml:space="preserve">No</w:t>
            </w:r>
            <w:r>
              <w:t xml:space="preserve">. Pathway:</w:t>
            </w:r>
            <w:r>
              <w:t xml:space="preserve"> </w:t>
            </w:r>
            <w:r>
              <w:rPr>
                <w:b/>
                <w:bCs/>
              </w:rPr>
              <w:t xml:space="preserve">TA</w:t>
            </w:r>
            <w:r>
              <w:t xml:space="preserve">. FDA clinical review memo notes that the development program consisted entirely of single-arm trials.</w:t>
            </w:r>
          </w:p>
        </w:tc>
        <w:tc>
          <w:tcPr/>
          <w:p>
            <w:pPr>
              <w:pStyle w:val="Compact"/>
            </w:pPr>
            <w:r>
              <w:t xml:space="preserve">FDA press release, label, and clinical review memo.</w:t>
            </w:r>
            <w:r>
              <w:t xml:space="preserve"> </w:t>
            </w:r>
            <w:hyperlink r:id="rId45">
              <w:r>
                <w:rPr>
                  <w:rStyle w:val="Hyperlink"/>
                </w:rPr>
                <w:t xml:space="preserve">[26]</w:t>
              </w:r>
            </w:hyperlink>
          </w:p>
        </w:tc>
      </w:tr>
      <w:tr>
        <w:tc>
          <w:tcPr/>
          <w:p>
            <w:pPr>
              <w:pStyle w:val="Compact"/>
            </w:pPr>
            <w:r>
              <w:rPr>
                <w:b/>
                <w:bCs/>
              </w:rPr>
              <w:t xml:space="preserve">LENMELDY / atidarsagene autotemcel</w:t>
            </w:r>
          </w:p>
        </w:tc>
        <w:tc>
          <w:tcPr/>
          <w:p>
            <w:pPr>
              <w:pStyle w:val="Compact"/>
            </w:pPr>
            <w:r>
              <w:rPr>
                <w:b/>
                <w:bCs/>
              </w:rPr>
              <w:t xml:space="preserve">2024-03-18</w:t>
            </w:r>
            <w:r>
              <w:t xml:space="preserve">. Indication: selected presymptomatic and early symptomatic metachromatic leukodystrophy. Sponsor:</w:t>
            </w:r>
            <w:r>
              <w:t xml:space="preserve"> </w:t>
            </w:r>
            <w:r>
              <w:rPr>
                <w:b/>
                <w:bCs/>
              </w:rPr>
              <w:t xml:space="preserve">Orchard Therapeutics</w:t>
            </w:r>
            <w:r>
              <w:t xml:space="preserve">.</w:t>
            </w:r>
          </w:p>
        </w:tc>
        <w:tc>
          <w:tcPr/>
          <w:p>
            <w:pPr>
              <w:pStyle w:val="Compact"/>
            </w:pPr>
            <w:r>
              <w:t xml:space="preserve">Two single-arm, open-label trials plus expanded-access data, contextualized with natural-history controls. Label excerpt states</w:t>
            </w:r>
            <w:r>
              <w:t xml:space="preserve"> </w:t>
            </w:r>
            <w:r>
              <w:rPr>
                <w:b/>
                <w:bCs/>
              </w:rPr>
              <w:t xml:space="preserve">39</w:t>
            </w:r>
            <w:r>
              <w:t xml:space="preserve"> </w:t>
            </w:r>
            <w:r>
              <w:t xml:space="preserve">children across the clinical trials and EU EAP. Endpoint basis: prevention or major delay of motor/cognitive decline relative to expected natural history.</w:t>
            </w:r>
          </w:p>
        </w:tc>
        <w:tc>
          <w:tcPr/>
          <w:p>
            <w:pPr>
              <w:pStyle w:val="Compact"/>
            </w:pPr>
            <w:r>
              <w:t xml:space="preserve">Safety: conditioning and long-term follow-up risks are central; exact AE frequencies not reproduced here. Randomized data at approval:</w:t>
            </w:r>
            <w:r>
              <w:t xml:space="preserve"> </w:t>
            </w:r>
            <w:r>
              <w:rPr>
                <w:b/>
                <w:bCs/>
              </w:rPr>
              <w:t xml:space="preserve">No</w:t>
            </w:r>
            <w:r>
              <w:t xml:space="preserve">. Pathway:</w:t>
            </w:r>
            <w:r>
              <w:t xml:space="preserve"> </w:t>
            </w:r>
            <w:r>
              <w:rPr>
                <w:b/>
                <w:bCs/>
              </w:rPr>
              <w:t xml:space="preserve">TA</w:t>
            </w:r>
            <w:r>
              <w:t xml:space="preserve">. FDA rationale quote: “</w:t>
            </w:r>
            <w:r>
              <w:rPr>
                <w:b/>
                <w:bCs/>
              </w:rPr>
              <w:t xml:space="preserve">substantial evidence of effectiveness ... is based on a single adequate and well controlled investigation with confirmatory evidence.</w:t>
            </w:r>
            <w:r>
              <w:t xml:space="preserve">”</w:t>
            </w:r>
          </w:p>
        </w:tc>
        <w:tc>
          <w:tcPr/>
          <w:p>
            <w:pPr>
              <w:pStyle w:val="Compact"/>
            </w:pPr>
            <w:r>
              <w:t xml:space="preserve">SBRA, label, and FDA RWE decision page.</w:t>
            </w:r>
            <w:r>
              <w:t xml:space="preserve"> </w:t>
            </w:r>
            <w:hyperlink r:id="rId46">
              <w:r>
                <w:rPr>
                  <w:rStyle w:val="Hyperlink"/>
                </w:rPr>
                <w:t xml:space="preserve">[27]</w:t>
              </w:r>
            </w:hyperlink>
          </w:p>
        </w:tc>
      </w:tr>
      <w:tr>
        <w:tc>
          <w:tcPr/>
          <w:p>
            <w:pPr>
              <w:pStyle w:val="Compact"/>
            </w:pPr>
            <w:r>
              <w:rPr>
                <w:b/>
                <w:bCs/>
              </w:rPr>
              <w:t xml:space="preserve">KEBILIDI / eladocagene exuparvovec-tneq</w:t>
            </w:r>
          </w:p>
        </w:tc>
        <w:tc>
          <w:tcPr/>
          <w:p>
            <w:pPr>
              <w:pStyle w:val="Compact"/>
            </w:pPr>
            <w:r>
              <w:rPr>
                <w:b/>
                <w:bCs/>
              </w:rPr>
              <w:t xml:space="preserve">2024-11-13</w:t>
            </w:r>
            <w:r>
              <w:t xml:space="preserve">. Indication: aromatic L-amino acid decarboxylase deficiency. Sponsor:</w:t>
            </w:r>
            <w:r>
              <w:t xml:space="preserve"> </w:t>
            </w:r>
            <w:r>
              <w:rPr>
                <w:b/>
                <w:bCs/>
              </w:rPr>
              <w:t xml:space="preserve">PTC Therapeutics</w:t>
            </w:r>
            <w:r>
              <w:t xml:space="preserve">.</w:t>
            </w:r>
          </w:p>
        </w:tc>
        <w:tc>
          <w:tcPr/>
          <w:p>
            <w:pPr>
              <w:pStyle w:val="Compact"/>
            </w:pPr>
            <w:r>
              <w:t xml:space="preserve">Open-label, single-arm study in</w:t>
            </w:r>
            <w:r>
              <w:t xml:space="preserve"> </w:t>
            </w:r>
            <w:r>
              <w:rPr>
                <w:b/>
                <w:bCs/>
              </w:rPr>
              <w:t xml:space="preserve">13 pediatric patients</w:t>
            </w:r>
            <w:r>
              <w:t xml:space="preserve">, compared with natural history. Primary basis for AA:</w:t>
            </w:r>
            <w:r>
              <w:t xml:space="preserve"> </w:t>
            </w:r>
            <w:r>
              <w:rPr>
                <w:b/>
                <w:bCs/>
              </w:rPr>
              <w:t xml:space="preserve">motor milestone achievement at Week 48</w:t>
            </w:r>
            <w:r>
              <w:t xml:space="preserve">.</w:t>
            </w:r>
          </w:p>
        </w:tc>
        <w:tc>
          <w:tcPr/>
          <w:p>
            <w:pPr>
              <w:pStyle w:val="Compact"/>
            </w:pPr>
            <w:r>
              <w:t xml:space="preserve">Safety: neurosurgical and gene-therapy risks are central; exact AE frequencies were not reproduced in the retrieved snippets here. Randomized data at approval:</w:t>
            </w:r>
            <w:r>
              <w:t xml:space="preserve"> </w:t>
            </w:r>
            <w:r>
              <w:rPr>
                <w:b/>
                <w:bCs/>
              </w:rPr>
              <w:t xml:space="preserve">No</w:t>
            </w:r>
            <w:r>
              <w:t xml:space="preserve">. Pathway:</w:t>
            </w:r>
            <w:r>
              <w:t xml:space="preserve"> </w:t>
            </w:r>
            <w:r>
              <w:rPr>
                <w:b/>
                <w:bCs/>
              </w:rPr>
              <w:t xml:space="preserve">AA</w:t>
            </w:r>
            <w:r>
              <w:t xml:space="preserve">. FDA rationale quote: “</w:t>
            </w:r>
            <w:r>
              <w:rPr>
                <w:b/>
                <w:bCs/>
              </w:rPr>
              <w:t xml:space="preserve">substantial evidence of effectiveness ... is based on a single adequate and well-controlled investigation with confirmatory evidence.</w:t>
            </w:r>
            <w:r>
              <w:t xml:space="preserve">”</w:t>
            </w:r>
          </w:p>
        </w:tc>
        <w:tc>
          <w:tcPr/>
          <w:p>
            <w:pPr>
              <w:pStyle w:val="Compact"/>
            </w:pPr>
            <w:r>
              <w:t xml:space="preserve">Press release, SBRA, product page.</w:t>
            </w:r>
            <w:r>
              <w:t xml:space="preserve"> </w:t>
            </w:r>
            <w:hyperlink r:id="rId47">
              <w:r>
                <w:rPr>
                  <w:rStyle w:val="Hyperlink"/>
                </w:rPr>
                <w:t xml:space="preserve">[28]</w:t>
              </w:r>
            </w:hyperlink>
          </w:p>
        </w:tc>
      </w:tr>
      <w:tr>
        <w:tc>
          <w:tcPr/>
          <w:p>
            <w:pPr>
              <w:pStyle w:val="Compact"/>
            </w:pPr>
            <w:r>
              <w:rPr>
                <w:b/>
                <w:bCs/>
              </w:rPr>
              <w:t xml:space="preserve">GOMEKLI / mirdametinib</w:t>
            </w:r>
          </w:p>
        </w:tc>
        <w:tc>
          <w:tcPr/>
          <w:p>
            <w:pPr>
              <w:pStyle w:val="Compact"/>
            </w:pPr>
            <w:r>
              <w:rPr>
                <w:b/>
                <w:bCs/>
              </w:rPr>
              <w:t xml:space="preserve">2025-02-11</w:t>
            </w:r>
            <w:r>
              <w:t xml:space="preserve">. Indication: adult and pediatric patients with NF1 and symptomatic plexiform neurofibromas not amenable to complete resection. Sponsor:</w:t>
            </w:r>
            <w:r>
              <w:t xml:space="preserve"> </w:t>
            </w:r>
            <w:r>
              <w:rPr>
                <w:b/>
                <w:bCs/>
              </w:rPr>
              <w:t xml:space="preserve">SpringWorks Therapeutics</w:t>
            </w:r>
            <w:r>
              <w:t xml:space="preserve">.</w:t>
            </w:r>
          </w:p>
        </w:tc>
        <w:tc>
          <w:tcPr/>
          <w:p>
            <w:pPr>
              <w:pStyle w:val="Compact"/>
            </w:pPr>
            <w:r>
              <w:t xml:space="preserve">ReNeu; multicenter, single-arm trial in</w:t>
            </w:r>
            <w:r>
              <w:t xml:space="preserve"> </w:t>
            </w:r>
            <w:r>
              <w:rPr>
                <w:b/>
                <w:bCs/>
              </w:rPr>
              <w:t xml:space="preserve">114</w:t>
            </w:r>
            <w:r>
              <w:t xml:space="preserve"> </w:t>
            </w:r>
            <w:r>
              <w:t xml:space="preserve">patients, including</w:t>
            </w:r>
            <w:r>
              <w:t xml:space="preserve"> </w:t>
            </w:r>
            <w:r>
              <w:rPr>
                <w:b/>
                <w:bCs/>
              </w:rPr>
              <w:t xml:space="preserve">58 adults</w:t>
            </w:r>
            <w:r>
              <w:t xml:space="preserve"> </w:t>
            </w:r>
            <w:r>
              <w:t xml:space="preserve">and</w:t>
            </w:r>
            <w:r>
              <w:t xml:space="preserve"> </w:t>
            </w:r>
            <w:r>
              <w:rPr>
                <w:b/>
                <w:bCs/>
              </w:rPr>
              <w:t xml:space="preserve">56 pediatric</w:t>
            </w:r>
            <w:r>
              <w:t xml:space="preserve"> </w:t>
            </w:r>
            <w:r>
              <w:t xml:space="preserve">patients. Endpoint basis: volumetric tumor response with clinical-morbidity context. Exact ORR was not reproduced in the retrieved excerpt.</w:t>
            </w:r>
          </w:p>
        </w:tc>
        <w:tc>
          <w:tcPr/>
          <w:p>
            <w:pPr>
              <w:pStyle w:val="Compact"/>
            </w:pPr>
            <w:r>
              <w:t xml:space="preserve">Safety: exact AE profile was not reproduced in the retrieved snippet. Randomized data at approval:</w:t>
            </w:r>
            <w:r>
              <w:t xml:space="preserve"> </w:t>
            </w:r>
            <w:r>
              <w:rPr>
                <w:b/>
                <w:bCs/>
              </w:rPr>
              <w:t xml:space="preserve">No</w:t>
            </w:r>
            <w:r>
              <w:t xml:space="preserve">. Pathway:</w:t>
            </w:r>
            <w:r>
              <w:t xml:space="preserve"> </w:t>
            </w:r>
            <w:r>
              <w:rPr>
                <w:b/>
                <w:bCs/>
              </w:rPr>
              <w:t xml:space="preserve">TA</w:t>
            </w:r>
            <w:r>
              <w:t xml:space="preserve">. FDA reasoning is best inferred from rare, morbid, surgically unresectable disease and response interpretable against expected natural history.</w:t>
            </w:r>
          </w:p>
        </w:tc>
        <w:tc>
          <w:tcPr/>
          <w:p>
            <w:pPr>
              <w:pStyle w:val="Compact"/>
            </w:pPr>
            <w:r>
              <w:t xml:space="preserve">FDA approval notice.</w:t>
            </w:r>
            <w:r>
              <w:t xml:space="preserve"> </w:t>
            </w:r>
            <w:hyperlink r:id="rId48">
              <w:r>
                <w:rPr>
                  <w:rStyle w:val="Hyperlink"/>
                </w:rPr>
                <w:t xml:space="preserve">[29]</w:t>
              </w:r>
            </w:hyperlink>
          </w:p>
        </w:tc>
      </w:tr>
    </w:tbl>
    <w:bookmarkEnd w:id="49"/>
    <w:bookmarkStart w:id="51" w:name="X8110cdfaea1646f0ba2b500a377035b79903f01"/>
    <w:p>
      <w:pPr>
        <w:pStyle w:val="Heading3"/>
      </w:pPr>
      <w:r>
        <w:t xml:space="preserve">Additional clearly in-scope treatment-level approvals identified from FDA sources</w:t>
      </w:r>
    </w:p>
    <w:p>
      <w:pPr>
        <w:pStyle w:val="FirstParagraph"/>
      </w:pPr>
      <w:r>
        <w:t xml:space="preserve">The FDA pages I retrieved also clearly identify many</w:t>
      </w:r>
      <w:r>
        <w:t xml:space="preserve"> </w:t>
      </w:r>
      <w:r>
        <w:rPr>
          <w:b/>
          <w:bCs/>
        </w:rPr>
        <w:t xml:space="preserve">additional treatment-level first approvals</w:t>
      </w:r>
      <w:r>
        <w:t xml:space="preserve"> </w:t>
      </w:r>
      <w:r>
        <w:t xml:space="preserve">that fit the same single-arm pattern, especially in oncology. I did not fully abstract them into the detailed table above because doing so while preserving the same document-level confidence would have required another full pass through each product’s review package. High-confidence examples include</w:t>
      </w:r>
      <w:r>
        <w:t xml:space="preserve"> </w:t>
      </w:r>
      <w:r>
        <w:rPr>
          <w:b/>
          <w:bCs/>
        </w:rPr>
        <w:t xml:space="preserve">Alunbrig</w:t>
      </w:r>
      <w:r>
        <w:t xml:space="preserve"> </w:t>
      </w:r>
      <w:r>
        <w:t xml:space="preserve">in 2017,</w:t>
      </w:r>
      <w:r>
        <w:t xml:space="preserve"> </w:t>
      </w:r>
      <w:r>
        <w:rPr>
          <w:b/>
          <w:bCs/>
        </w:rPr>
        <w:t xml:space="preserve">Calquence</w:t>
      </w:r>
      <w:r>
        <w:t xml:space="preserve"> </w:t>
      </w:r>
      <w:r>
        <w:t xml:space="preserve">in 2017,</w:t>
      </w:r>
      <w:r>
        <w:t xml:space="preserve"> </w:t>
      </w:r>
      <w:r>
        <w:rPr>
          <w:b/>
          <w:bCs/>
        </w:rPr>
        <w:t xml:space="preserve">Lorbrena</w:t>
      </w:r>
      <w:r>
        <w:t xml:space="preserve"> </w:t>
      </w:r>
      <w:r>
        <w:t xml:space="preserve">in 2018,</w:t>
      </w:r>
      <w:r>
        <w:t xml:space="preserve"> </w:t>
      </w:r>
      <w:r>
        <w:rPr>
          <w:b/>
          <w:bCs/>
        </w:rPr>
        <w:t xml:space="preserve">Vitrakvi</w:t>
      </w:r>
      <w:r>
        <w:t xml:space="preserve"> </w:t>
      </w:r>
      <w:r>
        <w:t xml:space="preserve">in 2018,</w:t>
      </w:r>
      <w:r>
        <w:t xml:space="preserve"> </w:t>
      </w:r>
      <w:r>
        <w:rPr>
          <w:b/>
          <w:bCs/>
        </w:rPr>
        <w:t xml:space="preserve">Rozlytrek</w:t>
      </w:r>
      <w:r>
        <w:t xml:space="preserve"> </w:t>
      </w:r>
      <w:r>
        <w:t xml:space="preserve">in 2019,</w:t>
      </w:r>
      <w:r>
        <w:t xml:space="preserve"> </w:t>
      </w:r>
      <w:r>
        <w:rPr>
          <w:b/>
          <w:bCs/>
        </w:rPr>
        <w:t xml:space="preserve">Tabrecta</w:t>
      </w:r>
      <w:r>
        <w:t xml:space="preserve"> </w:t>
      </w:r>
      <w:r>
        <w:t xml:space="preserve">in 2020,</w:t>
      </w:r>
      <w:r>
        <w:t xml:space="preserve"> </w:t>
      </w:r>
      <w:r>
        <w:rPr>
          <w:b/>
          <w:bCs/>
        </w:rPr>
        <w:t xml:space="preserve">Retevmo</w:t>
      </w:r>
      <w:r>
        <w:t xml:space="preserve"> </w:t>
      </w:r>
      <w:r>
        <w:t xml:space="preserve">in 2020,</w:t>
      </w:r>
      <w:r>
        <w:t xml:space="preserve"> </w:t>
      </w:r>
      <w:r>
        <w:rPr>
          <w:b/>
          <w:bCs/>
        </w:rPr>
        <w:t xml:space="preserve">Breyanzi</w:t>
      </w:r>
      <w:r>
        <w:t xml:space="preserve"> </w:t>
      </w:r>
      <w:r>
        <w:t xml:space="preserve">in 2021,</w:t>
      </w:r>
      <w:r>
        <w:t xml:space="preserve"> </w:t>
      </w:r>
      <w:r>
        <w:rPr>
          <w:b/>
          <w:bCs/>
        </w:rPr>
        <w:t xml:space="preserve">Rybrevant</w:t>
      </w:r>
      <w:r>
        <w:t xml:space="preserve"> </w:t>
      </w:r>
      <w:r>
        <w:t xml:space="preserve">in 2021,</w:t>
      </w:r>
      <w:r>
        <w:t xml:space="preserve"> </w:t>
      </w:r>
      <w:r>
        <w:rPr>
          <w:b/>
          <w:bCs/>
        </w:rPr>
        <w:t xml:space="preserve">Elahere</w:t>
      </w:r>
      <w:r>
        <w:t xml:space="preserve"> </w:t>
      </w:r>
      <w:r>
        <w:t xml:space="preserve">in 2022,</w:t>
      </w:r>
      <w:r>
        <w:t xml:space="preserve"> </w:t>
      </w:r>
      <w:r>
        <w:rPr>
          <w:b/>
          <w:bCs/>
        </w:rPr>
        <w:t xml:space="preserve">Jaypirca</w:t>
      </w:r>
      <w:r>
        <w:t xml:space="preserve"> </w:t>
      </w:r>
      <w:r>
        <w:t xml:space="preserve">in 2023,</w:t>
      </w:r>
      <w:r>
        <w:t xml:space="preserve"> </w:t>
      </w:r>
      <w:r>
        <w:rPr>
          <w:b/>
          <w:bCs/>
        </w:rPr>
        <w:t xml:space="preserve">Ojemda</w:t>
      </w:r>
      <w:r>
        <w:t xml:space="preserve"> </w:t>
      </w:r>
      <w:r>
        <w:t xml:space="preserve">in 2024,</w:t>
      </w:r>
      <w:r>
        <w:t xml:space="preserve"> </w:t>
      </w:r>
      <w:r>
        <w:rPr>
          <w:b/>
          <w:bCs/>
        </w:rPr>
        <w:t xml:space="preserve">Tecelra</w:t>
      </w:r>
      <w:r>
        <w:t xml:space="preserve"> </w:t>
      </w:r>
      <w:r>
        <w:t xml:space="preserve">in 2024,</w:t>
      </w:r>
      <w:r>
        <w:t xml:space="preserve"> </w:t>
      </w:r>
      <w:r>
        <w:rPr>
          <w:b/>
          <w:bCs/>
        </w:rPr>
        <w:t xml:space="preserve">Ziihera</w:t>
      </w:r>
      <w:r>
        <w:t xml:space="preserve"> </w:t>
      </w:r>
      <w:r>
        <w:t xml:space="preserve">in 2024,</w:t>
      </w:r>
      <w:r>
        <w:t xml:space="preserve"> </w:t>
      </w:r>
      <w:r>
        <w:rPr>
          <w:b/>
          <w:bCs/>
        </w:rPr>
        <w:t xml:space="preserve">Hernexeos</w:t>
      </w:r>
      <w:r>
        <w:t xml:space="preserve"> </w:t>
      </w:r>
      <w:r>
        <w:t xml:space="preserve">in 2025, and</w:t>
      </w:r>
      <w:r>
        <w:t xml:space="preserve"> </w:t>
      </w:r>
      <w:r>
        <w:rPr>
          <w:b/>
          <w:bCs/>
        </w:rPr>
        <w:t xml:space="preserve">Komzifti</w:t>
      </w:r>
      <w:r>
        <w:t xml:space="preserve"> </w:t>
      </w:r>
      <w:r>
        <w:t xml:space="preserve">in 2025. The FDA cancer accelerated-approval pages also show that many such products later moved to verified clinical benefit or withdrawal after confirmatory work.</w:t>
      </w:r>
      <w:r>
        <w:t xml:space="preserve"> </w:t>
      </w:r>
      <w:hyperlink r:id="rId50">
        <w:r>
          <w:rPr>
            <w:rStyle w:val="Hyperlink"/>
          </w:rPr>
          <w:t xml:space="preserve">[30]</w:t>
        </w:r>
      </w:hyperlink>
    </w:p>
    <w:bookmarkEnd w:id="51"/>
    <w:bookmarkEnd w:id="52"/>
    <w:bookmarkStart w:id="53" w:name="common-fda-rationales"/>
    <w:p>
      <w:pPr>
        <w:pStyle w:val="Heading2"/>
      </w:pPr>
      <w:r>
        <w:t xml:space="preserve">Common FDA rationales</w:t>
      </w:r>
    </w:p>
    <w:p>
      <w:pPr>
        <w:pStyle w:val="FirstParagraph"/>
      </w:pPr>
      <w:r>
        <w:t xml:space="preserve">Across the detailed subset, I see five recurring FDA rationales.</w:t>
      </w:r>
    </w:p>
    <w:p>
      <w:pPr>
        <w:pStyle w:val="BodyText"/>
      </w:pPr>
      <w:r>
        <w:t xml:space="preserve">The first is</w:t>
      </w:r>
      <w:r>
        <w:t xml:space="preserve"> </w:t>
      </w:r>
      <w:r>
        <w:rPr>
          <w:b/>
          <w:bCs/>
        </w:rPr>
        <w:t xml:space="preserve">extreme rarity with no approved therapy or no adequate alternative</w:t>
      </w:r>
      <w:r>
        <w:t xml:space="preserve">. FDA said there were “no approved pharmacological therapies” for CLN2 when it approved BRINEURA, emphasized that AYVAKIT was the first therapy for PDGFRA exon 18 GIST, described KOSELUGO as the first therapy for pediatric NF1 plexiform neurofibromas, and framed KEBILIDI and LENMELDY as first gene therapies for their respective diseases. That language matters because it explains why a concurrent randomized control was not required before market entry.</w:t>
      </w:r>
      <w:r>
        <w:t xml:space="preserve"> </w:t>
      </w:r>
      <w:hyperlink r:id="rId27">
        <w:r>
          <w:rPr>
            <w:rStyle w:val="Hyperlink"/>
          </w:rPr>
          <w:t xml:space="preserve">[31]</w:t>
        </w:r>
      </w:hyperlink>
    </w:p>
    <w:p>
      <w:pPr>
        <w:pStyle w:val="BodyText"/>
      </w:pPr>
      <w:r>
        <w:t xml:space="preserve">The second is</w:t>
      </w:r>
      <w:r>
        <w:t xml:space="preserve"> </w:t>
      </w:r>
      <w:r>
        <w:rPr>
          <w:b/>
          <w:bCs/>
        </w:rPr>
        <w:t xml:space="preserve">an interpretable counterfactual from natural history or external controls</w:t>
      </w:r>
      <w:r>
        <w:t xml:space="preserve">. FDA’s own RWE page is explicit on this point for NULIBRY, SKYSONA, VIJOICE, and LENMELDY. In these cases, the agency treated single-arm cohorts, plus well-documented untreated or differently treated comparators, as an adequate and well-controlled basis for approval. The natural-history logic is especially strong where regression is not expected without treatment, early neurologic deterioration is predictable, or survival is historically poor.</w:t>
      </w:r>
      <w:r>
        <w:t xml:space="preserve"> </w:t>
      </w:r>
      <w:hyperlink r:id="rId24">
        <w:r>
          <w:rPr>
            <w:rStyle w:val="Hyperlink"/>
          </w:rPr>
          <w:t xml:space="preserve">[32]</w:t>
        </w:r>
      </w:hyperlink>
    </w:p>
    <w:p>
      <w:pPr>
        <w:pStyle w:val="BodyText"/>
      </w:pPr>
      <w:r>
        <w:t xml:space="preserve">The third is</w:t>
      </w:r>
      <w:r>
        <w:t xml:space="preserve"> </w:t>
      </w:r>
      <w:r>
        <w:rPr>
          <w:b/>
          <w:bCs/>
        </w:rPr>
        <w:t xml:space="preserve">dramatic effect size in refractory biomarker-defined cancers</w:t>
      </w:r>
      <w:r>
        <w:t xml:space="preserve">. FDA’s policy page still describes accelerated approval as appropriate when a serious condition with unmet need can be evaluated using a surrogate reasonably likely to predict benefit. In the SAT oncology examples, that typically means ORR and DOR in tumors with very low spontaneous regression rates. FDA’s WELIREG review makes the logic unusually explicit: for a single-arm trial, the agency relies on ORR and DOR, not stable disease, to demonstrate interpretable efficacy. Similar reasoning underlies approvals such as BALVERSA and PEMAZYRE, even where the exact wording in the retrieved snippets was briefer.</w:t>
      </w:r>
      <w:r>
        <w:t xml:space="preserve"> </w:t>
      </w:r>
      <w:hyperlink r:id="rId22">
        <w:r>
          <w:rPr>
            <w:rStyle w:val="Hyperlink"/>
          </w:rPr>
          <w:t xml:space="preserve">[33]</w:t>
        </w:r>
      </w:hyperlink>
    </w:p>
    <w:p>
      <w:pPr>
        <w:pStyle w:val="BodyText"/>
      </w:pPr>
      <w:r>
        <w:t xml:space="preserve">The fourth is</w:t>
      </w:r>
      <w:r>
        <w:t xml:space="preserve"> </w:t>
      </w:r>
      <w:r>
        <w:rPr>
          <w:b/>
          <w:bCs/>
        </w:rPr>
        <w:t xml:space="preserve">surrogate or intermediate endpoints when the disease is severe and the biology is direct</w:t>
      </w:r>
      <w:r>
        <w:t xml:space="preserve">. EXONDYS 51, VIJOICE, KEBILIDI, and many gene therapies fit this pattern. Here, FDA permitted approvals based on dystrophin production, lesion shrinkage, motor milestones, or other intermediate outcomes when waiting for long-term hard outcomes would either be infeasible or would delay access in diseases with irreversible progression.</w:t>
      </w:r>
      <w:r>
        <w:t xml:space="preserve"> </w:t>
      </w:r>
      <w:hyperlink r:id="rId26">
        <w:r>
          <w:rPr>
            <w:rStyle w:val="Hyperlink"/>
          </w:rPr>
          <w:t xml:space="preserve">[34]</w:t>
        </w:r>
      </w:hyperlink>
    </w:p>
    <w:p>
      <w:pPr>
        <w:pStyle w:val="BodyText"/>
      </w:pPr>
      <w:r>
        <w:t xml:space="preserve">The fifth is</w:t>
      </w:r>
      <w:r>
        <w:t xml:space="preserve"> </w:t>
      </w:r>
      <w:r>
        <w:rPr>
          <w:b/>
          <w:bCs/>
        </w:rPr>
        <w:t xml:space="preserve">postmarketing verification replacing preapproval randomization</w:t>
      </w:r>
      <w:r>
        <w:t xml:space="preserve">. The accelerated-approval pages show the consistent regulatory bargain. FDA accepts earlier market entry on the basis of SATs, but then requires confirmatory randomized trials, longer follow-up, registries, or expanded cohorts. The same pages also show what happens when that bargain fails: some indications convert, some stay ongoing for years, and some are withdrawn.</w:t>
      </w:r>
      <w:r>
        <w:t xml:space="preserve"> </w:t>
      </w:r>
      <w:hyperlink r:id="rId21">
        <w:r>
          <w:rPr>
            <w:rStyle w:val="Hyperlink"/>
          </w:rPr>
          <w:t xml:space="preserve">[35]</w:t>
        </w:r>
      </w:hyperlink>
    </w:p>
    <w:bookmarkEnd w:id="53"/>
    <w:bookmarkStart w:id="55" w:name="shared-characteristics-across-approvals"/>
    <w:p>
      <w:pPr>
        <w:pStyle w:val="Heading2"/>
      </w:pPr>
      <w:r>
        <w:t xml:space="preserve">Shared characteristics across approvals</w:t>
      </w:r>
    </w:p>
    <w:p>
      <w:pPr>
        <w:pStyle w:val="FirstParagraph"/>
      </w:pPr>
      <w:r>
        <w:t xml:space="preserve">The fully abstracted subset and the broader FDA pages point to a stable pattern rather than a series of ad hoc exceptions.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Precision-oncology SAT approvals</w:t>
            </w:r>
          </w:p>
        </w:tc>
        <w:tc>
          <w:tcPr/>
          <w:p>
            <w:pPr>
              <w:pStyle w:val="Compact"/>
            </w:pPr>
            <w:r>
              <w:t xml:space="preserve">Rare-disease and advanced-therapy SAT approvals</w:t>
            </w:r>
          </w:p>
        </w:tc>
        <w:tc>
          <w:tcPr/>
          <w:p>
            <w:pPr>
              <w:pStyle w:val="Compact"/>
            </w:pPr>
            <w:r>
              <w:t xml:space="preserve">Regulatory consequence</w:t>
            </w:r>
          </w:p>
        </w:tc>
      </w:tr>
      <w:tr>
        <w:tc>
          <w:tcPr/>
          <w:p>
            <w:pPr>
              <w:pStyle w:val="Compact"/>
            </w:pPr>
            <w:r>
              <w:t xml:space="preserve">Typical disease context</w:t>
            </w:r>
          </w:p>
        </w:tc>
        <w:tc>
          <w:tcPr/>
          <w:p>
            <w:pPr>
              <w:pStyle w:val="Compact"/>
            </w:pPr>
            <w:r>
              <w:t xml:space="preserve">Refractory malignancy, small molecular subgroup, poor expected response to standard therapy</w:t>
            </w:r>
          </w:p>
        </w:tc>
        <w:tc>
          <w:tcPr/>
          <w:p>
            <w:pPr>
              <w:pStyle w:val="Compact"/>
            </w:pPr>
            <w:r>
              <w:t xml:space="preserve">Ultra-rare disease, rapidly progressive or irreversible morbidity, often pediatric</w:t>
            </w:r>
          </w:p>
        </w:tc>
        <w:tc>
          <w:tcPr/>
          <w:p>
            <w:pPr>
              <w:pStyle w:val="Compact"/>
            </w:pPr>
            <w:r>
              <w:t xml:space="preserve">SATs are easier to justify when the untreated course is grim and well understood</w:t>
            </w:r>
          </w:p>
        </w:tc>
      </w:tr>
      <w:tr>
        <w:tc>
          <w:tcPr/>
          <w:p>
            <w:pPr>
              <w:pStyle w:val="Compact"/>
            </w:pPr>
            <w:r>
              <w:t xml:space="preserve">Typical endpoint</w:t>
            </w:r>
          </w:p>
        </w:tc>
        <w:tc>
          <w:tcPr/>
          <w:p>
            <w:pPr>
              <w:pStyle w:val="Compact"/>
            </w:pPr>
            <w:r>
              <w:t xml:space="preserve">ORR, CR, DOR</w:t>
            </w:r>
          </w:p>
        </w:tc>
        <w:tc>
          <w:tcPr/>
          <w:p>
            <w:pPr>
              <w:pStyle w:val="Compact"/>
            </w:pPr>
            <w:r>
              <w:t xml:space="preserve">Survival, motor milestones, event-free survival, transfusion independence, bleed reduction, radiologic response, biomarker restoration</w:t>
            </w:r>
          </w:p>
        </w:tc>
        <w:tc>
          <w:tcPr/>
          <w:p>
            <w:pPr>
              <w:pStyle w:val="Compact"/>
            </w:pPr>
            <w:r>
              <w:t xml:space="preserve">Endpoint choice tracks whether benefit is best seen as tumor shrinkage or natural-history divergence</w:t>
            </w:r>
          </w:p>
        </w:tc>
      </w:tr>
      <w:tr>
        <w:tc>
          <w:tcPr/>
          <w:p>
            <w:pPr>
              <w:pStyle w:val="Compact"/>
            </w:pPr>
            <w:r>
              <w:t xml:space="preserve">Control strategy</w:t>
            </w:r>
          </w:p>
        </w:tc>
        <w:tc>
          <w:tcPr/>
          <w:p>
            <w:pPr>
              <w:pStyle w:val="Compact"/>
            </w:pPr>
            <w:r>
              <w:t xml:space="preserve">Usually no concurrent control; historical expectations often implicit</w:t>
            </w:r>
          </w:p>
        </w:tc>
        <w:tc>
          <w:tcPr/>
          <w:p>
            <w:pPr>
              <w:pStyle w:val="Compact"/>
            </w:pPr>
            <w:r>
              <w:t xml:space="preserve">Historical control, external control, within-patient pre/post comparison, registry and natural-history data often explicit</w:t>
            </w:r>
          </w:p>
        </w:tc>
        <w:tc>
          <w:tcPr/>
          <w:p>
            <w:pPr>
              <w:pStyle w:val="Compact"/>
            </w:pPr>
            <w:r>
              <w:t xml:space="preserve">External controls are much more visible outside oncology</w:t>
            </w:r>
          </w:p>
        </w:tc>
      </w:tr>
      <w:tr>
        <w:tc>
          <w:tcPr/>
          <w:p>
            <w:pPr>
              <w:pStyle w:val="Compact"/>
            </w:pPr>
            <w:r>
              <w:t xml:space="preserve">Biomarker selection</w:t>
            </w:r>
          </w:p>
        </w:tc>
        <w:tc>
          <w:tcPr/>
          <w:p>
            <w:pPr>
              <w:pStyle w:val="Compact"/>
            </w:pPr>
            <w:r>
              <w:t xml:space="preserve">Very common, especially for FGFR, PDGFRA, RET, MET, and similar molecular subsets</w:t>
            </w:r>
          </w:p>
        </w:tc>
        <w:tc>
          <w:tcPr/>
          <w:p>
            <w:pPr>
              <w:pStyle w:val="Compact"/>
            </w:pPr>
            <w:r>
              <w:t xml:space="preserve">Common when mechanism is genetically direct, such as exon skipping or gene correction</w:t>
            </w:r>
          </w:p>
        </w:tc>
        <w:tc>
          <w:tcPr/>
          <w:p>
            <w:pPr>
              <w:pStyle w:val="Compact"/>
            </w:pPr>
            <w:r>
              <w:t xml:space="preserve">Biomarker enrichment increases the interpretability of uncontrolled efficacy</w:t>
            </w:r>
          </w:p>
        </w:tc>
      </w:tr>
      <w:tr>
        <w:tc>
          <w:tcPr/>
          <w:p>
            <w:pPr>
              <w:pStyle w:val="Compact"/>
            </w:pPr>
            <w:r>
              <w:t xml:space="preserve">Approval pathway</w:t>
            </w:r>
          </w:p>
        </w:tc>
        <w:tc>
          <w:tcPr/>
          <w:p>
            <w:pPr>
              <w:pStyle w:val="Compact"/>
            </w:pPr>
            <w:r>
              <w:t xml:space="preserve">Frequently AA with required confirmatory trials</w:t>
            </w:r>
          </w:p>
        </w:tc>
        <w:tc>
          <w:tcPr/>
          <w:p>
            <w:pPr>
              <w:pStyle w:val="Compact"/>
            </w:pPr>
            <w:r>
              <w:t xml:space="preserve">Mixed. Some AA, but many TA approvals when effect vs natural history was judged sufficiently persuasive</w:t>
            </w:r>
          </w:p>
        </w:tc>
        <w:tc>
          <w:tcPr/>
          <w:p>
            <w:pPr>
              <w:pStyle w:val="Compact"/>
            </w:pPr>
            <w:r>
              <w:t xml:space="preserve">The pathway depends less on therapy class than on how directly the endpoint predicts benefit</w:t>
            </w:r>
          </w:p>
        </w:tc>
      </w:tr>
      <w:tr>
        <w:tc>
          <w:tcPr/>
          <w:p>
            <w:pPr>
              <w:pStyle w:val="Compact"/>
            </w:pPr>
            <w:r>
              <w:t xml:space="preserve">Postmarketing pattern</w:t>
            </w:r>
          </w:p>
        </w:tc>
        <w:tc>
          <w:tcPr/>
          <w:p>
            <w:pPr>
              <w:pStyle w:val="Compact"/>
            </w:pPr>
            <w:r>
              <w:t xml:space="preserve">Randomized confirmatory trials are common; some products later convert or withdraw</w:t>
            </w:r>
          </w:p>
        </w:tc>
        <w:tc>
          <w:tcPr/>
          <w:p>
            <w:pPr>
              <w:pStyle w:val="Compact"/>
            </w:pPr>
            <w:r>
              <w:t xml:space="preserve">Long-term follow-up, registries, durability studies, and continued natural-history comparisons are common</w:t>
            </w:r>
          </w:p>
        </w:tc>
        <w:tc>
          <w:tcPr/>
          <w:p>
            <w:pPr>
              <w:pStyle w:val="Compact"/>
            </w:pPr>
            <w:r>
              <w:t xml:space="preserve">PMRs are the main regulatory tool used to offset preapproval uncertainty</w:t>
            </w:r>
          </w:p>
        </w:tc>
      </w:tr>
    </w:tbl>
    <w:p>
      <w:pPr>
        <w:pStyle w:val="BodyText"/>
      </w:pPr>
      <w:r>
        <w:t xml:space="preserve">These patterns can be seen directly in FDA’s AA program pages, FDA’s RWE decision summary page, and the product-specific reviews and labels above. Oncology SAT approvals disproportionately sit inside the accelerated-approval framework, while many advanced therapies for ultra-rare conditions receive traditional approval if the effect relative to natural history is judged sufficiently persuasive and the disease is too rare or severe for a practical randomized trial.</w:t>
      </w:r>
      <w:r>
        <w:t xml:space="preserve"> </w:t>
      </w:r>
      <w:hyperlink r:id="rId22">
        <w:r>
          <w:rPr>
            <w:rStyle w:val="Hyperlink"/>
          </w:rPr>
          <w:t xml:space="preserve">[36]</w:t>
        </w:r>
      </w:hyperlink>
    </w:p>
    <w:p>
      <w:pPr>
        <w:pStyle w:val="BodyText"/>
      </w:pPr>
      <w:r>
        <w:t xml:space="preserve">A related point is that</w:t>
      </w:r>
      <w:r>
        <w:t xml:space="preserve"> </w:t>
      </w:r>
      <w:r>
        <w:rPr>
          <w:b/>
          <w:bCs/>
        </w:rPr>
        <w:t xml:space="preserve">“single-arm” did not mean “uncontextualized.”</w:t>
      </w:r>
      <w:r>
        <w:t xml:space="preserve"> </w:t>
      </w:r>
      <w:r>
        <w:t xml:space="preserve">In many of the rare-disease approvals, the real evidentiary engine was not just the treated cohort; it was the treated cohort plus a reliable external benchmark. LANTIDRA, NULIBRY, SKYSONA, LENMELDY, and KEBILIDI all fit that model. By contrast, in oncology, the counterfactual was often embedded in clinical knowledge rather than formalized as a matched external control. That is a major difference in how FDA operationalized single-arm evidence across therapeutic areas.</w:t>
      </w:r>
      <w:r>
        <w:t xml:space="preserve"> </w:t>
      </w:r>
      <w:hyperlink r:id="rId54">
        <w:r>
          <w:rPr>
            <w:rStyle w:val="Hyperlink"/>
          </w:rPr>
          <w:t xml:space="preserve">[37]</w:t>
        </w:r>
      </w:hyperlink>
    </w:p>
    <w:bookmarkEnd w:id="55"/>
    <w:bookmarkStart w:id="56" w:name="decision-flow"/>
    <w:p>
      <w:pPr>
        <w:pStyle w:val="Heading2"/>
      </w:pPr>
      <w:r>
        <w:t xml:space="preserve">Decision flow</w:t>
      </w:r>
    </w:p>
    <w:p>
      <w:pPr>
        <w:pStyle w:val="FirstParagraph"/>
      </w:pPr>
      <w:r>
        <w:t xml:space="preserve">The common decision factors that recur in FDA primary documents can be summarized as follows.</w:t>
      </w:r>
    </w:p>
    <w:p>
      <w:pPr>
        <w:pStyle w:val="SourceCode"/>
      </w:pPr>
      <w:r>
        <w:rPr>
          <w:rStyle w:val="VerbatimChar"/>
        </w:rPr>
        <w:t xml:space="preserve">flowchart TD</w:t>
      </w:r>
      <w:r>
        <w:br/>
      </w:r>
      <w:r>
        <w:rPr>
          <w:rStyle w:val="VerbatimChar"/>
        </w:rPr>
        <w:t xml:space="preserve">    A[Serious or life-threatening disease] --&gt; B{Is randomization feasible and ethical?}</w:t>
      </w:r>
      <w:r>
        <w:br/>
      </w:r>
      <w:r>
        <w:rPr>
          <w:rStyle w:val="VerbatimChar"/>
        </w:rPr>
        <w:t xml:space="preserve">    B --&gt;|No or highly impractical| C[Single-arm development becomes plausible]</w:t>
      </w:r>
      <w:r>
        <w:br/>
      </w:r>
      <w:r>
        <w:rPr>
          <w:rStyle w:val="VerbatimChar"/>
        </w:rPr>
        <w:t xml:space="preserve">    B --&gt;|Possibly, but effect expected to be dramatic in a refractory biomarker-defined subset| C</w:t>
      </w:r>
      <w:r>
        <w:br/>
      </w:r>
      <w:r>
        <w:rPr>
          <w:rStyle w:val="VerbatimChar"/>
        </w:rPr>
        <w:t xml:space="preserve">    C --&gt; D{Can benefit be interpreted without a concurrent control?}</w:t>
      </w:r>
      <w:r>
        <w:br/>
      </w:r>
      <w:r>
        <w:rPr>
          <w:rStyle w:val="VerbatimChar"/>
        </w:rPr>
        <w:t xml:space="preserve">    D --&gt;|Yes, tumor shrinkage is clinically atypical| E[Use ORR and DOR]</w:t>
      </w:r>
      <w:r>
        <w:br/>
      </w:r>
      <w:r>
        <w:rPr>
          <w:rStyle w:val="VerbatimChar"/>
        </w:rPr>
        <w:t xml:space="preserve">    D --&gt;|Yes, natural history is well documented| F[Use historical or external controls]</w:t>
      </w:r>
      <w:r>
        <w:br/>
      </w:r>
      <w:r>
        <w:rPr>
          <w:rStyle w:val="VerbatimChar"/>
        </w:rPr>
        <w:t xml:space="preserve">    D --&gt;|Yes, validated or likely surrogate is biologically direct| G[Use surrogate or intermediate endpoint]</w:t>
      </w:r>
      <w:r>
        <w:br/>
      </w:r>
      <w:r>
        <w:rPr>
          <w:rStyle w:val="VerbatimChar"/>
        </w:rPr>
        <w:t xml:space="preserve">    E --&gt; H[Often accelerated approval]</w:t>
      </w:r>
      <w:r>
        <w:br/>
      </w:r>
      <w:r>
        <w:rPr>
          <w:rStyle w:val="VerbatimChar"/>
        </w:rPr>
        <w:t xml:space="preserve">    F --&gt; I[Accelerated or traditional approval depending certainty]</w:t>
      </w:r>
      <w:r>
        <w:br/>
      </w:r>
      <w:r>
        <w:rPr>
          <w:rStyle w:val="VerbatimChar"/>
        </w:rPr>
        <w:t xml:space="preserve">    G --&gt; I</w:t>
      </w:r>
      <w:r>
        <w:br/>
      </w:r>
      <w:r>
        <w:rPr>
          <w:rStyle w:val="VerbatimChar"/>
        </w:rPr>
        <w:t xml:space="preserve">    H --&gt; J[PMR or confirmatory randomized trial]</w:t>
      </w:r>
      <w:r>
        <w:br/>
      </w:r>
      <w:r>
        <w:rPr>
          <w:rStyle w:val="VerbatimChar"/>
        </w:rPr>
        <w:t xml:space="preserve">    I --&gt; K[Long-term follow-up, registry, durability study, or additional cohort]</w:t>
      </w:r>
    </w:p>
    <w:p>
      <w:pPr>
        <w:pStyle w:val="FirstParagraph"/>
      </w:pPr>
      <w:r>
        <w:t xml:space="preserve">FDA’s accelerated-approval policy statement, the cancer AA status pages, the RWE decision page, and several individual reviews make each node in that flowchart visible in practice. The hardest dividing line is not “oncology versus rare disease”; it is whether FDA can credibly judge the</w:t>
      </w:r>
      <w:r>
        <w:t xml:space="preserve"> </w:t>
      </w:r>
      <w:r>
        <w:rPr>
          <w:b/>
          <w:bCs/>
        </w:rPr>
        <w:t xml:space="preserve">untreated counterfactual</w:t>
      </w:r>
      <w:r>
        <w:t xml:space="preserve"> </w:t>
      </w:r>
      <w:r>
        <w:t xml:space="preserve">and whether the observed effect is large enough that randomization is not essential before first approval.</w:t>
      </w:r>
      <w:r>
        <w:t xml:space="preserve"> </w:t>
      </w:r>
      <w:hyperlink r:id="rId22">
        <w:r>
          <w:rPr>
            <w:rStyle w:val="Hyperlink"/>
          </w:rPr>
          <w:t xml:space="preserve">[38]</w:t>
        </w:r>
      </w:hyperlink>
    </w:p>
    <w:bookmarkEnd w:id="56"/>
    <w:bookmarkStart w:id="58" w:name="open-questions-and-limitations"/>
    <w:p>
      <w:pPr>
        <w:pStyle w:val="Heading2"/>
      </w:pPr>
      <w:r>
        <w:t xml:space="preserve">Open questions and limitations</w:t>
      </w:r>
    </w:p>
    <w:p>
      <w:pPr>
        <w:pStyle w:val="FirstParagraph"/>
      </w:pPr>
      <w:r>
        <w:t xml:space="preserve">This report is</w:t>
      </w:r>
      <w:r>
        <w:t xml:space="preserve"> </w:t>
      </w:r>
      <w:r>
        <w:rPr>
          <w:b/>
          <w:bCs/>
        </w:rPr>
        <w:t xml:space="preserve">not a complete indication-level census</w:t>
      </w:r>
      <w:r>
        <w:t xml:space="preserve"> </w:t>
      </w:r>
      <w:r>
        <w:t xml:space="preserve">of every FDA approval in the last decade that used single-arm evidence. It is a</w:t>
      </w:r>
      <w:r>
        <w:t xml:space="preserve"> </w:t>
      </w:r>
      <w:r>
        <w:rPr>
          <w:b/>
          <w:bCs/>
        </w:rPr>
        <w:t xml:space="preserve">high-confidence treatment-level analytical inventory</w:t>
      </w:r>
      <w:r>
        <w:t xml:space="preserve"> </w:t>
      </w:r>
      <w:r>
        <w:t xml:space="preserve">built from the public FDA materials retrieved in this run. The biggest omitted category is</w:t>
      </w:r>
      <w:r>
        <w:t xml:space="preserve"> </w:t>
      </w:r>
      <w:r>
        <w:rPr>
          <w:b/>
          <w:bCs/>
        </w:rPr>
        <w:t xml:space="preserve">supplemental oncology indications for already marketed drugs</w:t>
      </w:r>
      <w:r>
        <w:t xml:space="preserve">, where FDA’s cancer accelerated-approval pages show many additional SAT-based decisions.</w:t>
      </w:r>
      <w:r>
        <w:t xml:space="preserve"> </w:t>
      </w:r>
      <w:hyperlink r:id="rId21">
        <w:r>
          <w:rPr>
            <w:rStyle w:val="Hyperlink"/>
          </w:rPr>
          <w:t xml:space="preserve">[4]</w:t>
        </w:r>
      </w:hyperlink>
    </w:p>
    <w:p>
      <w:pPr>
        <w:pStyle w:val="BodyText"/>
      </w:pPr>
      <w:r>
        <w:t xml:space="preserve">A few products were deliberately excluded after review because their approval package was</w:t>
      </w:r>
      <w:r>
        <w:t xml:space="preserve"> </w:t>
      </w:r>
      <w:r>
        <w:rPr>
          <w:b/>
          <w:bCs/>
        </w:rPr>
        <w:t xml:space="preserve">mixed rather than SAT-only</w:t>
      </w:r>
      <w:r>
        <w:t xml:space="preserve"> </w:t>
      </w:r>
      <w:r>
        <w:t xml:space="preserve">in the FDA materials I retrieved. One example is</w:t>
      </w:r>
      <w:r>
        <w:t xml:space="preserve"> </w:t>
      </w:r>
      <w:r>
        <w:rPr>
          <w:b/>
          <w:bCs/>
        </w:rPr>
        <w:t xml:space="preserve">Mepsevii</w:t>
      </w:r>
      <w:r>
        <w:t xml:space="preserve">, where the statistical review excerpt referenced a delayed-start randomized component, making it a poor fit for a pure SAT-only inventory. Some other borderline products likely belong in a larger appendix, but I did not have enough document-level certainty left to extract every requested field without risking overstatement.</w:t>
      </w:r>
      <w:r>
        <w:t xml:space="preserve"> </w:t>
      </w:r>
      <w:hyperlink r:id="rId57">
        <w:r>
          <w:rPr>
            <w:rStyle w:val="Hyperlink"/>
          </w:rPr>
          <w:t xml:space="preserve">[39]</w:t>
        </w:r>
      </w:hyperlink>
    </w:p>
    <w:p>
      <w:pPr>
        <w:pStyle w:val="BodyText"/>
      </w:pPr>
      <w:r>
        <w:t xml:space="preserve">The strongest bottom-line conclusion still holds. FDA’s use of single-arm trials over the last decade has not been random. It has followed a recognizable logic:</w:t>
      </w:r>
      <w:r>
        <w:t xml:space="preserve"> </w:t>
      </w:r>
      <w:r>
        <w:rPr>
          <w:b/>
          <w:bCs/>
        </w:rPr>
        <w:t xml:space="preserve">serious disease, high unmet need, interpretable counterfactual, and effect size or surrogate plausibility large enough to justify early access</w:t>
      </w:r>
      <w:r>
        <w:t xml:space="preserve">, with postmarketing verification used to manage residual uncertainty.</w:t>
      </w:r>
      <w:r>
        <w:t xml:space="preserve"> </w:t>
      </w:r>
      <w:hyperlink r:id="rId22">
        <w:r>
          <w:rPr>
            <w:rStyle w:val="Hyperlink"/>
          </w:rPr>
          <w:t xml:space="preserve">[40]</w:t>
        </w:r>
      </w:hyperlink>
    </w:p>
    <w:bookmarkEnd w:id="58"/>
    <w:bookmarkEnd w:id="59"/>
    <w:bookmarkEnd w:id="6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[35]</w:t>
        </w:r>
      </w:hyperlink>
      <w:r>
        <w:t xml:space="preserve"> </w:t>
      </w:r>
      <w:r>
        <w:t xml:space="preserve">https://www.fda.gov/drugs/resources-information-approved-drugs/ongoing-cancer-accelerated-approvals</w:t>
      </w:r>
    </w:p>
    <w:p>
      <w:pPr>
        <w:pStyle w:val="BodyText"/>
      </w:pPr>
      <w:hyperlink r:id="rId21">
        <w:r>
          <w:rPr>
            <w:rStyle w:val="Hyperlink"/>
          </w:rPr>
          <w:t xml:space="preserve">https://www.fda.gov/drugs/resources-information-approved-drugs/ongoing-cancer-accelerated-approvals</w:t>
        </w:r>
      </w:hyperlink>
    </w:p>
    <w:p>
      <w:pPr>
        <w:pStyle w:val="BodyText"/>
      </w:pPr>
      <w:hyperlink r:id="rId22">
        <w:r>
          <w:rPr>
            <w:rStyle w:val="Hyperlink"/>
          </w:rPr>
          <w:t xml:space="preserve">[2]</w:t>
        </w:r>
      </w:hyperlink>
      <w:r>
        <w:t xml:space="preserve"> </w:t>
      </w:r>
      <w:hyperlink r:id="rId22">
        <w:r>
          <w:rPr>
            <w:rStyle w:val="Hyperlink"/>
          </w:rPr>
          <w:t xml:space="preserve">[33]</w:t>
        </w:r>
      </w:hyperlink>
      <w:r>
        <w:t xml:space="preserve"> </w:t>
      </w:r>
      <w:hyperlink r:id="rId22">
        <w:r>
          <w:rPr>
            <w:rStyle w:val="Hyperlink"/>
          </w:rPr>
          <w:t xml:space="preserve">[36]</w:t>
        </w:r>
      </w:hyperlink>
      <w:r>
        <w:t xml:space="preserve"> </w:t>
      </w:r>
      <w:hyperlink r:id="rId22">
        <w:r>
          <w:rPr>
            <w:rStyle w:val="Hyperlink"/>
          </w:rPr>
          <w:t xml:space="preserve">[38]</w:t>
        </w:r>
      </w:hyperlink>
      <w:r>
        <w:t xml:space="preserve"> </w:t>
      </w:r>
      <w:hyperlink r:id="rId22">
        <w:r>
          <w:rPr>
            <w:rStyle w:val="Hyperlink"/>
          </w:rPr>
          <w:t xml:space="preserve">[40]</w:t>
        </w:r>
      </w:hyperlink>
      <w:r>
        <w:t xml:space="preserve"> </w:t>
      </w:r>
      <w:r>
        <w:t xml:space="preserve">https://www.fda.gov/drugs/nda-and-bla-approvals/accelerated-approval-program</w:t>
      </w:r>
    </w:p>
    <w:p>
      <w:pPr>
        <w:pStyle w:val="BodyText"/>
      </w:pPr>
      <w:hyperlink r:id="rId22">
        <w:r>
          <w:rPr>
            <w:rStyle w:val="Hyperlink"/>
          </w:rPr>
          <w:t xml:space="preserve">https://www.fda.gov/drugs/nda-and-bla-approvals/accelerated-approval-program</w:t>
        </w:r>
      </w:hyperlink>
    </w:p>
    <w:p>
      <w:pPr>
        <w:pStyle w:val="BodyText"/>
      </w:pPr>
      <w:hyperlink r:id="rId24">
        <w:r>
          <w:rPr>
            <w:rStyle w:val="Hyperlink"/>
          </w:rPr>
          <w:t xml:space="preserve">[5]</w:t>
        </w:r>
      </w:hyperlink>
      <w:r>
        <w:t xml:space="preserve"> </w:t>
      </w:r>
      <w:hyperlink r:id="rId24">
        <w:r>
          <w:rPr>
            <w:rStyle w:val="Hyperlink"/>
          </w:rPr>
          <w:t xml:space="preserve">[16]</w:t>
        </w:r>
      </w:hyperlink>
      <w:r>
        <w:t xml:space="preserve"> </w:t>
      </w:r>
      <w:hyperlink r:id="rId24">
        <w:r>
          <w:rPr>
            <w:rStyle w:val="Hyperlink"/>
          </w:rPr>
          <w:t xml:space="preserve">[32]</w:t>
        </w:r>
      </w:hyperlink>
      <w:r>
        <w:t xml:space="preserve"> </w:t>
      </w:r>
      <w:r>
        <w:t xml:space="preserve">https://www.fda.gov/science-research/real-world-evidence/fda-use-real-world-evidence-regulatory-decision-making</w:t>
      </w:r>
    </w:p>
    <w:p>
      <w:pPr>
        <w:pStyle w:val="BodyText"/>
      </w:pPr>
      <w:hyperlink r:id="rId24">
        <w:r>
          <w:rPr>
            <w:rStyle w:val="Hyperlink"/>
          </w:rPr>
          <w:t xml:space="preserve">https://www.fda.gov/science-research/real-world-evidence/fda-use-real-world-evidence-regulatory-decision-making</w:t>
        </w:r>
      </w:hyperlink>
    </w:p>
    <w:p>
      <w:pPr>
        <w:pStyle w:val="BodyText"/>
      </w:pPr>
      <w:hyperlink r:id="rId26">
        <w:r>
          <w:rPr>
            <w:rStyle w:val="Hyperlink"/>
          </w:rPr>
          <w:t xml:space="preserve">[6]</w:t>
        </w:r>
      </w:hyperlink>
      <w:r>
        <w:t xml:space="preserve"> </w:t>
      </w:r>
      <w:hyperlink r:id="rId26">
        <w:r>
          <w:rPr>
            <w:rStyle w:val="Hyperlink"/>
          </w:rPr>
          <w:t xml:space="preserve">[34]</w:t>
        </w:r>
      </w:hyperlink>
      <w:r>
        <w:t xml:space="preserve"> </w:t>
      </w:r>
      <w:r>
        <w:t xml:space="preserve">https://www.accessdata.fda.gov/drugsatfda_docs/label/2016/206488lbl.pdf</w:t>
      </w:r>
    </w:p>
    <w:p>
      <w:pPr>
        <w:pStyle w:val="BodyText"/>
      </w:pPr>
      <w:hyperlink r:id="rId26">
        <w:r>
          <w:rPr>
            <w:rStyle w:val="Hyperlink"/>
          </w:rPr>
          <w:t xml:space="preserve">https://www.accessdata.fda.gov/drugsatfda_docs/label/2016/206488lbl.pdf</w:t>
        </w:r>
      </w:hyperlink>
    </w:p>
    <w:p>
      <w:pPr>
        <w:pStyle w:val="BodyText"/>
      </w:pPr>
      <w:hyperlink r:id="rId27">
        <w:r>
          <w:rPr>
            <w:rStyle w:val="Hyperlink"/>
          </w:rPr>
          <w:t xml:space="preserve">[7]</w:t>
        </w:r>
      </w:hyperlink>
      <w:r>
        <w:t xml:space="preserve"> </w:t>
      </w:r>
      <w:hyperlink r:id="rId27">
        <w:r>
          <w:rPr>
            <w:rStyle w:val="Hyperlink"/>
          </w:rPr>
          <w:t xml:space="preserve">[31]</w:t>
        </w:r>
      </w:hyperlink>
      <w:r>
        <w:t xml:space="preserve"> </w:t>
      </w:r>
      <w:r>
        <w:t xml:space="preserve">https://www.accessdata.fda.gov/drugsatfda_docs/nda/2017/761052Orig1s000SumR.pdf</w:t>
      </w:r>
    </w:p>
    <w:p>
      <w:pPr>
        <w:pStyle w:val="BodyText"/>
      </w:pPr>
      <w:hyperlink r:id="rId27">
        <w:r>
          <w:rPr>
            <w:rStyle w:val="Hyperlink"/>
          </w:rPr>
          <w:t xml:space="preserve">https://www.accessdata.fda.gov/drugsatfda_docs/nda/2017/761052Orig1s000SumR.pdf</w:t>
        </w:r>
      </w:hyperlink>
    </w:p>
    <w:p>
      <w:pPr>
        <w:pStyle w:val="BodyText"/>
      </w:pPr>
      <w:hyperlink r:id="rId28">
        <w:r>
          <w:rPr>
            <w:rStyle w:val="Hyperlink"/>
          </w:rPr>
          <w:t xml:space="preserve">[8]</w:t>
        </w:r>
      </w:hyperlink>
      <w:r>
        <w:t xml:space="preserve"> </w:t>
      </w:r>
      <w:r>
        <w:t xml:space="preserve">https://www.fda.gov/drugs/resources-information-approved-drugs/avelumab-bavencio</w:t>
      </w:r>
    </w:p>
    <w:p>
      <w:pPr>
        <w:pStyle w:val="BodyText"/>
      </w:pPr>
      <w:hyperlink r:id="rId28">
        <w:r>
          <w:rPr>
            <w:rStyle w:val="Hyperlink"/>
          </w:rPr>
          <w:t xml:space="preserve">https://www.fda.gov/drugs/resources-information-approved-drugs/avelumab-bavencio</w:t>
        </w:r>
      </w:hyperlink>
    </w:p>
    <w:p>
      <w:pPr>
        <w:pStyle w:val="BodyText"/>
      </w:pPr>
      <w:hyperlink r:id="rId29">
        <w:r>
          <w:rPr>
            <w:rStyle w:val="Hyperlink"/>
          </w:rPr>
          <w:t xml:space="preserve">[9]</w:t>
        </w:r>
      </w:hyperlink>
      <w:r>
        <w:t xml:space="preserve"> </w:t>
      </w:r>
      <w:r>
        <w:t xml:space="preserve">https://www.fda.gov/drugs/resources-information-approved-drugs/fda-approves-tisagenlecleucel-b-cell-all-and-tocilizumab-cytokine-release-syndrome</w:t>
      </w:r>
    </w:p>
    <w:p>
      <w:pPr>
        <w:pStyle w:val="BodyText"/>
      </w:pPr>
      <w:hyperlink r:id="rId29">
        <w:r>
          <w:rPr>
            <w:rStyle w:val="Hyperlink"/>
          </w:rPr>
          <w:t xml:space="preserve">https://www.fda.gov/drugs/resources-information-approved-drugs/fda-approves-tisagenlecleucel-b-cell-all-and-tocilizumab-cytokine-release-syndrome</w:t>
        </w:r>
      </w:hyperlink>
    </w:p>
    <w:p>
      <w:pPr>
        <w:pStyle w:val="BodyText"/>
      </w:pPr>
      <w:hyperlink r:id="rId30">
        <w:r>
          <w:rPr>
            <w:rStyle w:val="Hyperlink"/>
          </w:rPr>
          <w:t xml:space="preserve">[10]</w:t>
        </w:r>
      </w:hyperlink>
      <w:r>
        <w:t xml:space="preserve"> </w:t>
      </w:r>
      <w:r>
        <w:t xml:space="preserve">https://www.fda.gov/drugs/resources-information-approved-drugs/fda-approves-axicabtagene-ciloleucel-large-b-cell-lymphoma</w:t>
      </w:r>
    </w:p>
    <w:p>
      <w:pPr>
        <w:pStyle w:val="BodyText"/>
      </w:pPr>
      <w:hyperlink r:id="rId30">
        <w:r>
          <w:rPr>
            <w:rStyle w:val="Hyperlink"/>
          </w:rPr>
          <w:t xml:space="preserve">https://www.fda.gov/drugs/resources-information-approved-drugs/fda-approves-axicabtagene-ciloleucel-large-b-cell-lymphoma</w:t>
        </w:r>
      </w:hyperlink>
    </w:p>
    <w:p>
      <w:pPr>
        <w:pStyle w:val="BodyText"/>
      </w:pPr>
      <w:hyperlink r:id="rId31">
        <w:r>
          <w:rPr>
            <w:rStyle w:val="Hyperlink"/>
          </w:rPr>
          <w:t xml:space="preserve">[11]</w:t>
        </w:r>
      </w:hyperlink>
      <w:r>
        <w:t xml:space="preserve"> </w:t>
      </w:r>
      <w:r>
        <w:t xml:space="preserve">https://www.fda.gov/drugs/resources-information-approved-drugs/fda-grants-accelerated-approval-erdafitinib-metastatic-urothelial-carcinoma</w:t>
      </w:r>
    </w:p>
    <w:p>
      <w:pPr>
        <w:pStyle w:val="BodyText"/>
      </w:pPr>
      <w:hyperlink r:id="rId31">
        <w:r>
          <w:rPr>
            <w:rStyle w:val="Hyperlink"/>
          </w:rPr>
          <w:t xml:space="preserve">https://www.fda.gov/drugs/resources-information-approved-drugs/fda-grants-accelerated-approval-erdafitinib-metastatic-urothelial-carcinoma</w:t>
        </w:r>
      </w:hyperlink>
    </w:p>
    <w:p>
      <w:pPr>
        <w:pStyle w:val="BodyText"/>
      </w:pPr>
      <w:hyperlink r:id="rId32">
        <w:r>
          <w:rPr>
            <w:rStyle w:val="Hyperlink"/>
          </w:rPr>
          <w:t xml:space="preserve">[12]</w:t>
        </w:r>
      </w:hyperlink>
      <w:r>
        <w:t xml:space="preserve"> </w:t>
      </w:r>
      <w:r>
        <w:t xml:space="preserve">https://www.fda.gov/media/127961/download</w:t>
      </w:r>
    </w:p>
    <w:p>
      <w:pPr>
        <w:pStyle w:val="BodyText"/>
      </w:pPr>
      <w:hyperlink r:id="rId32">
        <w:r>
          <w:rPr>
            <w:rStyle w:val="Hyperlink"/>
          </w:rPr>
          <w:t xml:space="preserve">https://www.fda.gov/media/127961/download</w:t>
        </w:r>
      </w:hyperlink>
    </w:p>
    <w:p>
      <w:pPr>
        <w:pStyle w:val="BodyText"/>
      </w:pPr>
      <w:hyperlink r:id="rId33">
        <w:r>
          <w:rPr>
            <w:rStyle w:val="Hyperlink"/>
          </w:rPr>
          <w:t xml:space="preserve">[13]</w:t>
        </w:r>
      </w:hyperlink>
      <w:r>
        <w:t xml:space="preserve"> </w:t>
      </w:r>
      <w:r>
        <w:t xml:space="preserve">https://www.fda.gov/drugs/resources-information-approved-drugs/fda-approves-avapritinib-gastrointestinal-stromal-tumor-rare-mutation</w:t>
      </w:r>
    </w:p>
    <w:p>
      <w:pPr>
        <w:pStyle w:val="BodyText"/>
      </w:pPr>
      <w:hyperlink r:id="rId33">
        <w:r>
          <w:rPr>
            <w:rStyle w:val="Hyperlink"/>
          </w:rPr>
          <w:t xml:space="preserve">https://www.fda.gov/drugs/resources-information-approved-drugs/fda-approves-avapritinib-gastrointestinal-stromal-tumor-rare-mutation</w:t>
        </w:r>
      </w:hyperlink>
    </w:p>
    <w:p>
      <w:pPr>
        <w:pStyle w:val="BodyText"/>
      </w:pPr>
      <w:hyperlink r:id="rId34">
        <w:r>
          <w:rPr>
            <w:rStyle w:val="Hyperlink"/>
          </w:rPr>
          <w:t xml:space="preserve">[14]</w:t>
        </w:r>
      </w:hyperlink>
      <w:r>
        <w:t xml:space="preserve"> </w:t>
      </w:r>
      <w:r>
        <w:t xml:space="preserve">https://www.fda.gov/drugs/resources-information-approved-drugs/fda-approves-selumetinib-neurofibromatosis-type-1-symptomatic-inoperable-plexiform-neurofibromas</w:t>
      </w:r>
    </w:p>
    <w:p>
      <w:pPr>
        <w:pStyle w:val="BodyText"/>
      </w:pPr>
      <w:hyperlink r:id="rId34">
        <w:r>
          <w:rPr>
            <w:rStyle w:val="Hyperlink"/>
          </w:rPr>
          <w:t xml:space="preserve">https://www.fda.gov/drugs/resources-information-approved-drugs/fda-approves-selumetinib-neurofibromatosis-type-1-symptomatic-inoperable-plexiform-neurofibromas</w:t>
        </w:r>
      </w:hyperlink>
    </w:p>
    <w:p>
      <w:pPr>
        <w:pStyle w:val="BodyText"/>
      </w:pPr>
      <w:hyperlink r:id="rId35">
        <w:r>
          <w:rPr>
            <w:rStyle w:val="Hyperlink"/>
          </w:rPr>
          <w:t xml:space="preserve">[15]</w:t>
        </w:r>
      </w:hyperlink>
      <w:r>
        <w:t xml:space="preserve"> </w:t>
      </w:r>
      <w:r>
        <w:t xml:space="preserve">https://www.fda.gov/drugs/resources-information-approved-drugs/fda-grants-accelerated-approval-pemigatinib-cholangiocarcinoma-fgfr2-rearrangement-or-fusion</w:t>
      </w:r>
    </w:p>
    <w:p>
      <w:pPr>
        <w:pStyle w:val="BodyText"/>
      </w:pPr>
      <w:hyperlink r:id="rId35">
        <w:r>
          <w:rPr>
            <w:rStyle w:val="Hyperlink"/>
          </w:rPr>
          <w:t xml:space="preserve">https://www.fda.gov/drugs/resources-information-approved-drugs/fda-grants-accelerated-approval-pemigatinib-cholangiocarcinoma-fgfr2-rearrangement-or-fusion</w:t>
        </w:r>
      </w:hyperlink>
    </w:p>
    <w:p>
      <w:pPr>
        <w:pStyle w:val="BodyText"/>
      </w:pPr>
      <w:hyperlink r:id="rId36">
        <w:r>
          <w:rPr>
            <w:rStyle w:val="Hyperlink"/>
          </w:rPr>
          <w:t xml:space="preserve">[17]</w:t>
        </w:r>
      </w:hyperlink>
      <w:r>
        <w:t xml:space="preserve"> </w:t>
      </w:r>
      <w:r>
        <w:t xml:space="preserve">https://www.accessdata.fda.gov/drugsatfda_docs/nda/2021/215383Orig1s000MultidisciplineR.pdf</w:t>
      </w:r>
    </w:p>
    <w:p>
      <w:pPr>
        <w:pStyle w:val="BodyText"/>
      </w:pPr>
      <w:hyperlink r:id="rId36">
        <w:r>
          <w:rPr>
            <w:rStyle w:val="Hyperlink"/>
          </w:rPr>
          <w:t xml:space="preserve">https://www.accessdata.fda.gov/drugsatfda_docs/nda/2021/215383Orig1s000MultidisciplineR.pdf</w:t>
        </w:r>
      </w:hyperlink>
    </w:p>
    <w:p>
      <w:pPr>
        <w:pStyle w:val="BodyText"/>
      </w:pPr>
      <w:hyperlink r:id="rId37">
        <w:r>
          <w:rPr>
            <w:rStyle w:val="Hyperlink"/>
          </w:rPr>
          <w:t xml:space="preserve">[18]</w:t>
        </w:r>
      </w:hyperlink>
      <w:r>
        <w:t xml:space="preserve"> </w:t>
      </w:r>
      <w:r>
        <w:t xml:space="preserve">https://www.accessdata.fda.gov/drugsatfda_docs/nda/2021/214783Orig1s000MultidisciplineR.pdf</w:t>
      </w:r>
    </w:p>
    <w:p>
      <w:pPr>
        <w:pStyle w:val="BodyText"/>
      </w:pPr>
      <w:hyperlink r:id="rId37">
        <w:r>
          <w:rPr>
            <w:rStyle w:val="Hyperlink"/>
          </w:rPr>
          <w:t xml:space="preserve">https://www.accessdata.fda.gov/drugsatfda_docs/nda/2021/214783Orig1s000MultidisciplineR.pdf</w:t>
        </w:r>
      </w:hyperlink>
    </w:p>
    <w:p>
      <w:pPr>
        <w:pStyle w:val="BodyText"/>
      </w:pPr>
      <w:hyperlink r:id="rId39">
        <w:r>
          <w:rPr>
            <w:rStyle w:val="Hyperlink"/>
          </w:rPr>
          <w:t xml:space="preserve">[19]</w:t>
        </w:r>
      </w:hyperlink>
      <w:r>
        <w:t xml:space="preserve"> </w:t>
      </w:r>
      <w:r>
        <w:t xml:space="preserve">https://www.fda.gov/news-events/press-announcements/fda-approves-first-cellular-therapy-treat-patients-type-1-diabetes</w:t>
      </w:r>
    </w:p>
    <w:p>
      <w:pPr>
        <w:pStyle w:val="BodyText"/>
      </w:pPr>
      <w:hyperlink r:id="rId39">
        <w:r>
          <w:rPr>
            <w:rStyle w:val="Hyperlink"/>
          </w:rPr>
          <w:t xml:space="preserve">https://www.fda.gov/news-events/press-announcements/fda-approves-first-cellular-therapy-treat-patients-type-1-diabetes</w:t>
        </w:r>
      </w:hyperlink>
    </w:p>
    <w:p>
      <w:pPr>
        <w:pStyle w:val="BodyText"/>
      </w:pPr>
      <w:hyperlink r:id="rId40">
        <w:r>
          <w:rPr>
            <w:rStyle w:val="Hyperlink"/>
          </w:rPr>
          <w:t xml:space="preserve">[20]</w:t>
        </w:r>
      </w:hyperlink>
      <w:r>
        <w:t xml:space="preserve"> </w:t>
      </w:r>
      <w:r>
        <w:t xml:space="preserve">https://www.fda.gov/drugs/resources-information-approved-drugs/fda-approves-alpelisib-pik3ca-related-overgrowth-spectrum</w:t>
      </w:r>
    </w:p>
    <w:p>
      <w:pPr>
        <w:pStyle w:val="BodyText"/>
      </w:pPr>
      <w:hyperlink r:id="rId40">
        <w:r>
          <w:rPr>
            <w:rStyle w:val="Hyperlink"/>
          </w:rPr>
          <w:t xml:space="preserve">https://www.fda.gov/drugs/resources-information-approved-drugs/fda-approves-alpelisib-pik3ca-related-overgrowth-spectrum</w:t>
        </w:r>
      </w:hyperlink>
    </w:p>
    <w:p>
      <w:pPr>
        <w:pStyle w:val="BodyText"/>
      </w:pPr>
      <w:hyperlink r:id="rId41">
        <w:r>
          <w:rPr>
            <w:rStyle w:val="Hyperlink"/>
          </w:rPr>
          <w:t xml:space="preserve">[21]</w:t>
        </w:r>
      </w:hyperlink>
      <w:r>
        <w:t xml:space="preserve"> </w:t>
      </w:r>
      <w:r>
        <w:t xml:space="preserve">https://www.fda.gov/media/161472/download</w:t>
      </w:r>
    </w:p>
    <w:p>
      <w:pPr>
        <w:pStyle w:val="BodyText"/>
      </w:pPr>
      <w:hyperlink r:id="rId41">
        <w:r>
          <w:rPr>
            <w:rStyle w:val="Hyperlink"/>
          </w:rPr>
          <w:t xml:space="preserve">https://www.fda.gov/media/161472/download</w:t>
        </w:r>
      </w:hyperlink>
    </w:p>
    <w:p>
      <w:pPr>
        <w:pStyle w:val="BodyText"/>
      </w:pPr>
      <w:hyperlink r:id="rId42">
        <w:r>
          <w:rPr>
            <w:rStyle w:val="Hyperlink"/>
          </w:rPr>
          <w:t xml:space="preserve">[22]</w:t>
        </w:r>
      </w:hyperlink>
      <w:r>
        <w:t xml:space="preserve"> </w:t>
      </w:r>
      <w:r>
        <w:t xml:space="preserve">https://www.fda.gov/media/162098/download</w:t>
      </w:r>
    </w:p>
    <w:p>
      <w:pPr>
        <w:pStyle w:val="BodyText"/>
      </w:pPr>
      <w:hyperlink r:id="rId42">
        <w:r>
          <w:rPr>
            <w:rStyle w:val="Hyperlink"/>
          </w:rPr>
          <w:t xml:space="preserve">https://www.fda.gov/media/162098/download</w:t>
        </w:r>
      </w:hyperlink>
    </w:p>
    <w:p>
      <w:pPr>
        <w:pStyle w:val="BodyText"/>
      </w:pPr>
      <w:hyperlink r:id="rId43">
        <w:r>
          <w:rPr>
            <w:rStyle w:val="Hyperlink"/>
          </w:rPr>
          <w:t xml:space="preserve">[23]</w:t>
        </w:r>
      </w:hyperlink>
      <w:r>
        <w:t xml:space="preserve"> </w:t>
      </w:r>
      <w:r>
        <w:t xml:space="preserve">https://www.fda.gov/media/164094/download</w:t>
      </w:r>
    </w:p>
    <w:p>
      <w:pPr>
        <w:pStyle w:val="BodyText"/>
      </w:pPr>
      <w:hyperlink r:id="rId43">
        <w:r>
          <w:rPr>
            <w:rStyle w:val="Hyperlink"/>
          </w:rPr>
          <w:t xml:space="preserve">https://www.fda.gov/media/164094/download</w:t>
        </w:r>
      </w:hyperlink>
    </w:p>
    <w:p>
      <w:pPr>
        <w:pStyle w:val="BodyText"/>
      </w:pPr>
      <w:hyperlink r:id="rId44">
        <w:r>
          <w:rPr>
            <w:rStyle w:val="Hyperlink"/>
          </w:rPr>
          <w:t xml:space="preserve">[24]</w:t>
        </w:r>
      </w:hyperlink>
      <w:r>
        <w:t xml:space="preserve"> </w:t>
      </w:r>
      <w:r>
        <w:t xml:space="preserve">https://pubmed.ncbi.nlm.nih.gov/39705065/</w:t>
      </w:r>
    </w:p>
    <w:p>
      <w:pPr>
        <w:pStyle w:val="BodyText"/>
      </w:pPr>
      <w:hyperlink r:id="rId44">
        <w:r>
          <w:rPr>
            <w:rStyle w:val="Hyperlink"/>
          </w:rPr>
          <w:t xml:space="preserve">https://pubmed.ncbi.nlm.nih.gov/39705065/</w:t>
        </w:r>
      </w:hyperlink>
    </w:p>
    <w:p>
      <w:pPr>
        <w:pStyle w:val="BodyText"/>
      </w:pPr>
      <w:hyperlink r:id="rId45">
        <w:r>
          <w:rPr>
            <w:rStyle w:val="Hyperlink"/>
          </w:rPr>
          <w:t xml:space="preserve">[25]</w:t>
        </w:r>
      </w:hyperlink>
      <w:r>
        <w:t xml:space="preserve"> </w:t>
      </w:r>
      <w:hyperlink r:id="rId45">
        <w:r>
          <w:rPr>
            <w:rStyle w:val="Hyperlink"/>
          </w:rPr>
          <w:t xml:space="preserve">[26]</w:t>
        </w:r>
      </w:hyperlink>
      <w:r>
        <w:t xml:space="preserve"> </w:t>
      </w:r>
      <w:r>
        <w:t xml:space="preserve">https://www.fda.gov/news-events/press-announcements/fda-approves-first-gene-therapies-treat-patients-sickle-cell-disease</w:t>
      </w:r>
    </w:p>
    <w:p>
      <w:pPr>
        <w:pStyle w:val="BodyText"/>
      </w:pPr>
      <w:hyperlink r:id="rId45">
        <w:r>
          <w:rPr>
            <w:rStyle w:val="Hyperlink"/>
          </w:rPr>
          <w:t xml:space="preserve">https://www.fda.gov/news-events/press-announcements/fda-approves-first-gene-therapies-treat-patients-sickle-cell-disease</w:t>
        </w:r>
      </w:hyperlink>
    </w:p>
    <w:p>
      <w:pPr>
        <w:pStyle w:val="BodyText"/>
      </w:pPr>
      <w:hyperlink r:id="rId46">
        <w:r>
          <w:rPr>
            <w:rStyle w:val="Hyperlink"/>
          </w:rPr>
          <w:t xml:space="preserve">[27]</w:t>
        </w:r>
      </w:hyperlink>
      <w:r>
        <w:t xml:space="preserve"> </w:t>
      </w:r>
      <w:r>
        <w:t xml:space="preserve">https://www.fda.gov/media/177578/download</w:t>
      </w:r>
    </w:p>
    <w:p>
      <w:pPr>
        <w:pStyle w:val="BodyText"/>
      </w:pPr>
      <w:hyperlink r:id="rId46">
        <w:r>
          <w:rPr>
            <w:rStyle w:val="Hyperlink"/>
          </w:rPr>
          <w:t xml:space="preserve">https://www.fda.gov/media/177578/download</w:t>
        </w:r>
      </w:hyperlink>
    </w:p>
    <w:p>
      <w:pPr>
        <w:pStyle w:val="BodyText"/>
      </w:pPr>
      <w:hyperlink r:id="rId47">
        <w:r>
          <w:rPr>
            <w:rStyle w:val="Hyperlink"/>
          </w:rPr>
          <w:t xml:space="preserve">[28]</w:t>
        </w:r>
      </w:hyperlink>
      <w:r>
        <w:t xml:space="preserve"> </w:t>
      </w:r>
      <w:r>
        <w:t xml:space="preserve">https://www.fda.gov/media/184353/download</w:t>
      </w:r>
    </w:p>
    <w:p>
      <w:pPr>
        <w:pStyle w:val="BodyText"/>
      </w:pPr>
      <w:hyperlink r:id="rId47">
        <w:r>
          <w:rPr>
            <w:rStyle w:val="Hyperlink"/>
          </w:rPr>
          <w:t xml:space="preserve">https://www.fda.gov/media/184353/download</w:t>
        </w:r>
      </w:hyperlink>
    </w:p>
    <w:p>
      <w:pPr>
        <w:pStyle w:val="BodyText"/>
      </w:pPr>
      <w:hyperlink r:id="rId48">
        <w:r>
          <w:rPr>
            <w:rStyle w:val="Hyperlink"/>
          </w:rPr>
          <w:t xml:space="preserve">[29]</w:t>
        </w:r>
      </w:hyperlink>
      <w:r>
        <w:t xml:space="preserve"> </w:t>
      </w:r>
      <w:r>
        <w:t xml:space="preserve">https://www.fda.gov/drugs/resources-information-approved-drugs/fda-approves-mirdametinib-adult-and-pediatric-patients-neurofibromatosis-type-1-who-have-symptomatic</w:t>
      </w:r>
    </w:p>
    <w:p>
      <w:pPr>
        <w:pStyle w:val="BodyText"/>
      </w:pPr>
      <w:hyperlink r:id="rId48">
        <w:r>
          <w:rPr>
            <w:rStyle w:val="Hyperlink"/>
          </w:rPr>
          <w:t xml:space="preserve">https://www.fda.gov/drugs/resources-information-approved-drugs/fda-approves-mirdametinib-adult-and-pediatric-patients-neurofibromatosis-type-1-who-have-symptomatic</w:t>
        </w:r>
      </w:hyperlink>
    </w:p>
    <w:p>
      <w:pPr>
        <w:pStyle w:val="BodyText"/>
      </w:pPr>
      <w:hyperlink r:id="rId50">
        <w:r>
          <w:rPr>
            <w:rStyle w:val="Hyperlink"/>
          </w:rPr>
          <w:t xml:space="preserve">[30]</w:t>
        </w:r>
      </w:hyperlink>
      <w:r>
        <w:t xml:space="preserve"> </w:t>
      </w:r>
      <w:r>
        <w:t xml:space="preserve">https://www.fda.gov/drugs/resources-information-approved-drugs/verified-clinical-benefit-cancer-accelerated-approvals</w:t>
      </w:r>
    </w:p>
    <w:p>
      <w:pPr>
        <w:pStyle w:val="BodyText"/>
      </w:pPr>
      <w:hyperlink r:id="rId50">
        <w:r>
          <w:rPr>
            <w:rStyle w:val="Hyperlink"/>
          </w:rPr>
          <w:t xml:space="preserve">https://www.fda.gov/drugs/resources-information-approved-drugs/verified-clinical-benefit-cancer-accelerated-approvals</w:t>
        </w:r>
      </w:hyperlink>
    </w:p>
    <w:p>
      <w:pPr>
        <w:pStyle w:val="BodyText"/>
      </w:pPr>
      <w:hyperlink r:id="rId54">
        <w:r>
          <w:rPr>
            <w:rStyle w:val="Hyperlink"/>
          </w:rPr>
          <w:t xml:space="preserve">[37]</w:t>
        </w:r>
      </w:hyperlink>
      <w:r>
        <w:t xml:space="preserve"> </w:t>
      </w:r>
      <w:r>
        <w:t xml:space="preserve">https://www.fda.gov/media/170827/download</w:t>
      </w:r>
    </w:p>
    <w:p>
      <w:pPr>
        <w:pStyle w:val="BodyText"/>
      </w:pPr>
      <w:hyperlink r:id="rId54">
        <w:r>
          <w:rPr>
            <w:rStyle w:val="Hyperlink"/>
          </w:rPr>
          <w:t xml:space="preserve">https://www.fda.gov/media/170827/download</w:t>
        </w:r>
      </w:hyperlink>
    </w:p>
    <w:p>
      <w:pPr>
        <w:pStyle w:val="BodyText"/>
      </w:pPr>
      <w:hyperlink r:id="rId57">
        <w:r>
          <w:rPr>
            <w:rStyle w:val="Hyperlink"/>
          </w:rPr>
          <w:t xml:space="preserve">[39]</w:t>
        </w:r>
      </w:hyperlink>
      <w:r>
        <w:t xml:space="preserve"> </w:t>
      </w:r>
      <w:r>
        <w:t xml:space="preserve">https://www.accessdata.fda.gov/drugsatfda_docs/nda/2017/761047Orig1s000StatR.pdf</w:t>
      </w:r>
    </w:p>
    <w:p>
      <w:pPr>
        <w:pStyle w:val="BodyText"/>
      </w:pPr>
      <w:hyperlink r:id="rId57">
        <w:r>
          <w:rPr>
            <w:rStyle w:val="Hyperlink"/>
          </w:rPr>
          <w:t xml:space="preserve">https://www.accessdata.fda.gov/drugsatfda_docs/nda/2017/761047Orig1s000StatR.pdf</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pubmed.ncbi.nlm.nih.gov/39705065/" TargetMode="External" /><Relationship Type="http://schemas.openxmlformats.org/officeDocument/2006/relationships/hyperlink" Id="rId26" Target="https://www.accessdata.fda.gov/drugsatfda_docs/label/2016/206488lbl.pdf" TargetMode="External" /><Relationship Type="http://schemas.openxmlformats.org/officeDocument/2006/relationships/hyperlink" Id="rId57" Target="https://www.accessdata.fda.gov/drugsatfda_docs/nda/2017/761047Orig1s000StatR.pdf" TargetMode="External" /><Relationship Type="http://schemas.openxmlformats.org/officeDocument/2006/relationships/hyperlink" Id="rId27" Target="https://www.accessdata.fda.gov/drugsatfda_docs/nda/2017/761052Orig1s000SumR.pdf" TargetMode="External" /><Relationship Type="http://schemas.openxmlformats.org/officeDocument/2006/relationships/hyperlink" Id="rId37" Target="https://www.accessdata.fda.gov/drugsatfda_docs/nda/2021/214783Orig1s000MultidisciplineR.pdf" TargetMode="External" /><Relationship Type="http://schemas.openxmlformats.org/officeDocument/2006/relationships/hyperlink" Id="rId36" Target="https://www.accessdata.fda.gov/drugsatfda_docs/nda/2021/215383Orig1s000MultidisciplineR.pdf" TargetMode="External" /><Relationship Type="http://schemas.openxmlformats.org/officeDocument/2006/relationships/hyperlink" Id="rId22" Target="https://www.fda.gov/drugs/nda-and-bla-approvals/accelerated-approval-program" TargetMode="External" /><Relationship Type="http://schemas.openxmlformats.org/officeDocument/2006/relationships/hyperlink" Id="rId28" Target="https://www.fda.gov/drugs/resources-information-approved-drugs/avelumab-bavencio" TargetMode="External" /><Relationship Type="http://schemas.openxmlformats.org/officeDocument/2006/relationships/hyperlink" Id="rId40" Target="https://www.fda.gov/drugs/resources-information-approved-drugs/fda-approves-alpelisib-pik3ca-related-overgrowth-spectrum" TargetMode="External" /><Relationship Type="http://schemas.openxmlformats.org/officeDocument/2006/relationships/hyperlink" Id="rId33" Target="https://www.fda.gov/drugs/resources-information-approved-drugs/fda-approves-avapritinib-gastrointestinal-stromal-tumor-rare-mutation" TargetMode="External" /><Relationship Type="http://schemas.openxmlformats.org/officeDocument/2006/relationships/hyperlink" Id="rId30" Target="https://www.fda.gov/drugs/resources-information-approved-drugs/fda-approves-axicabtagene-ciloleucel-large-b-cell-lymphoma" TargetMode="External" /><Relationship Type="http://schemas.openxmlformats.org/officeDocument/2006/relationships/hyperlink" Id="rId48" Target="https://www.fda.gov/drugs/resources-information-approved-drugs/fda-approves-mirdametinib-adult-and-pediatric-patients-neurofibromatosis-type-1-who-have-symptomatic" TargetMode="External" /><Relationship Type="http://schemas.openxmlformats.org/officeDocument/2006/relationships/hyperlink" Id="rId34" Target="https://www.fda.gov/drugs/resources-information-approved-drugs/fda-approves-selumetinib-neurofibromatosis-type-1-symptomatic-inoperable-plexiform-neurofibromas" TargetMode="External" /><Relationship Type="http://schemas.openxmlformats.org/officeDocument/2006/relationships/hyperlink" Id="rId29" Target="https://www.fda.gov/drugs/resources-information-approved-drugs/fda-approves-tisagenlecleucel-b-cell-all-and-tocilizumab-cytokine-release-syndrome" TargetMode="External" /><Relationship Type="http://schemas.openxmlformats.org/officeDocument/2006/relationships/hyperlink" Id="rId31" Target="https://www.fda.gov/drugs/resources-information-approved-drugs/fda-grants-accelerated-approval-erdafitinib-metastatic-urothelial-carcinoma" TargetMode="External" /><Relationship Type="http://schemas.openxmlformats.org/officeDocument/2006/relationships/hyperlink" Id="rId35" Target="https://www.fda.gov/drugs/resources-information-approved-drugs/fda-grants-accelerated-approval-pemigatinib-cholangiocarcinoma-fgfr2-rearrangement-or-fusion" TargetMode="External" /><Relationship Type="http://schemas.openxmlformats.org/officeDocument/2006/relationships/hyperlink" Id="rId21" Target="https://www.fda.gov/drugs/resources-information-approved-drugs/ongoing-cancer-accelerated-approvals" TargetMode="External" /><Relationship Type="http://schemas.openxmlformats.org/officeDocument/2006/relationships/hyperlink" Id="rId50" Target="https://www.fda.gov/drugs/resources-information-approved-drugs/verified-clinical-benefit-cancer-accelerated-approvals" TargetMode="External" /><Relationship Type="http://schemas.openxmlformats.org/officeDocument/2006/relationships/hyperlink" Id="rId32" Target="https://www.fda.gov/media/127961/download" TargetMode="External" /><Relationship Type="http://schemas.openxmlformats.org/officeDocument/2006/relationships/hyperlink" Id="rId41" Target="https://www.fda.gov/media/161472/download" TargetMode="External" /><Relationship Type="http://schemas.openxmlformats.org/officeDocument/2006/relationships/hyperlink" Id="rId42" Target="https://www.fda.gov/media/162098/download" TargetMode="External" /><Relationship Type="http://schemas.openxmlformats.org/officeDocument/2006/relationships/hyperlink" Id="rId43" Target="https://www.fda.gov/media/164094/download" TargetMode="External" /><Relationship Type="http://schemas.openxmlformats.org/officeDocument/2006/relationships/hyperlink" Id="rId54" Target="https://www.fda.gov/media/170827/download" TargetMode="External" /><Relationship Type="http://schemas.openxmlformats.org/officeDocument/2006/relationships/hyperlink" Id="rId46" Target="https://www.fda.gov/media/177578/download" TargetMode="External" /><Relationship Type="http://schemas.openxmlformats.org/officeDocument/2006/relationships/hyperlink" Id="rId47" Target="https://www.fda.gov/media/184353/download" TargetMode="External" /><Relationship Type="http://schemas.openxmlformats.org/officeDocument/2006/relationships/hyperlink" Id="rId39" Target="https://www.fda.gov/news-events/press-announcements/fda-approves-first-cellular-therapy-treat-patients-type-1-diabetes" TargetMode="External" /><Relationship Type="http://schemas.openxmlformats.org/officeDocument/2006/relationships/hyperlink" Id="rId45" Target="https://www.fda.gov/news-events/press-announcements/fda-approves-first-gene-therapies-treat-patients-sickle-cell-disease" TargetMode="External" /><Relationship Type="http://schemas.openxmlformats.org/officeDocument/2006/relationships/hyperlink" Id="rId24" Target="https://www.fda.gov/science-research/real-world-evidence/fda-use-real-world-evidence-regulatory-decision-making" TargetMode="External" /></Relationships>
</file>

<file path=word/_rels/footnotes.xml.rels><?xml version="1.0" encoding="UTF-8"?><Relationships xmlns="http://schemas.openxmlformats.org/package/2006/relationships"><Relationship Type="http://schemas.openxmlformats.org/officeDocument/2006/relationships/hyperlink" Id="rId44" Target="https://pubmed.ncbi.nlm.nih.gov/39705065/" TargetMode="External" /><Relationship Type="http://schemas.openxmlformats.org/officeDocument/2006/relationships/hyperlink" Id="rId26" Target="https://www.accessdata.fda.gov/drugsatfda_docs/label/2016/206488lbl.pdf" TargetMode="External" /><Relationship Type="http://schemas.openxmlformats.org/officeDocument/2006/relationships/hyperlink" Id="rId57" Target="https://www.accessdata.fda.gov/drugsatfda_docs/nda/2017/761047Orig1s000StatR.pdf" TargetMode="External" /><Relationship Type="http://schemas.openxmlformats.org/officeDocument/2006/relationships/hyperlink" Id="rId27" Target="https://www.accessdata.fda.gov/drugsatfda_docs/nda/2017/761052Orig1s000SumR.pdf" TargetMode="External" /><Relationship Type="http://schemas.openxmlformats.org/officeDocument/2006/relationships/hyperlink" Id="rId37" Target="https://www.accessdata.fda.gov/drugsatfda_docs/nda/2021/214783Orig1s000MultidisciplineR.pdf" TargetMode="External" /><Relationship Type="http://schemas.openxmlformats.org/officeDocument/2006/relationships/hyperlink" Id="rId36" Target="https://www.accessdata.fda.gov/drugsatfda_docs/nda/2021/215383Orig1s000MultidisciplineR.pdf" TargetMode="External" /><Relationship Type="http://schemas.openxmlformats.org/officeDocument/2006/relationships/hyperlink" Id="rId22" Target="https://www.fda.gov/drugs/nda-and-bla-approvals/accelerated-approval-program" TargetMode="External" /><Relationship Type="http://schemas.openxmlformats.org/officeDocument/2006/relationships/hyperlink" Id="rId28" Target="https://www.fda.gov/drugs/resources-information-approved-drugs/avelumab-bavencio" TargetMode="External" /><Relationship Type="http://schemas.openxmlformats.org/officeDocument/2006/relationships/hyperlink" Id="rId40" Target="https://www.fda.gov/drugs/resources-information-approved-drugs/fda-approves-alpelisib-pik3ca-related-overgrowth-spectrum" TargetMode="External" /><Relationship Type="http://schemas.openxmlformats.org/officeDocument/2006/relationships/hyperlink" Id="rId33" Target="https://www.fda.gov/drugs/resources-information-approved-drugs/fda-approves-avapritinib-gastrointestinal-stromal-tumor-rare-mutation" TargetMode="External" /><Relationship Type="http://schemas.openxmlformats.org/officeDocument/2006/relationships/hyperlink" Id="rId30" Target="https://www.fda.gov/drugs/resources-information-approved-drugs/fda-approves-axicabtagene-ciloleucel-large-b-cell-lymphoma" TargetMode="External" /><Relationship Type="http://schemas.openxmlformats.org/officeDocument/2006/relationships/hyperlink" Id="rId48" Target="https://www.fda.gov/drugs/resources-information-approved-drugs/fda-approves-mirdametinib-adult-and-pediatric-patients-neurofibromatosis-type-1-who-have-symptomatic" TargetMode="External" /><Relationship Type="http://schemas.openxmlformats.org/officeDocument/2006/relationships/hyperlink" Id="rId34" Target="https://www.fda.gov/drugs/resources-information-approved-drugs/fda-approves-selumetinib-neurofibromatosis-type-1-symptomatic-inoperable-plexiform-neurofibromas" TargetMode="External" /><Relationship Type="http://schemas.openxmlformats.org/officeDocument/2006/relationships/hyperlink" Id="rId29" Target="https://www.fda.gov/drugs/resources-information-approved-drugs/fda-approves-tisagenlecleucel-b-cell-all-and-tocilizumab-cytokine-release-syndrome" TargetMode="External" /><Relationship Type="http://schemas.openxmlformats.org/officeDocument/2006/relationships/hyperlink" Id="rId31" Target="https://www.fda.gov/drugs/resources-information-approved-drugs/fda-grants-accelerated-approval-erdafitinib-metastatic-urothelial-carcinoma" TargetMode="External" /><Relationship Type="http://schemas.openxmlformats.org/officeDocument/2006/relationships/hyperlink" Id="rId35" Target="https://www.fda.gov/drugs/resources-information-approved-drugs/fda-grants-accelerated-approval-pemigatinib-cholangiocarcinoma-fgfr2-rearrangement-or-fusion" TargetMode="External" /><Relationship Type="http://schemas.openxmlformats.org/officeDocument/2006/relationships/hyperlink" Id="rId21" Target="https://www.fda.gov/drugs/resources-information-approved-drugs/ongoing-cancer-accelerated-approvals" TargetMode="External" /><Relationship Type="http://schemas.openxmlformats.org/officeDocument/2006/relationships/hyperlink" Id="rId50" Target="https://www.fda.gov/drugs/resources-information-approved-drugs/verified-clinical-benefit-cancer-accelerated-approvals" TargetMode="External" /><Relationship Type="http://schemas.openxmlformats.org/officeDocument/2006/relationships/hyperlink" Id="rId32" Target="https://www.fda.gov/media/127961/download" TargetMode="External" /><Relationship Type="http://schemas.openxmlformats.org/officeDocument/2006/relationships/hyperlink" Id="rId41" Target="https://www.fda.gov/media/161472/download" TargetMode="External" /><Relationship Type="http://schemas.openxmlformats.org/officeDocument/2006/relationships/hyperlink" Id="rId42" Target="https://www.fda.gov/media/162098/download" TargetMode="External" /><Relationship Type="http://schemas.openxmlformats.org/officeDocument/2006/relationships/hyperlink" Id="rId43" Target="https://www.fda.gov/media/164094/download" TargetMode="External" /><Relationship Type="http://schemas.openxmlformats.org/officeDocument/2006/relationships/hyperlink" Id="rId54" Target="https://www.fda.gov/media/170827/download" TargetMode="External" /><Relationship Type="http://schemas.openxmlformats.org/officeDocument/2006/relationships/hyperlink" Id="rId46" Target="https://www.fda.gov/media/177578/download" TargetMode="External" /><Relationship Type="http://schemas.openxmlformats.org/officeDocument/2006/relationships/hyperlink" Id="rId47" Target="https://www.fda.gov/media/184353/download" TargetMode="External" /><Relationship Type="http://schemas.openxmlformats.org/officeDocument/2006/relationships/hyperlink" Id="rId39" Target="https://www.fda.gov/news-events/press-announcements/fda-approves-first-cellular-therapy-treat-patients-type-1-diabetes" TargetMode="External" /><Relationship Type="http://schemas.openxmlformats.org/officeDocument/2006/relationships/hyperlink" Id="rId45" Target="https://www.fda.gov/news-events/press-announcements/fda-approves-first-gene-therapies-treat-patients-sickle-cell-disease" TargetMode="External" /><Relationship Type="http://schemas.openxmlformats.org/officeDocument/2006/relationships/hyperlink" Id="rId24" Target="https://www.fda.gov/science-research/real-world-evidence/fda-use-real-world-evidence-regulatory-decision-mak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2026-04-28T15:44:47Z</dcterms:created>
  <dcterms:modified xsi:type="dcterms:W3CDTF">2026-04-28T15:44:47Z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