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heor-teams-in-biopharma"/>
    <w:p>
      <w:pPr>
        <w:pStyle w:val="Heading1"/>
      </w:pPr>
      <w:r>
        <w:t xml:space="preserve">HEOR Teams in Biopharma</w:t>
      </w:r>
    </w:p>
    <w:bookmarkStart w:id="30" w:name="executive-summary"/>
    <w:p>
      <w:pPr>
        <w:pStyle w:val="Heading2"/>
      </w:pPr>
      <w:r>
        <w:t xml:space="preserve">Executive summary</w:t>
      </w:r>
    </w:p>
    <w:p>
      <w:pPr>
        <w:pStyle w:val="FirstParagraph"/>
      </w:pPr>
      <w:r>
        <w:t xml:space="preserve">The public record shows a real tension between the</w:t>
      </w:r>
      <w:r>
        <w:t xml:space="preserve"> </w:t>
      </w:r>
      <w:r>
        <w:rPr>
          <w:b/>
          <w:bCs/>
        </w:rPr>
        <w:t xml:space="preserve">external importance</w:t>
      </w:r>
      <w:r>
        <w:t xml:space="preserve"> </w:t>
      </w:r>
      <w:r>
        <w:t xml:space="preserve">of Health Economics and Outcomes Research and its</w:t>
      </w:r>
      <w:r>
        <w:t xml:space="preserve"> </w:t>
      </w:r>
      <w:r>
        <w:rPr>
          <w:b/>
          <w:bCs/>
        </w:rPr>
        <w:t xml:space="preserve">internal organizational fragility</w:t>
      </w:r>
      <w:r>
        <w:t xml:space="preserve">. On the demand side, official payer, HTA, and regulatory materials make clear that manufacturers increasingly need richer clinical, economic, patient-reported, and real-world evidence packages. AMCP</w:t>
      </w:r>
      <w:hyperlink r:id="rId21">
        <w:r>
          <w:rPr>
            <w:rStyle w:val="Hyperlink"/>
          </w:rPr>
          <w:t xml:space="preserve">[1]</w:t>
        </w:r>
      </w:hyperlink>
      <w:r>
        <w:t xml:space="preserve">’s dossier guidance explicitly standardizes clinical and economic evidence for coverage and reimbursement decisions; NICE</w:t>
      </w:r>
      <w:hyperlink r:id="rId22">
        <w:r>
          <w:rPr>
            <w:rStyle w:val="Hyperlink"/>
          </w:rPr>
          <w:t xml:space="preserve">[2]</w:t>
        </w:r>
      </w:hyperlink>
      <w:r>
        <w:t xml:space="preserve"> </w:t>
      </w:r>
      <w:r>
        <w:t xml:space="preserve">says real-world data should be used to reduce uncertainty and improve access decisions; the U.S. Food and Drug Administration</w:t>
      </w:r>
      <w:hyperlink r:id="rId23">
        <w:r>
          <w:rPr>
            <w:rStyle w:val="Hyperlink"/>
          </w:rPr>
          <w:t xml:space="preserve">[3]</w:t>
        </w:r>
      </w:hyperlink>
      <w:r>
        <w:t xml:space="preserve"> </w:t>
      </w:r>
      <w:r>
        <w:t xml:space="preserve">and European Medicines Agency</w:t>
      </w:r>
      <w:hyperlink r:id="rId24">
        <w:r>
          <w:rPr>
            <w:rStyle w:val="Hyperlink"/>
          </w:rPr>
          <w:t xml:space="preserve">[4]</w:t>
        </w:r>
      </w:hyperlink>
      <w:r>
        <w:t xml:space="preserve"> </w:t>
      </w:r>
      <w:r>
        <w:t xml:space="preserve">both describe formal pathways for real-world evidence in regulatory decision-making; and ICER</w:t>
      </w:r>
      <w:hyperlink r:id="rId25">
        <w:r>
          <w:rPr>
            <w:rStyle w:val="Hyperlink"/>
          </w:rPr>
          <w:t xml:space="preserve">[5]</w:t>
        </w:r>
      </w:hyperlink>
      <w:r>
        <w:t xml:space="preserve"> </w:t>
      </w:r>
      <w:r>
        <w:t xml:space="preserve">frames value assessment around rigorous, transparent evidence that increasingly includes outcomes beyond traditional trials. Foundational literature likewise argues that HTA and reimbursement needs require evidence beyond the regulatory dossier and that HEOR use in payer decision-making is already common and expected to increase.</w:t>
      </w:r>
      <w:r>
        <w:t xml:space="preserve"> </w:t>
      </w:r>
      <w:hyperlink r:id="rId26">
        <w:r>
          <w:rPr>
            <w:rStyle w:val="Hyperlink"/>
          </w:rPr>
          <w:t xml:space="preserve">[6]</w:t>
        </w:r>
      </w:hyperlink>
    </w:p>
    <w:p>
      <w:pPr>
        <w:pStyle w:val="BodyText"/>
      </w:pPr>
      <w:r>
        <w:t xml:space="preserve">At the same time, the strongest public evidence on internal restructuring points in the opposite direction: stand-alone HEOR groups are often being</w:t>
      </w:r>
      <w:r>
        <w:t xml:space="preserve"> </w:t>
      </w:r>
      <w:r>
        <w:rPr>
          <w:b/>
          <w:bCs/>
        </w:rPr>
        <w:t xml:space="preserve">embedded</w:t>
      </w:r>
      <w:r>
        <w:t xml:space="preserve">,</w:t>
      </w:r>
      <w:r>
        <w:t xml:space="preserve"> </w:t>
      </w:r>
      <w:r>
        <w:rPr>
          <w:b/>
          <w:bCs/>
        </w:rPr>
        <w:t xml:space="preserve">de-layered</w:t>
      </w:r>
      <w:r>
        <w:t xml:space="preserve">, or</w:t>
      </w:r>
      <w:r>
        <w:t xml:space="preserve"> </w:t>
      </w:r>
      <w:r>
        <w:rPr>
          <w:b/>
          <w:bCs/>
        </w:rPr>
        <w:t xml:space="preserve">split</w:t>
      </w:r>
      <w:r>
        <w:t xml:space="preserve"> </w:t>
      </w:r>
      <w:r>
        <w:t xml:space="preserve">rather than left untouched. Curta</w:t>
      </w:r>
      <w:hyperlink r:id="rId21">
        <w:r>
          <w:rPr>
            <w:rStyle w:val="Hyperlink"/>
          </w:rPr>
          <w:t xml:space="preserve">[7]</w:t>
        </w:r>
      </w:hyperlink>
      <w:r>
        <w:t xml:space="preserve">’s 2024 commentary by</w:t>
      </w:r>
      <w:r>
        <w:t xml:space="preserve"> </w:t>
      </w:r>
      <w:r>
        <w:rPr>
          <w:b/>
          <w:bCs/>
        </w:rPr>
        <w:t xml:space="preserve">Scott D. Ramsey</w:t>
      </w:r>
      <w:hyperlink r:id="rId21">
        <w:r>
          <w:rPr>
            <w:rStyle w:val="Hyperlink"/>
            <w:b/>
            <w:bCs/>
          </w:rPr>
          <w:t xml:space="preserve">[8]</w:t>
        </w:r>
      </w:hyperlink>
      <w:r>
        <w:t xml:space="preserve"> </w:t>
      </w:r>
      <w:r>
        <w:t xml:space="preserve">reported several very large pharma companies had “substantially reorganized or eliminated” HEOR groups, often moving staff into Medical Affairs or Market Access. An official 2024 ISPOR</w:t>
      </w:r>
      <w:hyperlink r:id="rId21">
        <w:r>
          <w:rPr>
            <w:rStyle w:val="Hyperlink"/>
          </w:rPr>
          <w:t xml:space="preserve">[9]</w:t>
        </w:r>
      </w:hyperlink>
      <w:r>
        <w:t xml:space="preserve"> </w:t>
      </w:r>
      <w:r>
        <w:t xml:space="preserve">editorial said leaders of several HEOR groups had been let go and teams dispersed into those same functions. An ISPOR Europe workforce survey deck reported that 81% of responding companies had HEOR reorganizations in the prior two years, with a trend toward decentralization into market access, medical, statistics, or therapeutic areas; about one-third also reported layoffs. A 2025 SME study from Alkemi Health</w:t>
      </w:r>
      <w:hyperlink r:id="rId27">
        <w:r>
          <w:rPr>
            <w:rStyle w:val="Hyperlink"/>
          </w:rPr>
          <w:t xml:space="preserve">[10]</w:t>
        </w:r>
      </w:hyperlink>
      <w:r>
        <w:t xml:space="preserve"> </w:t>
      </w:r>
      <w:r>
        <w:t xml:space="preserve">found HEOR had shifted from being mostly in Medical Affairs to sitting within or alongside Market Access, aligned to a commercial perspective. A 2026 survey from the Center for the Evaluation of Value and Risk in Health</w:t>
      </w:r>
      <w:hyperlink r:id="rId28">
        <w:r>
          <w:rPr>
            <w:rStyle w:val="Hyperlink"/>
          </w:rPr>
          <w:t xml:space="preserve">[11]</w:t>
        </w:r>
      </w:hyperlink>
      <w:r>
        <w:t xml:space="preserve"> </w:t>
      </w:r>
      <w:r>
        <w:t xml:space="preserve">at Tufts Medical Center</w:t>
      </w:r>
      <w:hyperlink r:id="rId29">
        <w:r>
          <w:rPr>
            <w:rStyle w:val="Hyperlink"/>
          </w:rPr>
          <w:t xml:space="preserve">[12]</w:t>
        </w:r>
      </w:hyperlink>
      <w:r>
        <w:t xml:space="preserve"> </w:t>
      </w:r>
      <w:r>
        <w:t xml:space="preserve">found current HEOR teams are most commonly housed in Medical Affairs or Market Access, with flatter budgets expected especially in larger companies.</w:t>
      </w:r>
      <w:r>
        <w:t xml:space="preserve"> </w:t>
      </w:r>
      <w:hyperlink r:id="rId23">
        <w:r>
          <w:rPr>
            <w:rStyle w:val="Hyperlink"/>
          </w:rPr>
          <w:t xml:space="preserve">[13]</w:t>
        </w:r>
      </w:hyperlink>
    </w:p>
    <w:p>
      <w:pPr>
        <w:pStyle w:val="BodyText"/>
      </w:pPr>
      <w:r>
        <w:t xml:space="preserve">The main publicly documented drivers cluster into a few repeated themes. First,</w:t>
      </w:r>
      <w:r>
        <w:t xml:space="preserve"> </w:t>
      </w:r>
      <w:r>
        <w:rPr>
          <w:b/>
          <w:bCs/>
        </w:rPr>
        <w:t xml:space="preserve">cost pressure</w:t>
      </w:r>
      <w:r>
        <w:t xml:space="preserve">: profitability pressure, perceived overstaffing, launch underperformance, and broader biopharma layoffs all put “support” functions under scrutiny. Second,</w:t>
      </w:r>
      <w:r>
        <w:t xml:space="preserve"> </w:t>
      </w:r>
      <w:r>
        <w:rPr>
          <w:b/>
          <w:bCs/>
        </w:rPr>
        <w:t xml:space="preserve">strategic integration</w:t>
      </w:r>
      <w:r>
        <w:t xml:space="preserve">: consultancies and company case studies repeatedly argue that evidence planning is still too siloed and should be integrated across R&amp;D, Medical Affairs, Market Access, RWE, and Commercial. Third,</w:t>
      </w:r>
      <w:r>
        <w:t xml:space="preserve"> </w:t>
      </w:r>
      <w:r>
        <w:rPr>
          <w:b/>
          <w:bCs/>
        </w:rPr>
        <w:t xml:space="preserve">commercial accountability</w:t>
      </w:r>
      <w:r>
        <w:t xml:space="preserve">: restructured HEOR teams are increasingly expected to show impact in terms of access wins, pricing outcomes, and launch performance, not just methodological rigor. Fourth,</w:t>
      </w:r>
      <w:r>
        <w:t xml:space="preserve"> </w:t>
      </w:r>
      <w:r>
        <w:rPr>
          <w:b/>
          <w:bCs/>
        </w:rPr>
        <w:t xml:space="preserve">overlap and convergence</w:t>
      </w:r>
      <w:r>
        <w:t xml:space="preserve">: some companies push HEOR toward Commercial or Value &amp; Access, while others combine parts of HEOR with RWE or Medical Affairs. Fifth,</w:t>
      </w:r>
      <w:r>
        <w:t xml:space="preserve"> </w:t>
      </w:r>
      <w:r>
        <w:rPr>
          <w:b/>
          <w:bCs/>
        </w:rPr>
        <w:t xml:space="preserve">automation and capability reshaping</w:t>
      </w:r>
      <w:r>
        <w:t xml:space="preserve">: large shares of HEOR leaders already use AI, and nearly one-third in the Tufts survey said some HEOR jobs may be replaced by AI within two years. Deloitte</w:t>
      </w:r>
      <w:hyperlink r:id="rId27">
        <w:r>
          <w:rPr>
            <w:rStyle w:val="Hyperlink"/>
          </w:rPr>
          <w:t xml:space="preserve">[14]</w:t>
        </w:r>
      </w:hyperlink>
      <w:r>
        <w:t xml:space="preserve">, entity["organization","McKinsey &amp; Company","consulting firm"], IQVIA</w:t>
      </w:r>
      <w:hyperlink r:id="rId23">
        <w:r>
          <w:rPr>
            <w:rStyle w:val="Hyperlink"/>
          </w:rPr>
          <w:t xml:space="preserve">[15]</w:t>
        </w:r>
      </w:hyperlink>
      <w:r>
        <w:t xml:space="preserve">, and entity["organization","Bain &amp; Company","consulting firm"] all frame the solution not as less evidence, but as more integrated, earlier, and more cross-functional evidence generation.</w:t>
      </w:r>
      <w:r>
        <w:t xml:space="preserve"> </w:t>
      </w:r>
      <w:hyperlink r:id="rId21">
        <w:r>
          <w:rPr>
            <w:rStyle w:val="Hyperlink"/>
          </w:rPr>
          <w:t xml:space="preserve">[16]</w:t>
        </w:r>
      </w:hyperlink>
    </w:p>
    <w:p>
      <w:pPr>
        <w:pStyle w:val="BodyText"/>
      </w:pPr>
      <w:r>
        <w:t xml:space="preserve">The most important caveat is that</w:t>
      </w:r>
      <w:r>
        <w:t xml:space="preserve"> </w:t>
      </w:r>
      <w:r>
        <w:rPr>
          <w:b/>
          <w:bCs/>
        </w:rPr>
        <w:t xml:space="preserve">explicit company-specific, official statements saying “we disbanded our HEOR team” are rare</w:t>
      </w:r>
      <w:r>
        <w:t xml:space="preserve">. Public disclosures are usually indirect: survey data, practitioner accounts, trade-journal benchmarks, LinkedIn posts, or company-authored Medical Affairs transformation case studies that show where HEOR-adjacent work is being absorbed. So the trend is real in the public record, but named-company attribution is still incomplete.</w:t>
      </w:r>
      <w:r>
        <w:t xml:space="preserve"> </w:t>
      </w:r>
      <w:hyperlink r:id="rId23">
        <w:r>
          <w:rPr>
            <w:rStyle w:val="Hyperlink"/>
          </w:rPr>
          <w:t xml:space="preserve">[13]</w:t>
        </w:r>
      </w:hyperlink>
    </w:p>
    <w:bookmarkEnd w:id="30"/>
    <w:bookmarkStart w:id="33" w:name="themes-in-the-source-base"/>
    <w:p>
      <w:pPr>
        <w:pStyle w:val="Heading2"/>
      </w:pPr>
      <w:r>
        <w:t xml:space="preserve">Themes in the source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What the sources say</w:t>
            </w:r>
          </w:p>
        </w:tc>
        <w:tc>
          <w:tcPr/>
          <w:p>
            <w:pPr>
              <w:pStyle w:val="Compact"/>
            </w:pPr>
            <w:r>
              <w:t xml:space="preserve">Highest-signal evidence</w:t>
            </w:r>
          </w:p>
        </w:tc>
      </w:tr>
      <w:tr>
        <w:tc>
          <w:tcPr/>
          <w:p>
            <w:pPr>
              <w:pStyle w:val="Compact"/>
            </w:pPr>
            <w:r>
              <w:t xml:space="preserve">Rising evidence burden</w:t>
            </w:r>
          </w:p>
        </w:tc>
        <w:tc>
          <w:tcPr/>
          <w:p>
            <w:pPr>
              <w:pStyle w:val="Compact"/>
            </w:pPr>
            <w:r>
              <w:t xml:space="preserve">Payers, HTA bodies, and regulators want broader evidence packages: comparative effectiveness, economic value, patient-reported outcomes, and real-world evidence. This raises the strategic importance of HEOR-type work.</w:t>
            </w:r>
          </w:p>
        </w:tc>
        <w:tc>
          <w:tcPr/>
          <w:p>
            <w:pPr>
              <w:pStyle w:val="Compact"/>
            </w:pPr>
            <w:r>
              <w:t xml:space="preserve">AMCP format guidance; NICE RWE framework; FDA RWE guidance; EMA RWE vision; ICER value framework.</w:t>
            </w:r>
            <w:r>
              <w:t xml:space="preserve"> </w:t>
            </w:r>
            <w:hyperlink r:id="rId26">
              <w:r>
                <w:rPr>
                  <w:rStyle w:val="Hyperlink"/>
                </w:rPr>
                <w:t xml:space="preserve">[17]</w:t>
              </w:r>
            </w:hyperlink>
          </w:p>
        </w:tc>
      </w:tr>
      <w:tr>
        <w:tc>
          <w:tcPr/>
          <w:p>
            <w:pPr>
              <w:pStyle w:val="Compact"/>
            </w:pPr>
            <w:r>
              <w:t xml:space="preserve">Strategic integration and de-siloing</w:t>
            </w:r>
          </w:p>
        </w:tc>
        <w:tc>
          <w:tcPr/>
          <w:p>
            <w:pPr>
              <w:pStyle w:val="Compact"/>
            </w:pPr>
            <w:r>
              <w:t xml:space="preserve">Integrated evidence plans are replacing function-by-function evidence plans. The target model is coordinated planning across R&amp;D, Medical Affairs, Market Access, HEOR, RWE, and Commercial.</w:t>
            </w:r>
          </w:p>
        </w:tc>
        <w:tc>
          <w:tcPr/>
          <w:p>
            <w:pPr>
              <w:pStyle w:val="Compact"/>
            </w:pPr>
            <w:r>
              <w:t xml:space="preserve">McKinsey on “bolted together” plans; Deloitte on fragmented evidence efforts; IQVIA on MA orchestrating evidence planning; ZS on formalizing IEPs.</w:t>
            </w:r>
            <w:r>
              <w:t xml:space="preserve"> </w:t>
            </w:r>
            <w:hyperlink r:id="rId31">
              <w:r>
                <w:rPr>
                  <w:rStyle w:val="Hyperlink"/>
                </w:rPr>
                <w:t xml:space="preserve">[18]</w:t>
              </w:r>
            </w:hyperlink>
          </w:p>
        </w:tc>
      </w:tr>
      <w:tr>
        <w:tc>
          <w:tcPr/>
          <w:p>
            <w:pPr>
              <w:pStyle w:val="Compact"/>
            </w:pPr>
            <w:r>
              <w:t xml:space="preserve">Medical Affairs elevation</w:t>
            </w:r>
          </w:p>
        </w:tc>
        <w:tc>
          <w:tcPr/>
          <w:p>
            <w:pPr>
              <w:pStyle w:val="Compact"/>
            </w:pPr>
            <w:r>
              <w:t xml:space="preserve">Medical Affairs is increasingly described as a “third pillar” or strategic hub linking R&amp;D and Commercial, and absorbing more evidence-generation and payer-evidence responsibilities.</w:t>
            </w:r>
          </w:p>
        </w:tc>
        <w:tc>
          <w:tcPr/>
          <w:p>
            <w:pPr>
              <w:pStyle w:val="Compact"/>
            </w:pPr>
            <w:r>
              <w:t xml:space="preserve">McKinsey MA 2030; Farrington et al.; AstraZeneca Spain transformation papers; Bain “medical value teams.”</w:t>
            </w:r>
            <w:r>
              <w:t xml:space="preserve"> </w:t>
            </w:r>
            <w:hyperlink r:id="rId32">
              <w:r>
                <w:rPr>
                  <w:rStyle w:val="Hyperlink"/>
                </w:rPr>
                <w:t xml:space="preserve">[19]</w:t>
              </w:r>
            </w:hyperlink>
          </w:p>
        </w:tc>
      </w:tr>
      <w:tr>
        <w:tc>
          <w:tcPr/>
          <w:p>
            <w:pPr>
              <w:pStyle w:val="Compact"/>
            </w:pPr>
            <w:r>
              <w:t xml:space="preserve">Commercial accountability</w:t>
            </w:r>
          </w:p>
        </w:tc>
        <w:tc>
          <w:tcPr/>
          <w:p>
            <w:pPr>
              <w:pStyle w:val="Compact"/>
            </w:pPr>
            <w:r>
              <w:t xml:space="preserve">HEOR is being judged more explicitly on launch/access outcomes such as HTA success, price achievement, payer acceptance, and uptake.</w:t>
            </w:r>
          </w:p>
        </w:tc>
        <w:tc>
          <w:tcPr/>
          <w:p>
            <w:pPr>
              <w:pStyle w:val="Compact"/>
            </w:pPr>
            <w:r>
              <w:t xml:space="preserve">Alkemi SME study; PharmExec benchmark; Deloitte launch report.</w:t>
            </w:r>
            <w:r>
              <w:t xml:space="preserve"> </w:t>
            </w:r>
            <w:hyperlink r:id="rId21">
              <w:r>
                <w:rPr>
                  <w:rStyle w:val="Hyperlink"/>
                </w:rPr>
                <w:t xml:space="preserve">[20]</w:t>
              </w:r>
            </w:hyperlink>
          </w:p>
        </w:tc>
      </w:tr>
      <w:tr>
        <w:tc>
          <w:tcPr/>
          <w:p>
            <w:pPr>
              <w:pStyle w:val="Compact"/>
            </w:pPr>
            <w:r>
              <w:t xml:space="preserve">Cost-cutting and restructuring</w:t>
            </w:r>
          </w:p>
        </w:tc>
        <w:tc>
          <w:tcPr/>
          <w:p>
            <w:pPr>
              <w:pStyle w:val="Compact"/>
            </w:pPr>
            <w:r>
              <w:t xml:space="preserve">Public evidence repeatedly mentions cost pressure, profitability pressure, overstaffing narratives, and broader layoffs as part of the backdrop to HEOR downsizing.</w:t>
            </w:r>
          </w:p>
        </w:tc>
        <w:tc>
          <w:tcPr/>
          <w:p>
            <w:pPr>
              <w:pStyle w:val="Compact"/>
            </w:pPr>
            <w:r>
              <w:t xml:space="preserve">Curta commentary; ISPOR editorial; Alkemi study; Russell Reynolds article; broader pharma layoff coverage.</w:t>
            </w:r>
            <w:r>
              <w:t xml:space="preserve"> </w:t>
            </w:r>
            <w:hyperlink r:id="rId23">
              <w:r>
                <w:rPr>
                  <w:rStyle w:val="Hyperlink"/>
                </w:rPr>
                <w:t xml:space="preserve">[21]</w:t>
              </w:r>
            </w:hyperlink>
          </w:p>
        </w:tc>
      </w:tr>
      <w:tr>
        <w:tc>
          <w:tcPr/>
          <w:p>
            <w:pPr>
              <w:pStyle w:val="Compact"/>
            </w:pPr>
            <w:r>
              <w:t xml:space="preserve">Capability overlap and relocation</w:t>
            </w:r>
          </w:p>
        </w:tc>
        <w:tc>
          <w:tcPr/>
          <w:p>
            <w:pPr>
              <w:pStyle w:val="Compact"/>
            </w:pPr>
            <w:r>
              <w:t xml:space="preserve">There is no single destination for HEOR. Some benchmarks show moves into Commercial/Value &amp; Access; others show splits into R&amp;D/RWE; surveys show current placement most often in Medical Affairs or Market Access.</w:t>
            </w:r>
          </w:p>
        </w:tc>
        <w:tc>
          <w:tcPr/>
          <w:p>
            <w:pPr>
              <w:pStyle w:val="Compact"/>
            </w:pPr>
            <w:r>
              <w:t xml:space="preserve">Alkemi; PharmExec HEOR benchmark; PharmExec Market Access benchmark; Tufts survey.</w:t>
            </w:r>
            <w:r>
              <w:t xml:space="preserve"> </w:t>
            </w:r>
            <w:hyperlink r:id="rId21">
              <w:r>
                <w:rPr>
                  <w:rStyle w:val="Hyperlink"/>
                </w:rPr>
                <w:t xml:space="preserve">[22]</w:t>
              </w:r>
            </w:hyperlink>
          </w:p>
        </w:tc>
      </w:tr>
      <w:tr>
        <w:tc>
          <w:tcPr/>
          <w:p>
            <w:pPr>
              <w:pStyle w:val="Compact"/>
            </w:pPr>
            <w:r>
              <w:t xml:space="preserve">AI and headcount pressure</w:t>
            </w:r>
          </w:p>
        </w:tc>
        <w:tc>
          <w:tcPr/>
          <w:p>
            <w:pPr>
              <w:pStyle w:val="Compact"/>
            </w:pPr>
            <w:r>
              <w:t xml:space="preserve">AI is already being used widely in HEOR, especially for evidence synthesis, and some leaders expect partial job replacement. This strengthens the case for leaner or differently configured teams.</w:t>
            </w:r>
          </w:p>
        </w:tc>
        <w:tc>
          <w:tcPr/>
          <w:p>
            <w:pPr>
              <w:pStyle w:val="Compact"/>
            </w:pPr>
            <w:r>
              <w:t xml:space="preserve">Tufts survey; ISPOR Top 10 Trends 2026-2027; Deloitte RWE study.</w:t>
            </w:r>
            <w:r>
              <w:t xml:space="preserve"> </w:t>
            </w:r>
            <w:hyperlink r:id="rId22">
              <w:r>
                <w:rPr>
                  <w:rStyle w:val="Hyperlink"/>
                </w:rPr>
                <w:t xml:space="preserve">[23]</w:t>
              </w:r>
            </w:hyperlink>
          </w:p>
        </w:tc>
      </w:tr>
    </w:tbl>
    <w:bookmarkEnd w:id="33"/>
    <w:bookmarkStart w:id="51" w:name="curated-source-catalogue"/>
    <w:p>
      <w:pPr>
        <w:pStyle w:val="Heading2"/>
      </w:pPr>
      <w:r>
        <w:t xml:space="preserve">Curated source catalogue</w:t>
      </w:r>
    </w:p>
    <w:p>
      <w:pPr>
        <w:pStyle w:val="FirstParagraph"/>
      </w:pPr>
      <w:r>
        <w:t xml:space="preserve">The citation in the last column opens the original source.</w:t>
      </w:r>
    </w:p>
    <w:bookmarkStart w:id="44" w:name="value-role-and-organizational-placement"/>
    <w:p>
      <w:pPr>
        <w:pStyle w:val="Heading3"/>
      </w:pPr>
      <w:r>
        <w:t xml:space="preserve">Value, role, and organizational placement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Theme</w:t>
            </w:r>
          </w:p>
        </w:tc>
        <w:tc>
          <w:tcPr/>
          <w:p>
            <w:pPr>
              <w:pStyle w:val="Compact"/>
            </w:pPr>
            <w:r>
              <w:t xml:space="preserve">Source</w:t>
            </w:r>
          </w:p>
        </w:tc>
        <w:tc>
          <w:tcPr/>
          <w:p>
            <w:pPr>
              <w:pStyle w:val="Compact"/>
            </w:pPr>
            <w:r>
              <w:t xml:space="preserve">Publication type and date</w:t>
            </w:r>
          </w:p>
        </w:tc>
        <w:tc>
          <w:tcPr/>
          <w:p>
            <w:pPr>
              <w:pStyle w:val="Compact"/>
            </w:pPr>
            <w:r>
              <w:t xml:space="preserve">Author</w:t>
            </w:r>
          </w:p>
        </w:tc>
        <w:tc>
          <w:tcPr/>
          <w:p>
            <w:pPr>
              <w:pStyle w:val="Compact"/>
            </w:pPr>
            <w:r>
              <w:t xml:space="preserve">Organization</w:t>
            </w:r>
          </w:p>
        </w:tc>
        <w:tc>
          <w:tcPr/>
          <w:p>
            <w:pPr>
              <w:pStyle w:val="Compact"/>
            </w:pPr>
            <w:r>
              <w:t xml:space="preserve">Primary, official, or analysis</w:t>
            </w:r>
          </w:p>
        </w:tc>
        <w:tc>
          <w:tcPr/>
          <w:p>
            <w:pPr>
              <w:pStyle w:val="Compact"/>
            </w:pPr>
            <w:r>
              <w:t xml:space="preserve">Key excerpt or rationale</w:t>
            </w:r>
          </w:p>
        </w:tc>
        <w:tc>
          <w:tcPr/>
          <w:p>
            <w:pPr>
              <w:pStyle w:val="Compact"/>
            </w:pPr>
            <w:r>
              <w:t xml:space="preserve">Link</w:t>
            </w:r>
          </w:p>
        </w:tc>
      </w:tr>
      <w:tr>
        <w:tc>
          <w:tcPr/>
          <w:p>
            <w:pPr>
              <w:pStyle w:val="Compact"/>
            </w:pPr>
            <w:r>
              <w:t xml:space="preserve">Payer use of HEOR</w:t>
            </w:r>
          </w:p>
        </w:tc>
        <w:tc>
          <w:tcPr/>
          <w:p>
            <w:pPr>
              <w:pStyle w:val="Compact"/>
            </w:pPr>
            <w:r>
              <w:rPr>
                <w:i/>
                <w:iCs/>
              </w:rPr>
              <w:t xml:space="preserve">Current and Future Use of HEOR Data in Healthcare Decision-Making in the United States and in Emerging Markets</w:t>
            </w:r>
          </w:p>
        </w:tc>
        <w:tc>
          <w:tcPr/>
          <w:p>
            <w:pPr>
              <w:pStyle w:val="Compact"/>
            </w:pPr>
            <w:r>
              <w:t xml:space="preserve">Peer-reviewed article, Nov/Dec 2012</w:t>
            </w:r>
          </w:p>
        </w:tc>
        <w:tc>
          <w:tcPr/>
          <w:p>
            <w:pPr>
              <w:pStyle w:val="Compact"/>
            </w:pPr>
            <w:r>
              <w:rPr>
                <w:b/>
                <w:bCs/>
              </w:rPr>
              <w:t xml:space="preserve">Anke-Peggy Holtorf</w:t>
            </w:r>
            <w:hyperlink r:id="rId21">
              <w:r>
                <w:rPr>
                  <w:rStyle w:val="Hyperlink"/>
                  <w:b/>
                  <w:bCs/>
                </w:rPr>
                <w:t xml:space="preserve">[24]</w:t>
              </w:r>
            </w:hyperlink>
            <w:r>
              <w:t xml:space="preserve"> </w:t>
            </w:r>
            <w:r>
              <w:t xml:space="preserve">et al.</w:t>
            </w:r>
          </w:p>
        </w:tc>
        <w:tc>
          <w:tcPr/>
          <w:p>
            <w:pPr>
              <w:pStyle w:val="Compact"/>
            </w:pPr>
            <w:r>
              <w:rPr>
                <w:i/>
                <w:iCs/>
              </w:rPr>
              <w:t xml:space="preserve">American Health &amp; Drug Benefits</w:t>
            </w:r>
          </w:p>
        </w:tc>
        <w:tc>
          <w:tcPr/>
          <w:p>
            <w:pPr>
              <w:pStyle w:val="Compact"/>
            </w:pPr>
            <w:r>
              <w:t xml:space="preserve">Primary/original paper</w:t>
            </w:r>
          </w:p>
        </w:tc>
        <w:tc>
          <w:tcPr/>
          <w:p>
            <w:pPr>
              <w:pStyle w:val="Compact"/>
            </w:pPr>
            <w:r>
              <w:t xml:space="preserve">74% to 77% of surveyed U.S. decision makers were already using HEOR; 82% expected use to increase. Also notes HEOR informs “coverage and access decisions.”</w:t>
            </w:r>
          </w:p>
        </w:tc>
        <w:tc>
          <w:tcPr/>
          <w:p>
            <w:pPr>
              <w:pStyle w:val="Compact"/>
            </w:pPr>
            <w:hyperlink r:id="rId27">
              <w:r>
                <w:rPr>
                  <w:rStyle w:val="Hyperlink"/>
                </w:rPr>
                <w:t xml:space="preserve">[25]</w:t>
              </w:r>
            </w:hyperlink>
          </w:p>
        </w:tc>
      </w:tr>
      <w:tr>
        <w:tc>
          <w:tcPr/>
          <w:p>
            <w:pPr>
              <w:pStyle w:val="Compact"/>
            </w:pPr>
            <w:r>
              <w:t xml:space="preserve">HEOR in drug development</w:t>
            </w:r>
          </w:p>
        </w:tc>
        <w:tc>
          <w:tcPr/>
          <w:p>
            <w:pPr>
              <w:pStyle w:val="Compact"/>
            </w:pPr>
            <w:r>
              <w:rPr>
                <w:i/>
                <w:iCs/>
              </w:rPr>
              <w:t xml:space="preserve">Health economics and outcomes research within drug development</w:t>
            </w:r>
          </w:p>
        </w:tc>
        <w:tc>
          <w:tcPr/>
          <w:p>
            <w:pPr>
              <w:pStyle w:val="Compact"/>
            </w:pPr>
            <w:r>
              <w:t xml:space="preserve">Review article, Feb 2012</w:t>
            </w:r>
          </w:p>
        </w:tc>
        <w:tc>
          <w:tcPr/>
          <w:p>
            <w:pPr>
              <w:pStyle w:val="Compact"/>
            </w:pPr>
            <w:r>
              <w:t xml:space="preserve">Floortje E. van Nooten et al.</w:t>
            </w:r>
          </w:p>
        </w:tc>
        <w:tc>
          <w:tcPr/>
          <w:p>
            <w:pPr>
              <w:pStyle w:val="Compact"/>
            </w:pPr>
            <w:r>
              <w:rPr>
                <w:i/>
                <w:iCs/>
              </w:rPr>
              <w:t xml:space="preserve">Drug Discovery Today</w:t>
            </w:r>
          </w:p>
        </w:tc>
        <w:tc>
          <w:tcPr/>
          <w:p>
            <w:pPr>
              <w:pStyle w:val="Compact"/>
            </w:pPr>
            <w:r>
              <w:t xml:space="preserve">Academic review</w:t>
            </w:r>
          </w:p>
        </w:tc>
        <w:tc>
          <w:tcPr/>
          <w:p>
            <w:pPr>
              <w:pStyle w:val="Compact"/>
            </w:pPr>
            <w:r>
              <w:t xml:space="preserve">ResearchGate excerpt notes HTA requires evidence beyond regulatory dossiers, including effectiveness, PROs, quality of life, and economic data; companies have been “forced to coordinate” evidence generation internally.</w:t>
            </w:r>
          </w:p>
        </w:tc>
        <w:tc>
          <w:tcPr/>
          <w:p>
            <w:pPr>
              <w:pStyle w:val="Compact"/>
            </w:pPr>
            <w:hyperlink r:id="rId29">
              <w:r>
                <w:rPr>
                  <w:rStyle w:val="Hyperlink"/>
                </w:rPr>
                <w:t xml:space="preserve">[26]</w:t>
              </w:r>
            </w:hyperlink>
          </w:p>
        </w:tc>
      </w:tr>
      <w:tr>
        <w:tc>
          <w:tcPr/>
          <w:p>
            <w:pPr>
              <w:pStyle w:val="Compact"/>
            </w:pPr>
            <w:r>
              <w:t xml:space="preserve">Formal payer evidence expectations</w:t>
            </w:r>
          </w:p>
        </w:tc>
        <w:tc>
          <w:tcPr/>
          <w:p>
            <w:pPr>
              <w:pStyle w:val="Compact"/>
            </w:pPr>
            <w:r>
              <w:rPr>
                <w:i/>
                <w:iCs/>
              </w:rPr>
              <w:t xml:space="preserve">AMCP Format 5.0</w:t>
            </w:r>
          </w:p>
        </w:tc>
        <w:tc>
          <w:tcPr/>
          <w:p>
            <w:pPr>
              <w:pStyle w:val="Compact"/>
            </w:pPr>
            <w:r>
              <w:t xml:space="preserve">Official guidance / journal supplement, Apr 2024</w:t>
            </w:r>
          </w:p>
        </w:tc>
        <w:tc>
          <w:tcPr/>
          <w:p>
            <w:pPr>
              <w:pStyle w:val="Compact"/>
            </w:pPr>
            <w:r>
              <w:t xml:space="preserve">AMCP Format Committee</w:t>
            </w:r>
          </w:p>
        </w:tc>
        <w:tc>
          <w:tcPr/>
          <w:p>
            <w:pPr>
              <w:pStyle w:val="Compact"/>
            </w:pPr>
            <w:r>
              <w:t xml:space="preserve">AMCP /</w:t>
            </w:r>
            <w:r>
              <w:t xml:space="preserve"> </w:t>
            </w:r>
            <w:r>
              <w:rPr>
                <w:i/>
                <w:iCs/>
              </w:rPr>
              <w:t xml:space="preserve">Journal of Managed Care &amp; Specialty Pharmacy</w:t>
            </w:r>
          </w:p>
        </w:tc>
        <w:tc>
          <w:tcPr/>
          <w:p>
            <w:pPr>
              <w:pStyle w:val="Compact"/>
            </w:pPr>
            <w:r>
              <w:t xml:space="preserve">Official guidance</w:t>
            </w:r>
          </w:p>
        </w:tc>
        <w:tc>
          <w:tcPr/>
          <w:p>
            <w:pPr>
              <w:pStyle w:val="Compact"/>
            </w:pPr>
            <w:r>
              <w:t xml:space="preserve">Dossiers are described as a standard source of “clinical and economic evidence” for formulary, coverage, policy, and reimbursement decisions across the product life cycle.</w:t>
            </w:r>
          </w:p>
        </w:tc>
        <w:tc>
          <w:tcPr/>
          <w:p>
            <w:pPr>
              <w:pStyle w:val="Compact"/>
            </w:pPr>
            <w:hyperlink r:id="rId26">
              <w:r>
                <w:rPr>
                  <w:rStyle w:val="Hyperlink"/>
                </w:rPr>
                <w:t xml:space="preserve">[27]</w:t>
              </w:r>
            </w:hyperlink>
          </w:p>
        </w:tc>
      </w:tr>
      <w:tr>
        <w:tc>
          <w:tcPr/>
          <w:p>
            <w:pPr>
              <w:pStyle w:val="Compact"/>
            </w:pPr>
            <w:r>
              <w:t xml:space="preserve">HTA/RWE expectations</w:t>
            </w:r>
          </w:p>
        </w:tc>
        <w:tc>
          <w:tcPr/>
          <w:p>
            <w:pPr>
              <w:pStyle w:val="Compact"/>
            </w:pPr>
            <w:r>
              <w:rPr>
                <w:i/>
                <w:iCs/>
              </w:rPr>
              <w:t xml:space="preserve">NICE real-world evidence framework</w:t>
            </w:r>
          </w:p>
        </w:tc>
        <w:tc>
          <w:tcPr/>
          <w:p>
            <w:pPr>
              <w:pStyle w:val="Compact"/>
            </w:pPr>
            <w:r>
              <w:t xml:space="preserve">Official guidance, Jun 2022</w:t>
            </w:r>
          </w:p>
        </w:tc>
        <w:tc>
          <w:tcPr/>
          <w:p>
            <w:pPr>
              <w:pStyle w:val="Compact"/>
            </w:pPr>
            <w:r>
              <w:t xml:space="preserve">NICE</w:t>
            </w:r>
          </w:p>
        </w:tc>
        <w:tc>
          <w:tcPr/>
          <w:p>
            <w:pPr>
              <w:pStyle w:val="Compact"/>
            </w:pPr>
            <w:r>
              <w:t xml:space="preserve">NICE</w:t>
            </w:r>
          </w:p>
        </w:tc>
        <w:tc>
          <w:tcPr/>
          <w:p>
            <w:pPr>
              <w:pStyle w:val="Compact"/>
            </w:pPr>
            <w:r>
              <w:t xml:space="preserve">Official guidance</w:t>
            </w:r>
          </w:p>
        </w:tc>
        <w:tc>
          <w:tcPr/>
          <w:p>
            <w:pPr>
              <w:pStyle w:val="Compact"/>
            </w:pPr>
            <w:r>
              <w:t xml:space="preserve">Says RWD can reduce uncertainty, improve guidance, and drive access to innovations; encourages early engagement on evidence-generation plans.</w:t>
            </w:r>
          </w:p>
        </w:tc>
        <w:tc>
          <w:tcPr/>
          <w:p>
            <w:pPr>
              <w:pStyle w:val="Compact"/>
            </w:pPr>
            <w:hyperlink r:id="rId34">
              <w:r>
                <w:rPr>
                  <w:rStyle w:val="Hyperlink"/>
                </w:rPr>
                <w:t xml:space="preserve">[28]</w:t>
              </w:r>
            </w:hyperlink>
          </w:p>
        </w:tc>
      </w:tr>
      <w:tr>
        <w:tc>
          <w:tcPr/>
          <w:p>
            <w:pPr>
              <w:pStyle w:val="Compact"/>
            </w:pPr>
            <w:r>
              <w:t xml:space="preserve">Regulatory RWE expectations</w:t>
            </w:r>
          </w:p>
        </w:tc>
        <w:tc>
          <w:tcPr/>
          <w:p>
            <w:pPr>
              <w:pStyle w:val="Compact"/>
            </w:pPr>
            <w:r>
              <w:rPr>
                <w:i/>
                <w:iCs/>
              </w:rPr>
              <w:t xml:space="preserve">Real-World Data: Assessing Electronic Health Records and Medical Claims Data…</w:t>
            </w:r>
          </w:p>
        </w:tc>
        <w:tc>
          <w:tcPr/>
          <w:p>
            <w:pPr>
              <w:pStyle w:val="Compact"/>
            </w:pPr>
            <w:r>
              <w:t xml:space="preserve">FDA guidance, Jul 2024</w:t>
            </w:r>
          </w:p>
        </w:tc>
        <w:tc>
          <w:tcPr/>
          <w:p>
            <w:pPr>
              <w:pStyle w:val="Compact"/>
            </w:pPr>
            <w:r>
              <w:t xml:space="preserve">FDA</w:t>
            </w:r>
          </w:p>
        </w:tc>
        <w:tc>
          <w:tcPr/>
          <w:p>
            <w:pPr>
              <w:pStyle w:val="Compact"/>
            </w:pPr>
            <w:r>
              <w:t xml:space="preserve">U.S. Food and Drug Administration</w:t>
            </w:r>
          </w:p>
        </w:tc>
        <w:tc>
          <w:tcPr/>
          <w:p>
            <w:pPr>
              <w:pStyle w:val="Compact"/>
            </w:pPr>
            <w:r>
              <w:t xml:space="preserve">Official guidance</w:t>
            </w:r>
          </w:p>
        </w:tc>
        <w:tc>
          <w:tcPr/>
          <w:p>
            <w:pPr>
              <w:pStyle w:val="Compact"/>
            </w:pPr>
            <w:r>
              <w:t xml:space="preserve">Confirms EHR and claims data can be used in clinical studies to support regulatory decisions on effectiveness or safety.</w:t>
            </w:r>
          </w:p>
        </w:tc>
        <w:tc>
          <w:tcPr/>
          <w:p>
            <w:pPr>
              <w:pStyle w:val="Compact"/>
            </w:pPr>
            <w:hyperlink r:id="rId35">
              <w:r>
                <w:rPr>
                  <w:rStyle w:val="Hyperlink"/>
                </w:rPr>
                <w:t xml:space="preserve">[29]</w:t>
              </w:r>
            </w:hyperlink>
          </w:p>
        </w:tc>
      </w:tr>
      <w:tr>
        <w:tc>
          <w:tcPr/>
          <w:p>
            <w:pPr>
              <w:pStyle w:val="Compact"/>
            </w:pPr>
            <w:r>
              <w:t xml:space="preserve">EU regulatory direction</w:t>
            </w:r>
          </w:p>
        </w:tc>
        <w:tc>
          <w:tcPr/>
          <w:p>
            <w:pPr>
              <w:pStyle w:val="Compact"/>
            </w:pPr>
            <w:r>
              <w:rPr>
                <w:i/>
                <w:iCs/>
              </w:rPr>
              <w:t xml:space="preserve">A vision for use of real-world evidence in EU medicines regulation</w:t>
            </w:r>
          </w:p>
        </w:tc>
        <w:tc>
          <w:tcPr/>
          <w:p>
            <w:pPr>
              <w:pStyle w:val="Compact"/>
            </w:pPr>
            <w:r>
              <w:t xml:space="preserve">Official agency article, Nov 2021</w:t>
            </w:r>
          </w:p>
        </w:tc>
        <w:tc>
          <w:tcPr/>
          <w:p>
            <w:pPr>
              <w:pStyle w:val="Compact"/>
            </w:pPr>
            <w:r>
              <w:t xml:space="preserve">EMA</w:t>
            </w:r>
          </w:p>
        </w:tc>
        <w:tc>
          <w:tcPr/>
          <w:p>
            <w:pPr>
              <w:pStyle w:val="Compact"/>
            </w:pPr>
            <w:r>
              <w:t xml:space="preserve">European Medicines Agency</w:t>
            </w:r>
          </w:p>
        </w:tc>
        <w:tc>
          <w:tcPr/>
          <w:p>
            <w:pPr>
              <w:pStyle w:val="Compact"/>
            </w:pPr>
            <w:r>
              <w:t xml:space="preserve">Official guidance</w:t>
            </w:r>
          </w:p>
        </w:tc>
        <w:tc>
          <w:tcPr/>
          <w:p>
            <w:pPr>
              <w:pStyle w:val="Compact"/>
            </w:pPr>
            <w:r>
              <w:t xml:space="preserve">Calls for standards for “high-quality collection and use of RWE” in cooperation with industry, HTA bodies, payers, and academia.</w:t>
            </w:r>
          </w:p>
        </w:tc>
        <w:tc>
          <w:tcPr/>
          <w:p>
            <w:pPr>
              <w:pStyle w:val="Compact"/>
            </w:pPr>
            <w:hyperlink r:id="rId36">
              <w:r>
                <w:rPr>
                  <w:rStyle w:val="Hyperlink"/>
                </w:rPr>
                <w:t xml:space="preserve">[30]</w:t>
              </w:r>
            </w:hyperlink>
          </w:p>
        </w:tc>
      </w:tr>
      <w:tr>
        <w:tc>
          <w:tcPr/>
          <w:p>
            <w:pPr>
              <w:pStyle w:val="Compact"/>
            </w:pPr>
            <w:r>
              <w:t xml:space="preserve">Value-assessment methods</w:t>
            </w:r>
          </w:p>
        </w:tc>
        <w:tc>
          <w:tcPr/>
          <w:p>
            <w:pPr>
              <w:pStyle w:val="Compact"/>
            </w:pPr>
            <w:r>
              <w:rPr>
                <w:i/>
                <w:iCs/>
              </w:rPr>
              <w:t xml:space="preserve">Value Assessment Framework</w:t>
            </w:r>
          </w:p>
        </w:tc>
        <w:tc>
          <w:tcPr/>
          <w:p>
            <w:pPr>
              <w:pStyle w:val="Compact"/>
            </w:pPr>
            <w:r>
              <w:t xml:space="preserve">Official methods page and framework, Sep 2023</w:t>
            </w:r>
          </w:p>
        </w:tc>
        <w:tc>
          <w:tcPr/>
          <w:p>
            <w:pPr>
              <w:pStyle w:val="Compact"/>
            </w:pPr>
            <w:r>
              <w:t xml:space="preserve">ICER</w:t>
            </w:r>
          </w:p>
        </w:tc>
        <w:tc>
          <w:tcPr/>
          <w:p>
            <w:pPr>
              <w:pStyle w:val="Compact"/>
            </w:pPr>
            <w:r>
              <w:t xml:space="preserve">ICER</w:t>
            </w:r>
          </w:p>
        </w:tc>
        <w:tc>
          <w:tcPr/>
          <w:p>
            <w:pPr>
              <w:pStyle w:val="Compact"/>
            </w:pPr>
            <w:r>
              <w:t xml:space="preserve">Official guidance</w:t>
            </w:r>
          </w:p>
        </w:tc>
        <w:tc>
          <w:tcPr/>
          <w:p>
            <w:pPr>
              <w:pStyle w:val="Compact"/>
            </w:pPr>
            <w:r>
              <w:t xml:space="preserve">The framework is intended to underpin “rigorous, transparent evidence reports” for sustainable access to high-value care; Framework text also emphasizes patient-reported outcomes and de novo RWE where gaps exist.</w:t>
            </w:r>
          </w:p>
        </w:tc>
        <w:tc>
          <w:tcPr/>
          <w:p>
            <w:pPr>
              <w:pStyle w:val="Compact"/>
            </w:pPr>
            <w:hyperlink r:id="rId37">
              <w:r>
                <w:rPr>
                  <w:rStyle w:val="Hyperlink"/>
                </w:rPr>
                <w:t xml:space="preserve">[31]</w:t>
              </w:r>
            </w:hyperlink>
          </w:p>
        </w:tc>
      </w:tr>
      <w:tr>
        <w:tc>
          <w:tcPr/>
          <w:p>
            <w:pPr>
              <w:pStyle w:val="Compact"/>
            </w:pPr>
            <w:r>
              <w:t xml:space="preserve">Medical Affairs as bridge</w:t>
            </w:r>
          </w:p>
        </w:tc>
        <w:tc>
          <w:tcPr/>
          <w:p>
            <w:pPr>
              <w:pStyle w:val="Compact"/>
            </w:pPr>
            <w:r>
              <w:rPr>
                <w:i/>
                <w:iCs/>
              </w:rPr>
              <w:t xml:space="preserve">The Value and Deliverables of Medical Affairs</w:t>
            </w:r>
          </w:p>
        </w:tc>
        <w:tc>
          <w:tcPr/>
          <w:p>
            <w:pPr>
              <w:pStyle w:val="Compact"/>
            </w:pPr>
            <w:r>
              <w:t xml:space="preserve">Open-access journal article, Oct 2023</w:t>
            </w:r>
          </w:p>
        </w:tc>
        <w:tc>
          <w:tcPr/>
          <w:p>
            <w:pPr>
              <w:pStyle w:val="Compact"/>
            </w:pPr>
            <w:r>
              <w:t xml:space="preserve">Anupma Dhanda Farrington, Anne Grete Frøstrup, Palle Dahl</w:t>
            </w:r>
          </w:p>
        </w:tc>
        <w:tc>
          <w:tcPr/>
          <w:p>
            <w:pPr>
              <w:pStyle w:val="Compact"/>
            </w:pPr>
            <w:r>
              <w:rPr>
                <w:i/>
                <w:iCs/>
              </w:rPr>
              <w:t xml:space="preserve">Pharmaceutical Medicine</w:t>
            </w:r>
          </w:p>
        </w:tc>
        <w:tc>
          <w:tcPr/>
          <w:p>
            <w:pPr>
              <w:pStyle w:val="Compact"/>
            </w:pPr>
            <w:r>
              <w:t xml:space="preserve">Academic analysis</w:t>
            </w:r>
          </w:p>
        </w:tc>
        <w:tc>
          <w:tcPr/>
          <w:p>
            <w:pPr>
              <w:pStyle w:val="Compact"/>
            </w:pPr>
            <w:r>
              <w:t xml:space="preserve">MA “creates a unique opportunity” to link R&amp;D and Commercial and translate clinical value to HCPs, payers, hospitals, and other decision makers.</w:t>
            </w:r>
          </w:p>
        </w:tc>
        <w:tc>
          <w:tcPr/>
          <w:p>
            <w:pPr>
              <w:pStyle w:val="Compact"/>
            </w:pPr>
            <w:hyperlink r:id="rId38">
              <w:r>
                <w:rPr>
                  <w:rStyle w:val="Hyperlink"/>
                </w:rPr>
                <w:t xml:space="preserve">[32]</w:t>
              </w:r>
            </w:hyperlink>
          </w:p>
        </w:tc>
      </w:tr>
      <w:tr>
        <w:tc>
          <w:tcPr/>
          <w:p>
            <w:pPr>
              <w:pStyle w:val="Compact"/>
            </w:pPr>
            <w:r>
              <w:t xml:space="preserve">Medical Affairs absorbs evidence roles</w:t>
            </w:r>
          </w:p>
        </w:tc>
        <w:tc>
          <w:tcPr/>
          <w:p>
            <w:pPr>
              <w:pStyle w:val="Compact"/>
            </w:pPr>
            <w:r>
              <w:rPr>
                <w:i/>
                <w:iCs/>
              </w:rPr>
              <w:t xml:space="preserve">Evolving role of pharmaceutical physicians in medical evidence and education</w:t>
            </w:r>
          </w:p>
        </w:tc>
        <w:tc>
          <w:tcPr/>
          <w:p>
            <w:pPr>
              <w:pStyle w:val="Compact"/>
            </w:pPr>
            <w:r>
              <w:t xml:space="preserve">Review article, 2018</w:t>
            </w:r>
          </w:p>
        </w:tc>
        <w:tc>
          <w:tcPr/>
          <w:p>
            <w:pPr>
              <w:pStyle w:val="Compact"/>
            </w:pPr>
            <w:r>
              <w:t xml:space="preserve">Sajita Setia et al.</w:t>
            </w:r>
          </w:p>
        </w:tc>
        <w:tc>
          <w:tcPr/>
          <w:p>
            <w:pPr>
              <w:pStyle w:val="Compact"/>
            </w:pPr>
            <w:r>
              <w:rPr>
                <w:i/>
                <w:iCs/>
              </w:rPr>
              <w:t xml:space="preserve">Advances in Medical Education and Practice</w:t>
            </w:r>
          </w:p>
        </w:tc>
        <w:tc>
          <w:tcPr/>
          <w:p>
            <w:pPr>
              <w:pStyle w:val="Compact"/>
            </w:pPr>
            <w:r>
              <w:t xml:space="preserve">Academic review</w:t>
            </w:r>
          </w:p>
        </w:tc>
        <w:tc>
          <w:tcPr/>
          <w:p>
            <w:pPr>
              <w:pStyle w:val="Compact"/>
            </w:pPr>
            <w:r>
              <w:t xml:space="preserve">Notes stricter separation of commercial and medical activities created opportunities for “medically driven initiatives,” and says medical affairs now carries growing responsibility for CME, public health, and HEOR.</w:t>
            </w:r>
          </w:p>
        </w:tc>
        <w:tc>
          <w:tcPr/>
          <w:p>
            <w:pPr>
              <w:pStyle w:val="Compact"/>
            </w:pPr>
            <w:hyperlink r:id="rId39">
              <w:r>
                <w:rPr>
                  <w:rStyle w:val="Hyperlink"/>
                </w:rPr>
                <w:t xml:space="preserve">[33]</w:t>
              </w:r>
            </w:hyperlink>
          </w:p>
        </w:tc>
      </w:tr>
      <w:tr>
        <w:tc>
          <w:tcPr/>
          <w:p>
            <w:pPr>
              <w:pStyle w:val="Compact"/>
            </w:pPr>
            <w:r>
              <w:t xml:space="preserve">MA as “medical value teams”</w:t>
            </w:r>
          </w:p>
        </w:tc>
        <w:tc>
          <w:tcPr/>
          <w:p>
            <w:pPr>
              <w:pStyle w:val="Compact"/>
            </w:pPr>
            <w:r>
              <w:rPr>
                <w:i/>
                <w:iCs/>
              </w:rPr>
              <w:t xml:space="preserve">Reinventing the Role of Medical Affairs</w:t>
            </w:r>
          </w:p>
        </w:tc>
        <w:tc>
          <w:tcPr/>
          <w:p>
            <w:pPr>
              <w:pStyle w:val="Compact"/>
            </w:pPr>
            <w:r>
              <w:t xml:space="preserve">Consultancy brief, Mar 2017</w:t>
            </w:r>
          </w:p>
        </w:tc>
        <w:tc>
          <w:tcPr/>
          <w:p>
            <w:pPr>
              <w:pStyle w:val="Compact"/>
            </w:pPr>
            <w:r>
              <w:t xml:space="preserve">Loïc Plantevin, Christoph Schlegel, Maria Gordian</w:t>
            </w:r>
          </w:p>
        </w:tc>
        <w:tc>
          <w:tcPr/>
          <w:p>
            <w:pPr>
              <w:pStyle w:val="Compact"/>
            </w:pPr>
            <w:r>
              <w:t xml:space="preserve">Bain &amp; Company</w:t>
            </w:r>
          </w:p>
        </w:tc>
        <w:tc>
          <w:tcPr/>
          <w:p>
            <w:pPr>
              <w:pStyle w:val="Compact"/>
            </w:pPr>
            <w:r>
              <w:t xml:space="preserve">Consultancy analysis</w:t>
            </w:r>
          </w:p>
        </w:tc>
        <w:tc>
          <w:tcPr/>
          <w:p>
            <w:pPr>
              <w:pStyle w:val="Compact"/>
            </w:pPr>
            <w:r>
              <w:t xml:space="preserve">Argues top companies will transform MA into “medical value teams” with roles in communicating evidence, giving market-based development input, and overseeing big data/RWE.</w:t>
            </w:r>
          </w:p>
        </w:tc>
        <w:tc>
          <w:tcPr/>
          <w:p>
            <w:pPr>
              <w:pStyle w:val="Compact"/>
            </w:pPr>
            <w:hyperlink r:id="rId40">
              <w:r>
                <w:rPr>
                  <w:rStyle w:val="Hyperlink"/>
                </w:rPr>
                <w:t xml:space="preserve">[34]</w:t>
              </w:r>
            </w:hyperlink>
          </w:p>
        </w:tc>
      </w:tr>
      <w:tr>
        <w:tc>
          <w:tcPr/>
          <w:p>
            <w:pPr>
              <w:pStyle w:val="Compact"/>
            </w:pPr>
            <w:r>
              <w:t xml:space="preserve">Integrated evidence planning</w:t>
            </w:r>
          </w:p>
        </w:tc>
        <w:tc>
          <w:tcPr/>
          <w:p>
            <w:pPr>
              <w:pStyle w:val="Compact"/>
            </w:pPr>
            <w:r>
              <w:rPr>
                <w:i/>
                <w:iCs/>
              </w:rPr>
              <w:t xml:space="preserve">Integrated evidence generation: A paradigm shift in biopharma</w:t>
            </w:r>
          </w:p>
        </w:tc>
        <w:tc>
          <w:tcPr/>
          <w:p>
            <w:pPr>
              <w:pStyle w:val="Compact"/>
            </w:pPr>
            <w:r>
              <w:t xml:space="preserve">Consultancy article, Dec 2021</w:t>
            </w:r>
          </w:p>
        </w:tc>
        <w:tc>
          <w:tcPr/>
          <w:p>
            <w:pPr>
              <w:pStyle w:val="Compact"/>
            </w:pPr>
            <w:r>
              <w:t xml:space="preserve">Palak Amin, Sarah Nam, Lucy Pérez, Jeff Smith</w:t>
            </w:r>
          </w:p>
        </w:tc>
        <w:tc>
          <w:tcPr/>
          <w:p>
            <w:pPr>
              <w:pStyle w:val="Compact"/>
            </w:pPr>
            <w:r>
              <w:t xml:space="preserve">McKinsey &amp; Company</w:t>
            </w:r>
          </w:p>
        </w:tc>
        <w:tc>
          <w:tcPr/>
          <w:p>
            <w:pPr>
              <w:pStyle w:val="Compact"/>
            </w:pPr>
            <w:r>
              <w:t xml:space="preserve">Consultancy analysis</w:t>
            </w:r>
          </w:p>
        </w:tc>
        <w:tc>
          <w:tcPr/>
          <w:p>
            <w:pPr>
              <w:pStyle w:val="Compact"/>
            </w:pPr>
            <w:r>
              <w:t xml:space="preserve">Says the “status quo” is separate functional plans that are merely “bolted together,” not truly integrated.</w:t>
            </w:r>
          </w:p>
        </w:tc>
        <w:tc>
          <w:tcPr/>
          <w:p>
            <w:pPr>
              <w:pStyle w:val="Compact"/>
            </w:pPr>
            <w:hyperlink r:id="rId31">
              <w:r>
                <w:rPr>
                  <w:rStyle w:val="Hyperlink"/>
                </w:rPr>
                <w:t xml:space="preserve">[35]</w:t>
              </w:r>
            </w:hyperlink>
          </w:p>
        </w:tc>
      </w:tr>
      <w:tr>
        <w:tc>
          <w:tcPr/>
          <w:p>
            <w:pPr>
              <w:pStyle w:val="Compact"/>
            </w:pPr>
            <w:r>
              <w:t xml:space="preserve">Enterprise-wide RWE</w:t>
            </w:r>
          </w:p>
        </w:tc>
        <w:tc>
          <w:tcPr/>
          <w:p>
            <w:pPr>
              <w:pStyle w:val="Compact"/>
            </w:pPr>
            <w:r>
              <w:rPr>
                <w:i/>
                <w:iCs/>
              </w:rPr>
              <w:t xml:space="preserve">Real-world evidence’s evolution into a true end-to-end capability</w:t>
            </w:r>
          </w:p>
        </w:tc>
        <w:tc>
          <w:tcPr/>
          <w:p>
            <w:pPr>
              <w:pStyle w:val="Compact"/>
            </w:pPr>
            <w:r>
              <w:t xml:space="preserve">Consultancy report, Sep 2022</w:t>
            </w:r>
          </w:p>
        </w:tc>
        <w:tc>
          <w:tcPr/>
          <w:p>
            <w:pPr>
              <w:pStyle w:val="Compact"/>
            </w:pPr>
            <w:r>
              <w:t xml:space="preserve">Karla Feghali, Christine Chang, Wendell Miranda, Jeff Morgan</w:t>
            </w:r>
          </w:p>
        </w:tc>
        <w:tc>
          <w:tcPr/>
          <w:p>
            <w:pPr>
              <w:pStyle w:val="Compact"/>
            </w:pPr>
            <w:r>
              <w:t xml:space="preserve">Deloitte</w:t>
            </w:r>
          </w:p>
        </w:tc>
        <w:tc>
          <w:tcPr/>
          <w:p>
            <w:pPr>
              <w:pStyle w:val="Compact"/>
            </w:pPr>
            <w:r>
              <w:t xml:space="preserve">Consultancy analysis</w:t>
            </w:r>
          </w:p>
        </w:tc>
        <w:tc>
          <w:tcPr/>
          <w:p>
            <w:pPr>
              <w:pStyle w:val="Compact"/>
            </w:pPr>
            <w:r>
              <w:t xml:space="preserve">90% of surveyed executives said their firms are trying to use RWE across the product life cycle; recommends embedding RWD/E across the enterprise and integrating it into relevant processes.</w:t>
            </w:r>
          </w:p>
        </w:tc>
        <w:tc>
          <w:tcPr/>
          <w:p>
            <w:pPr>
              <w:pStyle w:val="Compact"/>
            </w:pPr>
            <w:hyperlink r:id="rId25">
              <w:r>
                <w:rPr>
                  <w:rStyle w:val="Hyperlink"/>
                </w:rPr>
                <w:t xml:space="preserve">[36]</w:t>
              </w:r>
            </w:hyperlink>
          </w:p>
        </w:tc>
      </w:tr>
      <w:tr>
        <w:tc>
          <w:tcPr/>
          <w:p>
            <w:pPr>
              <w:pStyle w:val="Compact"/>
            </w:pPr>
            <w:r>
              <w:t xml:space="preserve">Integrated evidence capability</w:t>
            </w:r>
          </w:p>
        </w:tc>
        <w:tc>
          <w:tcPr/>
          <w:p>
            <w:pPr>
              <w:pStyle w:val="Compact"/>
            </w:pPr>
            <w:r>
              <w:rPr>
                <w:i/>
                <w:iCs/>
              </w:rPr>
              <w:t xml:space="preserve">Integrated evidence strategy in the biopharma industry</w:t>
            </w:r>
          </w:p>
        </w:tc>
        <w:tc>
          <w:tcPr/>
          <w:p>
            <w:pPr>
              <w:pStyle w:val="Compact"/>
            </w:pPr>
            <w:r>
              <w:t xml:space="preserve">Consultancy perspective, 2025</w:t>
            </w:r>
          </w:p>
        </w:tc>
        <w:tc>
          <w:tcPr/>
          <w:p>
            <w:pPr>
              <w:pStyle w:val="Compact"/>
            </w:pPr>
            <w:r>
              <w:t xml:space="preserve">Deloitte</w:t>
            </w:r>
          </w:p>
        </w:tc>
        <w:tc>
          <w:tcPr/>
          <w:p>
            <w:pPr>
              <w:pStyle w:val="Compact"/>
            </w:pPr>
            <w:r>
              <w:t xml:space="preserve">Deloitte</w:t>
            </w:r>
          </w:p>
        </w:tc>
        <w:tc>
          <w:tcPr/>
          <w:p>
            <w:pPr>
              <w:pStyle w:val="Compact"/>
            </w:pPr>
            <w:r>
              <w:t xml:space="preserve">Consultancy analysis</w:t>
            </w:r>
          </w:p>
        </w:tc>
        <w:tc>
          <w:tcPr/>
          <w:p>
            <w:pPr>
              <w:pStyle w:val="Compact"/>
            </w:pPr>
            <w:r>
              <w:t xml:space="preserve">Says evidence generation is now a “core strategic asset,” but efforts remain fragmented because of silos, organizational barriers, misaligned incentives, and resource limitations.</w:t>
            </w:r>
          </w:p>
        </w:tc>
        <w:tc>
          <w:tcPr/>
          <w:p>
            <w:pPr>
              <w:pStyle w:val="Compact"/>
            </w:pPr>
            <w:hyperlink r:id="rId41">
              <w:r>
                <w:rPr>
                  <w:rStyle w:val="Hyperlink"/>
                </w:rPr>
                <w:t xml:space="preserve">[37]</w:t>
              </w:r>
            </w:hyperlink>
          </w:p>
        </w:tc>
      </w:tr>
      <w:tr>
        <w:tc>
          <w:tcPr/>
          <w:p>
            <w:pPr>
              <w:pStyle w:val="Compact"/>
            </w:pPr>
            <w:r>
              <w:t xml:space="preserve">MA orchestrating HEOR</w:t>
            </w:r>
          </w:p>
        </w:tc>
        <w:tc>
          <w:tcPr/>
          <w:p>
            <w:pPr>
              <w:pStyle w:val="Compact"/>
            </w:pPr>
            <w:r>
              <w:rPr>
                <w:i/>
                <w:iCs/>
              </w:rPr>
              <w:t xml:space="preserve">In the Thick of It: Medical Affairs, Strategic Partner to Other Functions</w:t>
            </w:r>
          </w:p>
        </w:tc>
        <w:tc>
          <w:tcPr/>
          <w:p>
            <w:pPr>
              <w:pStyle w:val="Compact"/>
            </w:pPr>
            <w:r>
              <w:t xml:space="preserve">White paper, 2022</w:t>
            </w:r>
          </w:p>
        </w:tc>
        <w:tc>
          <w:tcPr/>
          <w:p>
            <w:pPr>
              <w:pStyle w:val="Compact"/>
            </w:pPr>
            <w:r>
              <w:t xml:space="preserve">M. Gores and R. Berkels</w:t>
            </w:r>
          </w:p>
        </w:tc>
        <w:tc>
          <w:tcPr/>
          <w:p>
            <w:pPr>
              <w:pStyle w:val="Compact"/>
            </w:pPr>
            <w:r>
              <w:t xml:space="preserve">IQVIA</w:t>
            </w:r>
          </w:p>
        </w:tc>
        <w:tc>
          <w:tcPr/>
          <w:p>
            <w:pPr>
              <w:pStyle w:val="Compact"/>
            </w:pPr>
            <w:r>
              <w:t xml:space="preserve">Consultancy analysis</w:t>
            </w:r>
          </w:p>
        </w:tc>
        <w:tc>
          <w:tcPr/>
          <w:p>
            <w:pPr>
              <w:pStyle w:val="Compact"/>
            </w:pPr>
            <w:r>
              <w:t xml:space="preserve">Says MA should orchestrate integrated evidence planning across R&amp;D, Market Access, HEOR, and Commercial and provide critical input to Market Access.</w:t>
            </w:r>
          </w:p>
        </w:tc>
        <w:tc>
          <w:tcPr/>
          <w:p>
            <w:pPr>
              <w:pStyle w:val="Compact"/>
            </w:pPr>
            <w:hyperlink r:id="rId42">
              <w:r>
                <w:rPr>
                  <w:rStyle w:val="Hyperlink"/>
                </w:rPr>
                <w:t xml:space="preserve">[38]</w:t>
              </w:r>
            </w:hyperlink>
          </w:p>
        </w:tc>
      </w:tr>
      <w:tr>
        <w:tc>
          <w:tcPr/>
          <w:p>
            <w:pPr>
              <w:pStyle w:val="Compact"/>
            </w:pPr>
            <w:r>
              <w:t xml:space="preserve">Company-authored MA transformation</w:t>
            </w:r>
          </w:p>
        </w:tc>
        <w:tc>
          <w:tcPr/>
          <w:p>
            <w:pPr>
              <w:pStyle w:val="Compact"/>
            </w:pPr>
            <w:r>
              <w:rPr>
                <w:i/>
                <w:iCs/>
              </w:rPr>
              <w:t xml:space="preserve">Understanding the National Healthcare Ecosystem to Position Medical Affairs as a Strategic Element</w:t>
            </w:r>
          </w:p>
        </w:tc>
        <w:tc>
          <w:tcPr/>
          <w:p>
            <w:pPr>
              <w:pStyle w:val="Compact"/>
            </w:pPr>
            <w:r>
              <w:t xml:space="preserve">Open-access company-authored paper, Dec 2024</w:t>
            </w:r>
          </w:p>
        </w:tc>
        <w:tc>
          <w:tcPr/>
          <w:p>
            <w:pPr>
              <w:pStyle w:val="Compact"/>
            </w:pPr>
            <w:r>
              <w:t xml:space="preserve">Inmaculada Iglesias et al.</w:t>
            </w:r>
          </w:p>
        </w:tc>
        <w:tc>
          <w:tcPr/>
          <w:p>
            <w:pPr>
              <w:pStyle w:val="Compact"/>
            </w:pPr>
            <w:r>
              <w:t xml:space="preserve">AstraZeneca Spain /</w:t>
            </w:r>
            <w:r>
              <w:t xml:space="preserve"> </w:t>
            </w:r>
            <w:r>
              <w:rPr>
                <w:i/>
                <w:iCs/>
              </w:rPr>
              <w:t xml:space="preserve">Pharmaceutical Medicine</w:t>
            </w:r>
          </w:p>
        </w:tc>
        <w:tc>
          <w:tcPr/>
          <w:p>
            <w:pPr>
              <w:pStyle w:val="Compact"/>
            </w:pPr>
            <w:r>
              <w:t xml:space="preserve">Primary company-authored case study</w:t>
            </w:r>
          </w:p>
        </w:tc>
        <w:tc>
          <w:tcPr/>
          <w:p>
            <w:pPr>
              <w:pStyle w:val="Compact"/>
            </w:pPr>
            <w:r>
              <w:t xml:space="preserve">Describes MA moving from information provider to strategic partner, supported by a cross-functional transformation office including Governmental Affairs &amp; Market Access, Commercial, MA, and innovation; cites integrating clinical and payer evidence.</w:t>
            </w:r>
          </w:p>
        </w:tc>
        <w:tc>
          <w:tcPr/>
          <w:p>
            <w:pPr>
              <w:pStyle w:val="Compact"/>
            </w:pPr>
            <w:hyperlink r:id="rId24">
              <w:r>
                <w:rPr>
                  <w:rStyle w:val="Hyperlink"/>
                </w:rPr>
                <w:t xml:space="preserve">[39]</w:t>
              </w:r>
            </w:hyperlink>
          </w:p>
        </w:tc>
      </w:tr>
      <w:tr>
        <w:tc>
          <w:tcPr/>
          <w:p>
            <w:pPr>
              <w:pStyle w:val="Compact"/>
            </w:pPr>
            <w:r>
              <w:t xml:space="preserve">Company-authored central-team model</w:t>
            </w:r>
          </w:p>
        </w:tc>
        <w:tc>
          <w:tcPr/>
          <w:p>
            <w:pPr>
              <w:pStyle w:val="Compact"/>
            </w:pPr>
            <w:r>
              <w:rPr>
                <w:i/>
                <w:iCs/>
              </w:rPr>
              <w:t xml:space="preserve">The Evolution of Medical Affairs Central Teams</w:t>
            </w:r>
          </w:p>
        </w:tc>
        <w:tc>
          <w:tcPr/>
          <w:p>
            <w:pPr>
              <w:pStyle w:val="Compact"/>
            </w:pPr>
            <w:r>
              <w:t xml:space="preserve">Open-access company-authored paper, Nov 2025</w:t>
            </w:r>
          </w:p>
        </w:tc>
        <w:tc>
          <w:tcPr/>
          <w:p>
            <w:pPr>
              <w:pStyle w:val="Compact"/>
            </w:pPr>
            <w:r>
              <w:t xml:space="preserve">Manuel Leal Beckouche et al.</w:t>
            </w:r>
          </w:p>
        </w:tc>
        <w:tc>
          <w:tcPr/>
          <w:p>
            <w:pPr>
              <w:pStyle w:val="Compact"/>
            </w:pPr>
            <w:r>
              <w:t xml:space="preserve">AstraZeneca Spain /</w:t>
            </w:r>
            <w:r>
              <w:t xml:space="preserve"> </w:t>
            </w:r>
            <w:r>
              <w:rPr>
                <w:i/>
                <w:iCs/>
              </w:rPr>
              <w:t xml:space="preserve">Pharmaceutical Medicine</w:t>
            </w:r>
          </w:p>
        </w:tc>
        <w:tc>
          <w:tcPr/>
          <w:p>
            <w:pPr>
              <w:pStyle w:val="Compact"/>
            </w:pPr>
            <w:r>
              <w:t xml:space="preserve">Primary company-authored case study</w:t>
            </w:r>
          </w:p>
        </w:tc>
        <w:tc>
          <w:tcPr/>
          <w:p>
            <w:pPr>
              <w:pStyle w:val="Compact"/>
            </w:pPr>
            <w:r>
              <w:t xml:space="preserve">Describes a new MA working model with a “Core Value Team,” designed to improve product positioning, accelerate market access, and ensure timely evidence generation.</w:t>
            </w:r>
          </w:p>
        </w:tc>
        <w:tc>
          <w:tcPr/>
          <w:p>
            <w:pPr>
              <w:pStyle w:val="Compact"/>
            </w:pPr>
            <w:hyperlink r:id="rId43">
              <w:r>
                <w:rPr>
                  <w:rStyle w:val="Hyperlink"/>
                </w:rPr>
                <w:t xml:space="preserve">[40]</w:t>
              </w:r>
            </w:hyperlink>
          </w:p>
        </w:tc>
      </w:tr>
    </w:tbl>
    <w:bookmarkEnd w:id="44"/>
    <w:bookmarkStart w:id="50" w:name="downsizing-disbanding-and-reorganization"/>
    <w:p>
      <w:pPr>
        <w:pStyle w:val="Heading3"/>
      </w:pPr>
      <w:r>
        <w:t xml:space="preserve">Downsizing, disbanding, and reorganization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Theme</w:t>
            </w:r>
          </w:p>
        </w:tc>
        <w:tc>
          <w:tcPr/>
          <w:p>
            <w:pPr>
              <w:pStyle w:val="Compact"/>
            </w:pPr>
            <w:r>
              <w:t xml:space="preserve">Source</w:t>
            </w:r>
          </w:p>
        </w:tc>
        <w:tc>
          <w:tcPr/>
          <w:p>
            <w:pPr>
              <w:pStyle w:val="Compact"/>
            </w:pPr>
            <w:r>
              <w:t xml:space="preserve">Publication type and date</w:t>
            </w:r>
          </w:p>
        </w:tc>
        <w:tc>
          <w:tcPr/>
          <w:p>
            <w:pPr>
              <w:pStyle w:val="Compact"/>
            </w:pPr>
            <w:r>
              <w:t xml:space="preserve">Author</w:t>
            </w:r>
          </w:p>
        </w:tc>
        <w:tc>
          <w:tcPr/>
          <w:p>
            <w:pPr>
              <w:pStyle w:val="Compact"/>
            </w:pPr>
            <w:r>
              <w:t xml:space="preserve">Organization</w:t>
            </w:r>
          </w:p>
        </w:tc>
        <w:tc>
          <w:tcPr/>
          <w:p>
            <w:pPr>
              <w:pStyle w:val="Compact"/>
            </w:pPr>
            <w:r>
              <w:t xml:space="preserve">Primary, official, or analysis</w:t>
            </w:r>
          </w:p>
        </w:tc>
        <w:tc>
          <w:tcPr/>
          <w:p>
            <w:pPr>
              <w:pStyle w:val="Compact"/>
            </w:pPr>
            <w:r>
              <w:t xml:space="preserve">Key excerpt or rationale</w:t>
            </w:r>
          </w:p>
        </w:tc>
        <w:tc>
          <w:tcPr/>
          <w:p>
            <w:pPr>
              <w:pStyle w:val="Compact"/>
            </w:pPr>
            <w:r>
              <w:t xml:space="preserve">Link</w:t>
            </w:r>
          </w:p>
        </w:tc>
      </w:tr>
      <w:tr>
        <w:tc>
          <w:tcPr/>
          <w:p>
            <w:pPr>
              <w:pStyle w:val="Compact"/>
            </w:pPr>
            <w:r>
              <w:t xml:space="preserve">HEOR groups eliminated or dispersed</w:t>
            </w:r>
          </w:p>
        </w:tc>
        <w:tc>
          <w:tcPr/>
          <w:p>
            <w:pPr>
              <w:pStyle w:val="Compact"/>
            </w:pPr>
            <w:r>
              <w:rPr>
                <w:i/>
                <w:iCs/>
              </w:rPr>
              <w:t xml:space="preserve">Big Pharma Says “Thanks, but No Thanks” to Their Own HEOR Groups</w:t>
            </w:r>
          </w:p>
        </w:tc>
        <w:tc>
          <w:tcPr/>
          <w:p>
            <w:pPr>
              <w:pStyle w:val="Compact"/>
            </w:pPr>
            <w:r>
              <w:t xml:space="preserve">Company blog / opinion piece, Jun 13 2024</w:t>
            </w:r>
          </w:p>
        </w:tc>
        <w:tc>
          <w:tcPr/>
          <w:p>
            <w:pPr>
              <w:pStyle w:val="Compact"/>
            </w:pPr>
            <w:r>
              <w:rPr>
                <w:b/>
                <w:bCs/>
              </w:rPr>
              <w:t xml:space="preserve">Scott D. Ramsey</w:t>
            </w:r>
          </w:p>
        </w:tc>
        <w:tc>
          <w:tcPr/>
          <w:p>
            <w:pPr>
              <w:pStyle w:val="Compact"/>
            </w:pPr>
            <w:r>
              <w:t xml:space="preserve">Curta</w:t>
            </w:r>
          </w:p>
        </w:tc>
        <w:tc>
          <w:tcPr/>
          <w:p>
            <w:pPr>
              <w:pStyle w:val="Compact"/>
            </w:pPr>
            <w:r>
              <w:t xml:space="preserve">Opinion/analysis</w:t>
            </w:r>
          </w:p>
        </w:tc>
        <w:tc>
          <w:tcPr/>
          <w:p>
            <w:pPr>
              <w:pStyle w:val="Compact"/>
            </w:pPr>
            <w:r>
              <w:t xml:space="preserve">Reports several large pharma firms had “substantially reorganized or eliminated” HEOR groups, with staff moved to Medical Affairs or Market Access.</w:t>
            </w:r>
          </w:p>
        </w:tc>
        <w:tc>
          <w:tcPr/>
          <w:p>
            <w:pPr>
              <w:pStyle w:val="Compact"/>
            </w:pPr>
            <w:hyperlink r:id="rId23">
              <w:r>
                <w:rPr>
                  <w:rStyle w:val="Hyperlink"/>
                </w:rPr>
                <w:t xml:space="preserve">[41]</w:t>
              </w:r>
            </w:hyperlink>
          </w:p>
        </w:tc>
      </w:tr>
      <w:tr>
        <w:tc>
          <w:tcPr/>
          <w:p>
            <w:pPr>
              <w:pStyle w:val="Compact"/>
            </w:pPr>
            <w:r>
              <w:t xml:space="preserve">ISPOR leadership commentary</w:t>
            </w:r>
          </w:p>
        </w:tc>
        <w:tc>
          <w:tcPr/>
          <w:p>
            <w:pPr>
              <w:pStyle w:val="Compact"/>
            </w:pPr>
            <w:r>
              <w:rPr>
                <w:i/>
                <w:iCs/>
              </w:rPr>
              <w:t xml:space="preserve">Highlighting HEOR Innovation and Impact</w:t>
            </w:r>
          </w:p>
        </w:tc>
        <w:tc>
          <w:tcPr/>
          <w:p>
            <w:pPr>
              <w:pStyle w:val="Compact"/>
            </w:pPr>
            <w:r>
              <w:t xml:space="preserve">Society editorial, 2024</w:t>
            </w:r>
          </w:p>
        </w:tc>
        <w:tc>
          <w:tcPr/>
          <w:p>
            <w:pPr>
              <w:pStyle w:val="Compact"/>
            </w:pPr>
            <w:r>
              <w:t xml:space="preserve">ISPOR CEO editorial</w:t>
            </w:r>
          </w:p>
        </w:tc>
        <w:tc>
          <w:tcPr/>
          <w:p>
            <w:pPr>
              <w:pStyle w:val="Compact"/>
            </w:pPr>
            <w:r>
              <w:t xml:space="preserve">ISPOR</w:t>
            </w:r>
          </w:p>
        </w:tc>
        <w:tc>
          <w:tcPr/>
          <w:p>
            <w:pPr>
              <w:pStyle w:val="Compact"/>
            </w:pPr>
            <w:r>
              <w:t xml:space="preserve">Official editorial / analysis</w:t>
            </w:r>
          </w:p>
        </w:tc>
        <w:tc>
          <w:tcPr/>
          <w:p>
            <w:pPr>
              <w:pStyle w:val="Compact"/>
            </w:pPr>
            <w:r>
              <w:t xml:space="preserve">Says leaders of several HEOR groups had been let go and teams dispersed into Market Access or Medical Affairs, despite rising external evidence demands.</w:t>
            </w:r>
          </w:p>
        </w:tc>
        <w:tc>
          <w:tcPr/>
          <w:p>
            <w:pPr>
              <w:pStyle w:val="Compact"/>
            </w:pPr>
            <w:hyperlink r:id="rId45">
              <w:r>
                <w:rPr>
                  <w:rStyle w:val="Hyperlink"/>
                </w:rPr>
                <w:t xml:space="preserve">[42]</w:t>
              </w:r>
            </w:hyperlink>
          </w:p>
        </w:tc>
      </w:tr>
      <w:tr>
        <w:tc>
          <w:tcPr/>
          <w:p>
            <w:pPr>
              <w:pStyle w:val="Compact"/>
            </w:pPr>
            <w:r>
              <w:t xml:space="preserve">Reorgs and layoffs survey</w:t>
            </w:r>
          </w:p>
        </w:tc>
        <w:tc>
          <w:tcPr/>
          <w:p>
            <w:pPr>
              <w:pStyle w:val="Compact"/>
            </w:pPr>
            <w:r>
              <w:rPr>
                <w:i/>
                <w:iCs/>
              </w:rPr>
              <w:t xml:space="preserve">Can We Demonstrate the Return on Investment in HEOR?</w:t>
            </w:r>
            <w:r>
              <w:t xml:space="preserve"> </w:t>
            </w:r>
            <w:r>
              <w:t xml:space="preserve">session deck</w:t>
            </w:r>
          </w:p>
        </w:tc>
        <w:tc>
          <w:tcPr/>
          <w:p>
            <w:pPr>
              <w:pStyle w:val="Compact"/>
            </w:pPr>
            <w:r>
              <w:t xml:space="preserve">Conference slide deck, fielded Oct 2024</w:t>
            </w:r>
          </w:p>
        </w:tc>
        <w:tc>
          <w:tcPr/>
          <w:p>
            <w:pPr>
              <w:pStyle w:val="Compact"/>
            </w:pPr>
            <w:r>
              <w:t xml:space="preserve">ISPOR Europe 2024 session deck</w:t>
            </w:r>
          </w:p>
        </w:tc>
        <w:tc>
          <w:tcPr/>
          <w:p>
            <w:pPr>
              <w:pStyle w:val="Compact"/>
            </w:pPr>
            <w:r>
              <w:t xml:space="preserve">ISPOR</w:t>
            </w:r>
          </w:p>
        </w:tc>
        <w:tc>
          <w:tcPr/>
          <w:p>
            <w:pPr>
              <w:pStyle w:val="Compact"/>
            </w:pPr>
            <w:r>
              <w:t xml:space="preserve">Primary survey / conference material</w:t>
            </w:r>
          </w:p>
        </w:tc>
        <w:tc>
          <w:tcPr/>
          <w:p>
            <w:pPr>
              <w:pStyle w:val="Compact"/>
            </w:pPr>
            <w:r>
              <w:t xml:space="preserve">Reports 81% of participating companies had HEOR reorgs in the prior two years; trend was decentralization into other functions; layoffs were reported by about one-third.</w:t>
            </w:r>
          </w:p>
        </w:tc>
        <w:tc>
          <w:tcPr/>
          <w:p>
            <w:pPr>
              <w:pStyle w:val="Compact"/>
            </w:pPr>
            <w:hyperlink r:id="rId46">
              <w:r>
                <w:rPr>
                  <w:rStyle w:val="Hyperlink"/>
                </w:rPr>
                <w:t xml:space="preserve">[43]</w:t>
              </w:r>
            </w:hyperlink>
          </w:p>
        </w:tc>
      </w:tr>
      <w:tr>
        <w:tc>
          <w:tcPr/>
          <w:p>
            <w:pPr>
              <w:pStyle w:val="Compact"/>
            </w:pPr>
            <w:r>
              <w:t xml:space="preserve">Profitability and commercial orientation</w:t>
            </w:r>
          </w:p>
        </w:tc>
        <w:tc>
          <w:tcPr/>
          <w:p>
            <w:pPr>
              <w:pStyle w:val="Compact"/>
            </w:pPr>
            <w:r>
              <w:rPr>
                <w:i/>
                <w:iCs/>
              </w:rPr>
              <w:t xml:space="preserve">Global HEOR Market Research Report and Forecast</w:t>
            </w:r>
          </w:p>
        </w:tc>
        <w:tc>
          <w:tcPr/>
          <w:p>
            <w:pPr>
              <w:pStyle w:val="Compact"/>
            </w:pPr>
            <w:r>
              <w:t xml:space="preserve">Consultancy blog/report, 2025</w:t>
            </w:r>
          </w:p>
        </w:tc>
        <w:tc>
          <w:tcPr/>
          <w:p>
            <w:pPr>
              <w:pStyle w:val="Compact"/>
            </w:pPr>
            <w:r>
              <w:t xml:space="preserve">Betsy J. Lahue</w:t>
            </w:r>
          </w:p>
        </w:tc>
        <w:tc>
          <w:tcPr/>
          <w:p>
            <w:pPr>
              <w:pStyle w:val="Compact"/>
            </w:pPr>
            <w:r>
              <w:t xml:space="preserve">Alkemi Health</w:t>
            </w:r>
          </w:p>
        </w:tc>
        <w:tc>
          <w:tcPr/>
          <w:p>
            <w:pPr>
              <w:pStyle w:val="Compact"/>
            </w:pPr>
            <w:r>
              <w:t xml:space="preserve">Analysis based on SME interviews</w:t>
            </w:r>
          </w:p>
        </w:tc>
        <w:tc>
          <w:tcPr/>
          <w:p>
            <w:pPr>
              <w:pStyle w:val="Compact"/>
            </w:pPr>
            <w:r>
              <w:t xml:space="preserve">Identifies IRA pressure and perceived overstaffing as leading restructuring drivers; says HEOR and Market Access were targeted and HEOR shifted from Medical Affairs toward Market Access/commercial alignment.</w:t>
            </w:r>
          </w:p>
        </w:tc>
        <w:tc>
          <w:tcPr/>
          <w:p>
            <w:pPr>
              <w:pStyle w:val="Compact"/>
            </w:pPr>
            <w:hyperlink r:id="rId21">
              <w:r>
                <w:rPr>
                  <w:rStyle w:val="Hyperlink"/>
                </w:rPr>
                <w:t xml:space="preserve">[44]</w:t>
              </w:r>
            </w:hyperlink>
          </w:p>
        </w:tc>
      </w:tr>
      <w:tr>
        <w:tc>
          <w:tcPr/>
          <w:p>
            <w:pPr>
              <w:pStyle w:val="Compact"/>
            </w:pPr>
            <w:r>
              <w:t xml:space="preserve">Dual mandate and current placement</w:t>
            </w:r>
          </w:p>
        </w:tc>
        <w:tc>
          <w:tcPr/>
          <w:p>
            <w:pPr>
              <w:pStyle w:val="Compact"/>
            </w:pPr>
            <w:r>
              <w:rPr>
                <w:i/>
                <w:iCs/>
              </w:rPr>
              <w:t xml:space="preserve">HEOR: From Proving Product Value to Proving Its Own Worth</w:t>
            </w:r>
          </w:p>
        </w:tc>
        <w:tc>
          <w:tcPr/>
          <w:p>
            <w:pPr>
              <w:pStyle w:val="Compact"/>
            </w:pPr>
            <w:r>
              <w:t xml:space="preserve">Trade-journal article, Mar 6 2025</w:t>
            </w:r>
          </w:p>
        </w:tc>
        <w:tc>
          <w:tcPr/>
          <w:p>
            <w:pPr>
              <w:pStyle w:val="Compact"/>
            </w:pPr>
            <w:r>
              <w:t xml:space="preserve">author not visible in retrieved page</w:t>
            </w:r>
          </w:p>
        </w:tc>
        <w:tc>
          <w:tcPr/>
          <w:p>
            <w:pPr>
              <w:pStyle w:val="Compact"/>
            </w:pPr>
            <w:r>
              <w:rPr>
                <w:i/>
                <w:iCs/>
              </w:rPr>
              <w:t xml:space="preserve">Pharmaceutical Executive</w:t>
            </w:r>
          </w:p>
        </w:tc>
        <w:tc>
          <w:tcPr/>
          <w:p>
            <w:pPr>
              <w:pStyle w:val="Compact"/>
            </w:pPr>
            <w:r>
              <w:t xml:space="preserve">Trade analysis / benchmark</w:t>
            </w:r>
          </w:p>
        </w:tc>
        <w:tc>
          <w:tcPr/>
          <w:p>
            <w:pPr>
              <w:pStyle w:val="Compact"/>
            </w:pPr>
            <w:r>
              <w:t xml:space="preserve">Based on seven-company benchmark: HEOR has a dual mandate, but more sample companies had integrated HEOR into Commercial-side Value and Access teams to align evidence generation with access strategy.</w:t>
            </w:r>
          </w:p>
        </w:tc>
        <w:tc>
          <w:tcPr/>
          <w:p>
            <w:pPr>
              <w:pStyle w:val="Compact"/>
            </w:pPr>
            <w:hyperlink r:id="rId47">
              <w:r>
                <w:rPr>
                  <w:rStyle w:val="Hyperlink"/>
                </w:rPr>
                <w:t xml:space="preserve">[45]</w:t>
              </w:r>
            </w:hyperlink>
          </w:p>
        </w:tc>
      </w:tr>
      <w:tr>
        <w:tc>
          <w:tcPr/>
          <w:p>
            <w:pPr>
              <w:pStyle w:val="Compact"/>
            </w:pPr>
            <w:r>
              <w:t xml:space="preserve">No single end-state</w:t>
            </w:r>
          </w:p>
        </w:tc>
        <w:tc>
          <w:tcPr/>
          <w:p>
            <w:pPr>
              <w:pStyle w:val="Compact"/>
            </w:pPr>
            <w:r>
              <w:rPr>
                <w:i/>
                <w:iCs/>
              </w:rPr>
              <w:t xml:space="preserve">Market Access: From Being to Becoming</w:t>
            </w:r>
          </w:p>
        </w:tc>
        <w:tc>
          <w:tcPr/>
          <w:p>
            <w:pPr>
              <w:pStyle w:val="Compact"/>
            </w:pPr>
            <w:r>
              <w:t xml:space="preserve">Trade-journal article, Apr 30 2025</w:t>
            </w:r>
          </w:p>
        </w:tc>
        <w:tc>
          <w:tcPr/>
          <w:p>
            <w:pPr>
              <w:pStyle w:val="Compact"/>
            </w:pPr>
            <w:r>
              <w:t xml:space="preserve">author not visible in retrieved page</w:t>
            </w:r>
          </w:p>
        </w:tc>
        <w:tc>
          <w:tcPr/>
          <w:p>
            <w:pPr>
              <w:pStyle w:val="Compact"/>
            </w:pPr>
            <w:r>
              <w:rPr>
                <w:i/>
                <w:iCs/>
              </w:rPr>
              <w:t xml:space="preserve">Pharmaceutical Executive</w:t>
            </w:r>
          </w:p>
        </w:tc>
        <w:tc>
          <w:tcPr/>
          <w:p>
            <w:pPr>
              <w:pStyle w:val="Compact"/>
            </w:pPr>
            <w:r>
              <w:t xml:space="preserve">Trade analysis / benchmark</w:t>
            </w:r>
          </w:p>
        </w:tc>
        <w:tc>
          <w:tcPr/>
          <w:p>
            <w:pPr>
              <w:pStyle w:val="Compact"/>
            </w:pPr>
            <w:r>
              <w:t xml:space="preserve">Says traditional HEOR sits mostly in commercial, but many benchmark companies have started splitting out HEOR and moving it to R&amp;D combined with RWE.</w:t>
            </w:r>
          </w:p>
        </w:tc>
        <w:tc>
          <w:tcPr/>
          <w:p>
            <w:pPr>
              <w:pStyle w:val="Compact"/>
            </w:pPr>
            <w:hyperlink r:id="rId28">
              <w:r>
                <w:rPr>
                  <w:rStyle w:val="Hyperlink"/>
                </w:rPr>
                <w:t xml:space="preserve">[46]</w:t>
              </w:r>
            </w:hyperlink>
          </w:p>
        </w:tc>
      </w:tr>
      <w:tr>
        <w:tc>
          <w:tcPr/>
          <w:p>
            <w:pPr>
              <w:pStyle w:val="Compact"/>
            </w:pPr>
            <w:r>
              <w:t xml:space="preserve">Social signal on reporting-line shift</w:t>
            </w:r>
          </w:p>
        </w:tc>
        <w:tc>
          <w:tcPr/>
          <w:p>
            <w:pPr>
              <w:pStyle w:val="Compact"/>
            </w:pPr>
            <w:r>
              <w:t xml:space="preserve">LinkedIn post on MA and HEOR restructuring</w:t>
            </w:r>
          </w:p>
        </w:tc>
        <w:tc>
          <w:tcPr/>
          <w:p>
            <w:pPr>
              <w:pStyle w:val="Compact"/>
            </w:pPr>
            <w:r>
              <w:t xml:space="preserve">LinkedIn post, 2024</w:t>
            </w:r>
          </w:p>
        </w:tc>
        <w:tc>
          <w:tcPr/>
          <w:p>
            <w:pPr>
              <w:pStyle w:val="Compact"/>
            </w:pPr>
            <w:r>
              <w:t xml:space="preserve">Rohit Borker</w:t>
            </w:r>
          </w:p>
        </w:tc>
        <w:tc>
          <w:tcPr/>
          <w:p>
            <w:pPr>
              <w:pStyle w:val="Compact"/>
            </w:pPr>
            <w:r>
              <w:t xml:space="preserve">RTI Health Solutions</w:t>
            </w:r>
            <w:hyperlink r:id="rId25">
              <w:r>
                <w:rPr>
                  <w:rStyle w:val="Hyperlink"/>
                </w:rPr>
                <w:t xml:space="preserve">[47]</w:t>
              </w:r>
            </w:hyperlink>
          </w:p>
        </w:tc>
        <w:tc>
          <w:tcPr/>
          <w:p>
            <w:pPr>
              <w:pStyle w:val="Compact"/>
            </w:pPr>
            <w:r>
              <w:t xml:space="preserve">Social / opinion</w:t>
            </w:r>
          </w:p>
        </w:tc>
        <w:tc>
          <w:tcPr/>
          <w:p>
            <w:pPr>
              <w:pStyle w:val="Compact"/>
            </w:pPr>
            <w:r>
              <w:t xml:space="preserve">Says more organizations are bringing HEOR into Medical Affairs reporting lines to optimize collaboration and evidence delivery across the product life cycle.</w:t>
            </w:r>
          </w:p>
        </w:tc>
        <w:tc>
          <w:tcPr/>
          <w:p>
            <w:pPr>
              <w:pStyle w:val="Compact"/>
            </w:pPr>
            <w:hyperlink r:id="rId48">
              <w:r>
                <w:rPr>
                  <w:rStyle w:val="Hyperlink"/>
                </w:rPr>
                <w:t xml:space="preserve">[48]</w:t>
              </w:r>
            </w:hyperlink>
          </w:p>
        </w:tc>
      </w:tr>
      <w:tr>
        <w:tc>
          <w:tcPr/>
          <w:p>
            <w:pPr>
              <w:pStyle w:val="Compact"/>
            </w:pPr>
            <w:r>
              <w:t xml:space="preserve">Current-state survey</w:t>
            </w:r>
          </w:p>
        </w:tc>
        <w:tc>
          <w:tcPr/>
          <w:p>
            <w:pPr>
              <w:pStyle w:val="Compact"/>
            </w:pPr>
            <w:r>
              <w:rPr>
                <w:i/>
                <w:iCs/>
              </w:rPr>
              <w:t xml:space="preserve">The Tufts-CEVR HEOR Leaders Survey</w:t>
            </w:r>
          </w:p>
        </w:tc>
        <w:tc>
          <w:tcPr/>
          <w:p>
            <w:pPr>
              <w:pStyle w:val="Compact"/>
            </w:pPr>
            <w:r>
              <w:t xml:space="preserve">Academic center report/news release, Feb 3 2026</w:t>
            </w:r>
          </w:p>
        </w:tc>
        <w:tc>
          <w:tcPr/>
          <w:p>
            <w:pPr>
              <w:pStyle w:val="Compact"/>
            </w:pPr>
            <w:r>
              <w:rPr>
                <w:b/>
                <w:bCs/>
              </w:rPr>
              <w:t xml:space="preserve">Peter J. Neumann</w:t>
            </w:r>
            <w:hyperlink r:id="rId21">
              <w:r>
                <w:rPr>
                  <w:rStyle w:val="Hyperlink"/>
                  <w:b/>
                  <w:bCs/>
                </w:rPr>
                <w:t xml:space="preserve">[49]</w:t>
              </w:r>
            </w:hyperlink>
            <w:r>
              <w:t xml:space="preserve"> </w:t>
            </w:r>
            <w:r>
              <w:t xml:space="preserve">et al.</w:t>
            </w:r>
          </w:p>
        </w:tc>
        <w:tc>
          <w:tcPr/>
          <w:p>
            <w:pPr>
              <w:pStyle w:val="Compact"/>
            </w:pPr>
            <w:r>
              <w:t xml:space="preserve">Center for the Evaluation of Value and Risk in Health, Tufts Medical Center</w:t>
            </w:r>
          </w:p>
        </w:tc>
        <w:tc>
          <w:tcPr/>
          <w:p>
            <w:pPr>
              <w:pStyle w:val="Compact"/>
            </w:pPr>
            <w:r>
              <w:t xml:space="preserve">Primary survey / academic center report</w:t>
            </w:r>
          </w:p>
        </w:tc>
        <w:tc>
          <w:tcPr/>
          <w:p>
            <w:pPr>
              <w:pStyle w:val="Compact"/>
            </w:pPr>
            <w:r>
              <w:t xml:space="preserve">Finds HEOR teams are most often housed in Medical Affairs (39%) or Market Access (30%); larger companies expect less growth; 80% say senior leaders still view HEOR/RWE as critical.</w:t>
            </w:r>
          </w:p>
        </w:tc>
        <w:tc>
          <w:tcPr/>
          <w:p>
            <w:pPr>
              <w:pStyle w:val="Compact"/>
            </w:pPr>
            <w:hyperlink r:id="rId22">
              <w:r>
                <w:rPr>
                  <w:rStyle w:val="Hyperlink"/>
                </w:rPr>
                <w:t xml:space="preserve">[50]</w:t>
              </w:r>
            </w:hyperlink>
          </w:p>
        </w:tc>
      </w:tr>
      <w:tr>
        <w:tc>
          <w:tcPr/>
          <w:p>
            <w:pPr>
              <w:pStyle w:val="Compact"/>
            </w:pPr>
            <w:r>
              <w:t xml:space="preserve">Layoffs despite rising importance</w:t>
            </w:r>
          </w:p>
        </w:tc>
        <w:tc>
          <w:tcPr/>
          <w:p>
            <w:pPr>
              <w:pStyle w:val="Compact"/>
            </w:pPr>
            <w:r>
              <w:rPr>
                <w:i/>
                <w:iCs/>
              </w:rPr>
              <w:t xml:space="preserve">The Rise of the Chief Market Access Officer</w:t>
            </w:r>
          </w:p>
        </w:tc>
        <w:tc>
          <w:tcPr/>
          <w:p>
            <w:pPr>
              <w:pStyle w:val="Compact"/>
            </w:pPr>
            <w:r>
              <w:t xml:space="preserve">Executive-search article, Aug 2025</w:t>
            </w:r>
          </w:p>
        </w:tc>
        <w:tc>
          <w:tcPr/>
          <w:p>
            <w:pPr>
              <w:pStyle w:val="Compact"/>
            </w:pPr>
            <w:r>
              <w:t xml:space="preserve">author not visible in retrieved page</w:t>
            </w:r>
          </w:p>
        </w:tc>
        <w:tc>
          <w:tcPr/>
          <w:p>
            <w:pPr>
              <w:pStyle w:val="Compact"/>
            </w:pPr>
            <w:r>
              <w:t xml:space="preserve">Russell Reynolds Associates</w:t>
            </w:r>
          </w:p>
        </w:tc>
        <w:tc>
          <w:tcPr/>
          <w:p>
            <w:pPr>
              <w:pStyle w:val="Compact"/>
            </w:pPr>
            <w:r>
              <w:t xml:space="preserve">Executive-search analysis</w:t>
            </w:r>
          </w:p>
        </w:tc>
        <w:tc>
          <w:tcPr/>
          <w:p>
            <w:pPr>
              <w:pStyle w:val="Compact"/>
            </w:pPr>
            <w:r>
              <w:t xml:space="preserve">Says many organizations are responding to uncertainty with layoffs, “including cutting key capabilities like HEOR, despite their rising importance.”</w:t>
            </w:r>
          </w:p>
        </w:tc>
        <w:tc>
          <w:tcPr/>
          <w:p>
            <w:pPr>
              <w:pStyle w:val="Compact"/>
            </w:pPr>
            <w:hyperlink r:id="rId49">
              <w:r>
                <w:rPr>
                  <w:rStyle w:val="Hyperlink"/>
                </w:rPr>
                <w:t xml:space="preserve">[51]</w:t>
              </w:r>
            </w:hyperlink>
          </w:p>
        </w:tc>
      </w:tr>
    </w:tbl>
    <w:bookmarkEnd w:id="50"/>
    <w:bookmarkEnd w:id="51"/>
    <w:bookmarkStart w:id="52" w:name="what-the-pattern-most-likely-means"/>
    <w:p>
      <w:pPr>
        <w:pStyle w:val="Heading2"/>
      </w:pPr>
      <w:r>
        <w:t xml:space="preserve">What the pattern most likely means</w:t>
      </w:r>
    </w:p>
    <w:p>
      <w:pPr>
        <w:pStyle w:val="FirstParagraph"/>
      </w:pPr>
      <w:r>
        <w:t xml:space="preserve">The evidence points to a basic organizational reframing. HEOR is not being abandoned because evidence is less important. The opposite is true. External decision makers want more evidence, earlier, and of more kinds. The friction is internal: companies are trying to decide</w:t>
      </w:r>
      <w:r>
        <w:t xml:space="preserve"> </w:t>
      </w:r>
      <w:r>
        <w:rPr>
          <w:b/>
          <w:bCs/>
        </w:rPr>
        <w:t xml:space="preserve">where</w:t>
      </w:r>
      <w:r>
        <w:t xml:space="preserve"> </w:t>
      </w:r>
      <w:r>
        <w:t xml:space="preserve">that work should live and</w:t>
      </w:r>
      <w:r>
        <w:t xml:space="preserve"> </w:t>
      </w:r>
      <w:r>
        <w:rPr>
          <w:b/>
          <w:bCs/>
        </w:rPr>
        <w:t xml:space="preserve">how</w:t>
      </w:r>
      <w:r>
        <w:t xml:space="preserve"> </w:t>
      </w:r>
      <w:r>
        <w:t xml:space="preserve">it should be judged. The public sources repeatedly show that HEOR is being pulled toward the functions that own launch, access, and payer dialogue, or toward the functions that own integrated scientific evidence and RWE.</w:t>
      </w:r>
      <w:r>
        <w:t xml:space="preserve"> </w:t>
      </w:r>
      <w:hyperlink r:id="rId26">
        <w:r>
          <w:rPr>
            <w:rStyle w:val="Hyperlink"/>
          </w:rPr>
          <w:t xml:space="preserve">[52]</w:t>
        </w:r>
      </w:hyperlink>
    </w:p>
    <w:p>
      <w:pPr>
        <w:pStyle w:val="BodyText"/>
      </w:pPr>
      <w:r>
        <w:t xml:space="preserve">That produces several recurring organizational outcomes. One is</w:t>
      </w:r>
      <w:r>
        <w:t xml:space="preserve"> </w:t>
      </w:r>
      <w:r>
        <w:rPr>
          <w:b/>
          <w:bCs/>
        </w:rPr>
        <w:t xml:space="preserve">HEOR under Market Access / Value &amp; Access</w:t>
      </w:r>
      <w:r>
        <w:t xml:space="preserve">, justified by tighter alignment with HTA strategy, pricing, payer evidence, and launch execution. Another is</w:t>
      </w:r>
      <w:r>
        <w:t xml:space="preserve"> </w:t>
      </w:r>
      <w:r>
        <w:rPr>
          <w:b/>
          <w:bCs/>
        </w:rPr>
        <w:t xml:space="preserve">HEOR under Medical Affairs</w:t>
      </w:r>
      <w:r>
        <w:t xml:space="preserve">, justified by the need to separate scientific evidence generation from overt commercial activity while still supporting payer and field dialogue. A third is</w:t>
      </w:r>
      <w:r>
        <w:t xml:space="preserve"> </w:t>
      </w:r>
      <w:r>
        <w:rPr>
          <w:b/>
          <w:bCs/>
        </w:rPr>
        <w:t xml:space="preserve">functional splitting</w:t>
      </w:r>
      <w:r>
        <w:t xml:space="preserve">, where modeling, submissions, or payer-facing evidence move toward access while RWE or observational evidence work sits with medical or R&amp;D. Public benchmarks show all three are happening at once, which is why the literature does not show a single settled destination.</w:t>
      </w:r>
      <w:r>
        <w:t xml:space="preserve"> </w:t>
      </w:r>
      <w:hyperlink r:id="rId21">
        <w:r>
          <w:rPr>
            <w:rStyle w:val="Hyperlink"/>
          </w:rPr>
          <w:t xml:space="preserve">[53]</w:t>
        </w:r>
      </w:hyperlink>
    </w:p>
    <w:p>
      <w:pPr>
        <w:pStyle w:val="BodyText"/>
      </w:pPr>
      <w:r>
        <w:t xml:space="preserve">The public rationale for headcount cuts is usually less about HEOR methodology than about</w:t>
      </w:r>
      <w:r>
        <w:t xml:space="preserve"> </w:t>
      </w:r>
      <w:r>
        <w:rPr>
          <w:b/>
          <w:bCs/>
        </w:rPr>
        <w:t xml:space="preserve">organizational economics</w:t>
      </w:r>
      <w:r>
        <w:t xml:space="preserve">. Alkemi’s SME work highlights IRA pressure and perceived inefficiency. Ramsey’s essay and the ISPOR editorial describe senior HEOR leaders being removed while remaining staff are redistributed. Russell Reynolds adds a talent-market view: firms are cutting HEOR even while acknowledging its strategic importance. The Tufts survey then shows the outcome on the ground: HEOR is still seen as critical, but large-company budgets are flatter and some leaders expect part of the work to be automated. In plain terms, companies appear to be trying to keep the evidence capability while changing its cost structure, governance, and accountability.</w:t>
      </w:r>
      <w:r>
        <w:t xml:space="preserve"> </w:t>
      </w:r>
      <w:hyperlink r:id="rId21">
        <w:r>
          <w:rPr>
            <w:rStyle w:val="Hyperlink"/>
          </w:rPr>
          <w:t xml:space="preserve">[54]</w:t>
        </w:r>
      </w:hyperlink>
    </w:p>
    <w:p>
      <w:pPr>
        <w:pStyle w:val="BodyText"/>
      </w:pPr>
      <w:r>
        <w:t xml:space="preserve">The biggest gap in the public record is this: there are many discussions of</w:t>
      </w:r>
      <w:r>
        <w:t xml:space="preserve"> </w:t>
      </w:r>
      <w:r>
        <w:rPr>
          <w:b/>
          <w:bCs/>
        </w:rPr>
        <w:t xml:space="preserve">restructuring</w:t>
      </w:r>
      <w:r>
        <w:t xml:space="preserve">, but very few</w:t>
      </w:r>
      <w:r>
        <w:t xml:space="preserve"> </w:t>
      </w:r>
      <w:r>
        <w:rPr>
          <w:b/>
          <w:bCs/>
        </w:rPr>
        <w:t xml:space="preserve">named-company, formal statements</w:t>
      </w:r>
      <w:r>
        <w:t xml:space="preserve"> </w:t>
      </w:r>
      <w:r>
        <w:t xml:space="preserve">that say exactly which HEOR teams were disbanded, how many roles were removed, and what official rationale was given. Where there are official named-company sources, they are usually not HEOR layoff disclosures; they are transformation case studies in Medical Affairs or evidence organizations. That is why the strongest evidence base is a mix of official guidance, original surveys, company-authored transformation papers, and practitioner or trade analyses.</w:t>
      </w:r>
      <w:r>
        <w:t xml:space="preserve"> </w:t>
      </w:r>
      <w:hyperlink r:id="rId43">
        <w:r>
          <w:rPr>
            <w:rStyle w:val="Hyperlink"/>
          </w:rPr>
          <w:t xml:space="preserve">[55]</w:t>
        </w:r>
      </w:hyperlink>
    </w:p>
    <w:bookmarkEnd w:id="52"/>
    <w:bookmarkStart w:id="55" w:name="illustrative-charts-and-diagrams"/>
    <w:p>
      <w:pPr>
        <w:pStyle w:val="Heading2"/>
      </w:pPr>
      <w:r>
        <w:t xml:space="preserve">Illustrative charts and diagrams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Illustration</w:t>
            </w:r>
          </w:p>
        </w:tc>
        <w:tc>
          <w:tcPr/>
          <w:p>
            <w:pPr>
              <w:pStyle w:val="Compact"/>
            </w:pPr>
            <w:r>
              <w:t xml:space="preserve">Why it matters</w:t>
            </w:r>
          </w:p>
        </w:tc>
        <w:tc>
          <w:tcPr/>
          <w:p>
            <w:pPr>
              <w:pStyle w:val="Compact"/>
            </w:pPr>
            <w:r>
              <w:t xml:space="preserve">Link</w:t>
            </w:r>
          </w:p>
        </w:tc>
      </w:tr>
      <w:tr>
        <w:tc>
          <w:tcPr/>
          <w:p>
            <w:pPr>
              <w:pStyle w:val="Compact"/>
            </w:pPr>
            <w:r>
              <w:t xml:space="preserve">ISPOR workforce survey chart on reorgs, staff additions, and layoffs</w:t>
            </w:r>
          </w:p>
        </w:tc>
        <w:tc>
          <w:tcPr/>
          <w:p>
            <w:pPr>
              <w:pStyle w:val="Compact"/>
            </w:pPr>
            <w:r>
              <w:t xml:space="preserve">Best public visual I found that directly quantifies HEOR reorganizations and reported layoffs.</w:t>
            </w:r>
          </w:p>
        </w:tc>
        <w:tc>
          <w:tcPr/>
          <w:p>
            <w:pPr>
              <w:pStyle w:val="Compact"/>
            </w:pPr>
            <w:hyperlink r:id="rId46">
              <w:r>
                <w:rPr>
                  <w:rStyle w:val="Hyperlink"/>
                </w:rPr>
                <w:t xml:space="preserve">[43]</w:t>
              </w:r>
            </w:hyperlink>
          </w:p>
        </w:tc>
      </w:tr>
      <w:tr>
        <w:tc>
          <w:tcPr/>
          <w:p>
            <w:pPr>
              <w:pStyle w:val="Compact"/>
            </w:pPr>
            <w:r>
              <w:t xml:space="preserve">McKinsey exhibit on Medical Affairs engagement with value-based decision makers</w:t>
            </w:r>
          </w:p>
        </w:tc>
        <w:tc>
          <w:tcPr/>
          <w:p>
            <w:pPr>
              <w:pStyle w:val="Compact"/>
            </w:pPr>
            <w:r>
              <w:t xml:space="preserve">Useful visual for the argument that evidence/value work is being drawn into a broader MA role.</w:t>
            </w:r>
          </w:p>
        </w:tc>
        <w:tc>
          <w:tcPr/>
          <w:p>
            <w:pPr>
              <w:pStyle w:val="Compact"/>
            </w:pPr>
            <w:hyperlink r:id="rId53">
              <w:r>
                <w:rPr>
                  <w:rStyle w:val="Hyperlink"/>
                </w:rPr>
                <w:t xml:space="preserve">[56]</w:t>
              </w:r>
            </w:hyperlink>
          </w:p>
        </w:tc>
      </w:tr>
      <w:tr>
        <w:tc>
          <w:tcPr/>
          <w:p>
            <w:pPr>
              <w:pStyle w:val="Compact"/>
            </w:pPr>
            <w:r>
              <w:t xml:space="preserve">ZS figure on challenges implementing integrated evidence plans</w:t>
            </w:r>
          </w:p>
        </w:tc>
        <w:tc>
          <w:tcPr/>
          <w:p>
            <w:pPr>
              <w:pStyle w:val="Compact"/>
            </w:pPr>
            <w:r>
              <w:t xml:space="preserve">Illustrates why firms keep de-siloing HEOR-adjacent work.</w:t>
            </w:r>
          </w:p>
        </w:tc>
        <w:tc>
          <w:tcPr/>
          <w:p>
            <w:pPr>
              <w:pStyle w:val="Compact"/>
            </w:pPr>
            <w:hyperlink r:id="rId54">
              <w:r>
                <w:rPr>
                  <w:rStyle w:val="Hyperlink"/>
                </w:rPr>
                <w:t xml:space="preserve">[57]</w:t>
              </w:r>
            </w:hyperlink>
          </w:p>
        </w:tc>
      </w:tr>
      <w:tr>
        <w:tc>
          <w:tcPr/>
          <w:p>
            <w:pPr>
              <w:pStyle w:val="Compact"/>
            </w:pPr>
            <w:r>
              <w:t xml:space="preserve">AstraZeneca Spain figure on MA central-team lifecycle involvement</w:t>
            </w:r>
          </w:p>
        </w:tc>
        <w:tc>
          <w:tcPr/>
          <w:p>
            <w:pPr>
              <w:pStyle w:val="Compact"/>
            </w:pPr>
            <w:r>
              <w:t xml:space="preserve">Concrete company-authored diagram showing how value/evidence work is being operationalized inside MA.</w:t>
            </w:r>
          </w:p>
        </w:tc>
        <w:tc>
          <w:tcPr/>
          <w:p>
            <w:pPr>
              <w:pStyle w:val="Compact"/>
            </w:pPr>
            <w:hyperlink r:id="rId43">
              <w:r>
                <w:rPr>
                  <w:rStyle w:val="Hyperlink"/>
                </w:rPr>
                <w:t xml:space="preserve">[40]</w:t>
              </w:r>
            </w:hyperlink>
          </w:p>
        </w:tc>
      </w:tr>
    </w:tbl>
    <w:bookmarkEnd w:id="55"/>
    <w:bookmarkStart w:id="56" w:name="timeline-of-notable-public-evidence"/>
    <w:p>
      <w:pPr>
        <w:pStyle w:val="Heading2"/>
      </w:pPr>
      <w:r>
        <w:t xml:space="preserve">Timeline of notable public evidence</w:t>
      </w:r>
    </w:p>
    <w:p>
      <w:pPr>
        <w:pStyle w:val="FirstParagraph"/>
      </w:pPr>
      <w:r>
        <w:t xml:space="preserve">This timeline reflects</w:t>
      </w:r>
      <w:r>
        <w:t xml:space="preserve"> </w:t>
      </w:r>
      <w:r>
        <w:rPr>
          <w:b/>
          <w:bCs/>
        </w:rPr>
        <w:t xml:space="preserve">documented public evidence points</w:t>
      </w:r>
      <w:r>
        <w:t xml:space="preserve">, not a complete census of named company HEOR restructurings. That limitation exists because most companies do not publicly identify HEOR by name when they reorganize.</w:t>
      </w:r>
      <w:r>
        <w:t xml:space="preserve"> </w:t>
      </w:r>
      <w:hyperlink r:id="rId29">
        <w:r>
          <w:rPr>
            <w:rStyle w:val="Hyperlink"/>
          </w:rPr>
          <w:t xml:space="preserve">[58]</w:t>
        </w:r>
      </w:hyperlink>
    </w:p>
    <w:p>
      <w:pPr>
        <w:pStyle w:val="SourceCode"/>
      </w:pPr>
      <w:r>
        <w:rPr>
          <w:rStyle w:val="VerbatimChar"/>
        </w:rPr>
        <w:t xml:space="preserve">timeline</w:t>
      </w:r>
      <w:r>
        <w:br/>
      </w:r>
      <w:r>
        <w:rPr>
          <w:rStyle w:val="VerbatimChar"/>
        </w:rPr>
        <w:t xml:space="preserve">    title Publicly documented shift in HEOR placement and HEOR-adjacent evidence organizations</w:t>
      </w:r>
      <w:r>
        <w:br/>
      </w:r>
      <w:r>
        <w:rPr>
          <w:rStyle w:val="VerbatimChar"/>
        </w:rPr>
        <w:t xml:space="preserve">    2012 : van Nooten review says HTA evidence needs go beyond regulatory dossiers and require internal coordination</w:t>
      </w:r>
      <w:r>
        <w:br/>
      </w:r>
      <w:r>
        <w:rPr>
          <w:rStyle w:val="VerbatimChar"/>
        </w:rPr>
        <w:t xml:space="preserve">    2012 : Holtorf survey shows HEOR already used by many U.S. payers and expected to increase</w:t>
      </w:r>
      <w:r>
        <w:br/>
      </w:r>
      <w:r>
        <w:rPr>
          <w:rStyle w:val="VerbatimChar"/>
        </w:rPr>
        <w:t xml:space="preserve">    2017 : Bain argues Medical Affairs should evolve into "medical value teams"</w:t>
      </w:r>
      <w:r>
        <w:br/>
      </w:r>
      <w:r>
        <w:rPr>
          <w:rStyle w:val="VerbatimChar"/>
        </w:rPr>
        <w:t xml:space="preserve">    2019 : McKinsey envisions Medical and Market Access working hand in hand with centralized HEOR analytics</w:t>
      </w:r>
      <w:r>
        <w:br/>
      </w:r>
      <w:r>
        <w:rPr>
          <w:rStyle w:val="VerbatimChar"/>
        </w:rPr>
        <w:t xml:space="preserve">    2021 : McKinsey says most evidence plans are still siloed and merely "bolted together"</w:t>
      </w:r>
      <w:r>
        <w:br/>
      </w:r>
      <w:r>
        <w:rPr>
          <w:rStyle w:val="VerbatimChar"/>
        </w:rPr>
        <w:t xml:space="preserve">    2024 : Ramsey reports several large pharma firms reorganized or eliminated standalone HEOR groups</w:t>
      </w:r>
      <w:r>
        <w:br/>
      </w:r>
      <w:r>
        <w:rPr>
          <w:rStyle w:val="VerbatimChar"/>
        </w:rPr>
        <w:t xml:space="preserve">    2024 : ISPOR editorial says HEOR leaders were let go and teams dispersed into Medical Affairs or Market Access</w:t>
      </w:r>
      <w:r>
        <w:br/>
      </w:r>
      <w:r>
        <w:rPr>
          <w:rStyle w:val="VerbatimChar"/>
        </w:rPr>
        <w:t xml:space="preserve">    2024 : ISPOR workforce survey reports widespread HEOR reorgs and some layoffs</w:t>
      </w:r>
      <w:r>
        <w:br/>
      </w:r>
      <w:r>
        <w:rPr>
          <w:rStyle w:val="VerbatimChar"/>
        </w:rPr>
        <w:t xml:space="preserve">    2025 : Alkemi reports HEOR shifted from Medical Affairs toward Market Access/commercial alignment</w:t>
      </w:r>
      <w:r>
        <w:br/>
      </w:r>
      <w:r>
        <w:rPr>
          <w:rStyle w:val="VerbatimChar"/>
        </w:rPr>
        <w:t xml:space="preserve">    2025 : PharmExec benchmark finds more sample companies placing HEOR in Commercial-side Value and Access teams</w:t>
      </w:r>
      <w:r>
        <w:br/>
      </w:r>
      <w:r>
        <w:rPr>
          <w:rStyle w:val="VerbatimChar"/>
        </w:rPr>
        <w:t xml:space="preserve">    2025 : AstraZeneca Spain formalizes a Medical Affairs central-team model with a Core Value Team</w:t>
      </w:r>
      <w:r>
        <w:br/>
      </w:r>
      <w:r>
        <w:rPr>
          <w:rStyle w:val="VerbatimChar"/>
        </w:rPr>
        <w:t xml:space="preserve">    2026 : Tufts survey finds HEOR most commonly housed in Medical Affairs or Market Access</w:t>
      </w:r>
    </w:p>
    <w:bookmarkEnd w:id="56"/>
    <w:bookmarkStart w:id="57" w:name="open-questions-and-limitations"/>
    <w:p>
      <w:pPr>
        <w:pStyle w:val="Heading2"/>
      </w:pPr>
      <w:r>
        <w:t xml:space="preserve">Open questions and limitations</w:t>
      </w:r>
    </w:p>
    <w:p>
      <w:pPr>
        <w:pStyle w:val="FirstParagraph"/>
      </w:pPr>
      <w:r>
        <w:t xml:space="preserve">This review is high-confidence on the</w:t>
      </w:r>
      <w:r>
        <w:t xml:space="preserve"> </w:t>
      </w:r>
      <w:r>
        <w:rPr>
          <w:b/>
          <w:bCs/>
        </w:rPr>
        <w:t xml:space="preserve">direction of travel</w:t>
      </w:r>
      <w:r>
        <w:t xml:space="preserve"> </w:t>
      </w:r>
      <w:r>
        <w:t xml:space="preserve">and the</w:t>
      </w:r>
      <w:r>
        <w:t xml:space="preserve"> </w:t>
      </w:r>
      <w:r>
        <w:rPr>
          <w:b/>
          <w:bCs/>
        </w:rPr>
        <w:t xml:space="preserve">reasons repeatedly given in public sources</w:t>
      </w:r>
      <w:r>
        <w:t xml:space="preserve">, but it is not a perfect census of every HEOR reorganization. The main limits are straightforward. First, explicit, company-official disclosures naming HEOR cuts are scarce; pharma companies usually announce broad reorganizations, not HEOR-specific ones. Second, some of the best evidence on HEOR downsizing comes from surveys, conference decks, trade articles, and practitioner commentary rather than SEC-style or press-release detail. Third, social posts and consultancy blogs are useful for pattern detection but weaker than original surveys and official guidance. Fourth, this review is English-only, as requested.</w:t>
      </w:r>
      <w:r>
        <w:t xml:space="preserve"> </w:t>
      </w:r>
      <w:hyperlink r:id="rId23">
        <w:r>
          <w:rPr>
            <w:rStyle w:val="Hyperlink"/>
          </w:rPr>
          <w:t xml:space="preserve">[13]</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[20]</w:t>
        </w:r>
      </w:hyperlink>
      <w:r>
        <w:t xml:space="preserve"> </w:t>
      </w:r>
      <w:hyperlink r:id="rId21">
        <w:r>
          <w:rPr>
            <w:rStyle w:val="Hyperlink"/>
          </w:rPr>
          <w:t xml:space="preserve">[22]</w:t>
        </w:r>
      </w:hyperlink>
      <w:r>
        <w:t xml:space="preserve"> </w:t>
      </w:r>
      <w:hyperlink r:id="rId21">
        <w:r>
          <w:rPr>
            <w:rStyle w:val="Hyperlink"/>
          </w:rPr>
          <w:t xml:space="preserve">[24]</w:t>
        </w:r>
      </w:hyperlink>
      <w:r>
        <w:t xml:space="preserve"> </w:t>
      </w:r>
      <w:hyperlink r:id="rId21">
        <w:r>
          <w:rPr>
            <w:rStyle w:val="Hyperlink"/>
          </w:rPr>
          <w:t xml:space="preserve">[44]</w:t>
        </w:r>
      </w:hyperlink>
      <w:r>
        <w:t xml:space="preserve"> </w:t>
      </w:r>
      <w:hyperlink r:id="rId21">
        <w:r>
          <w:rPr>
            <w:rStyle w:val="Hyperlink"/>
          </w:rPr>
          <w:t xml:space="preserve">[49]</w:t>
        </w:r>
      </w:hyperlink>
      <w:r>
        <w:t xml:space="preserve"> </w:t>
      </w:r>
      <w:hyperlink r:id="rId21">
        <w:r>
          <w:rPr>
            <w:rStyle w:val="Hyperlink"/>
          </w:rPr>
          <w:t xml:space="preserve">[53]</w:t>
        </w:r>
      </w:hyperlink>
      <w:r>
        <w:t xml:space="preserve"> </w:t>
      </w:r>
      <w:hyperlink r:id="rId21">
        <w:r>
          <w:rPr>
            <w:rStyle w:val="Hyperlink"/>
          </w:rPr>
          <w:t xml:space="preserve">[54]</w:t>
        </w:r>
      </w:hyperlink>
      <w:r>
        <w:t xml:space="preserve"> </w:t>
      </w:r>
      <w:r>
        <w:t xml:space="preserve">https://www.alkemihealth.com/blog/global-health-economics-and-outcomes-research-heor-market-research-report-and-forecast</w:t>
      </w:r>
    </w:p>
    <w:p>
      <w:pPr>
        <w:pStyle w:val="BodyText"/>
      </w:pPr>
      <w:hyperlink r:id="rId21">
        <w:r>
          <w:rPr>
            <w:rStyle w:val="Hyperlink"/>
          </w:rPr>
          <w:t xml:space="preserve">https://www.alkemihealth.com/blog/global-health-economics-and-outcomes-research-heor-market-research-report-and-forecast</w:t>
        </w:r>
      </w:hyperlink>
    </w:p>
    <w:p>
      <w:pPr>
        <w:pStyle w:val="BodyText"/>
      </w:pPr>
      <w:hyperlink r:id="rId22">
        <w:r>
          <w:rPr>
            <w:rStyle w:val="Hyperlink"/>
          </w:rPr>
          <w:t xml:space="preserve">[2]</w:t>
        </w:r>
      </w:hyperlink>
      <w:r>
        <w:t xml:space="preserve"> </w:t>
      </w:r>
      <w:hyperlink r:id="rId22">
        <w:r>
          <w:rPr>
            <w:rStyle w:val="Hyperlink"/>
          </w:rPr>
          <w:t xml:space="preserve">[23]</w:t>
        </w:r>
      </w:hyperlink>
      <w:r>
        <w:t xml:space="preserve"> </w:t>
      </w:r>
      <w:hyperlink r:id="rId22">
        <w:r>
          <w:rPr>
            <w:rStyle w:val="Hyperlink"/>
          </w:rPr>
          <w:t xml:space="preserve">[50]</w:t>
        </w:r>
      </w:hyperlink>
      <w:r>
        <w:t xml:space="preserve"> </w:t>
      </w:r>
      <w:r>
        <w:t xml:space="preserve">https://cevr.tuftsmedicalcenter.org/news/heor-leaders-survey-1-trends</w:t>
      </w:r>
    </w:p>
    <w:p>
      <w:pPr>
        <w:pStyle w:val="BodyText"/>
      </w:pPr>
      <w:hyperlink r:id="rId22">
        <w:r>
          <w:rPr>
            <w:rStyle w:val="Hyperlink"/>
          </w:rPr>
          <w:t xml:space="preserve">https://cevr.tuftsmedicalcenter.org/news/heor-leaders-survey-1-trends</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[15]</w:t>
        </w:r>
      </w:hyperlink>
      <w:r>
        <w:t xml:space="preserve"> </w:t>
      </w:r>
      <w:hyperlink r:id="rId23">
        <w:r>
          <w:rPr>
            <w:rStyle w:val="Hyperlink"/>
          </w:rPr>
          <w:t xml:space="preserve">[21]</w:t>
        </w:r>
      </w:hyperlink>
      <w:r>
        <w:t xml:space="preserve"> </w:t>
      </w:r>
      <w:hyperlink r:id="rId23">
        <w:r>
          <w:rPr>
            <w:rStyle w:val="Hyperlink"/>
          </w:rPr>
          <w:t xml:space="preserve">[41]</w:t>
        </w:r>
      </w:hyperlink>
      <w:r>
        <w:t xml:space="preserve"> </w:t>
      </w:r>
      <w:r>
        <w:t xml:space="preserve">https://curta.com/curta-on-call/what-does-this-all-mean-for-those-of-us-in-heor/</w:t>
      </w:r>
    </w:p>
    <w:p>
      <w:pPr>
        <w:pStyle w:val="BodyText"/>
      </w:pPr>
      <w:hyperlink r:id="rId23">
        <w:r>
          <w:rPr>
            <w:rStyle w:val="Hyperlink"/>
          </w:rPr>
          <w:t xml:space="preserve">https://curta.com/curta-on-call/what-does-this-all-mean-for-those-of-us-in-heor/</w:t>
        </w:r>
      </w:hyperlink>
    </w:p>
    <w:p>
      <w:pPr>
        <w:pStyle w:val="BodyText"/>
      </w:pPr>
      <w:hyperlink r:id="rId24">
        <w:r>
          <w:rPr>
            <w:rStyle w:val="Hyperlink"/>
          </w:rPr>
          <w:t xml:space="preserve">[4]</w:t>
        </w:r>
      </w:hyperlink>
      <w:r>
        <w:t xml:space="preserve"> </w:t>
      </w:r>
      <w:hyperlink r:id="rId24">
        <w:r>
          <w:rPr>
            <w:rStyle w:val="Hyperlink"/>
          </w:rPr>
          <w:t xml:space="preserve">[39]</w:t>
        </w:r>
      </w:hyperlink>
      <w:r>
        <w:t xml:space="preserve"> </w:t>
      </w:r>
      <w:r>
        <w:t xml:space="preserve">https://link.springer.com/article/10.1007/s40290-024-00542-x</w:t>
      </w:r>
    </w:p>
    <w:p>
      <w:pPr>
        <w:pStyle w:val="BodyText"/>
      </w:pPr>
      <w:hyperlink r:id="rId24">
        <w:r>
          <w:rPr>
            <w:rStyle w:val="Hyperlink"/>
          </w:rPr>
          <w:t xml:space="preserve">https://link.springer.com/article/10.1007/s40290-024-00542-x</w:t>
        </w:r>
      </w:hyperlink>
    </w:p>
    <w:p>
      <w:pPr>
        <w:pStyle w:val="BodyText"/>
      </w:pPr>
      <w:hyperlink r:id="rId25">
        <w:r>
          <w:rPr>
            <w:rStyle w:val="Hyperlink"/>
          </w:rPr>
          <w:t xml:space="preserve">[5]</w:t>
        </w:r>
      </w:hyperlink>
      <w:r>
        <w:t xml:space="preserve"> </w:t>
      </w:r>
      <w:hyperlink r:id="rId25">
        <w:r>
          <w:rPr>
            <w:rStyle w:val="Hyperlink"/>
          </w:rPr>
          <w:t xml:space="preserve">[36]</w:t>
        </w:r>
      </w:hyperlink>
      <w:r>
        <w:t xml:space="preserve"> </w:t>
      </w:r>
      <w:hyperlink r:id="rId25">
        <w:r>
          <w:rPr>
            <w:rStyle w:val="Hyperlink"/>
          </w:rPr>
          <w:t xml:space="preserve">[47]</w:t>
        </w:r>
      </w:hyperlink>
      <w:r>
        <w:t xml:space="preserve"> </w:t>
      </w:r>
      <w:r>
        <w:t xml:space="preserve">https://www.deloitte.com/us/en/insights/industry/health-care/real-world-evidence-study.html</w:t>
      </w:r>
    </w:p>
    <w:p>
      <w:pPr>
        <w:pStyle w:val="BodyText"/>
      </w:pPr>
      <w:hyperlink r:id="rId25">
        <w:r>
          <w:rPr>
            <w:rStyle w:val="Hyperlink"/>
          </w:rPr>
          <w:t xml:space="preserve">https://www.deloitte.com/us/en/insights/industry/health-care/real-world-evidence-study.html</w:t>
        </w:r>
      </w:hyperlink>
    </w:p>
    <w:p>
      <w:pPr>
        <w:pStyle w:val="BodyText"/>
      </w:pPr>
      <w:hyperlink r:id="rId26">
        <w:r>
          <w:rPr>
            <w:rStyle w:val="Hyperlink"/>
          </w:rPr>
          <w:t xml:space="preserve">[6]</w:t>
        </w:r>
      </w:hyperlink>
      <w:r>
        <w:t xml:space="preserve"> </w:t>
      </w:r>
      <w:hyperlink r:id="rId26">
        <w:r>
          <w:rPr>
            <w:rStyle w:val="Hyperlink"/>
          </w:rPr>
          <w:t xml:space="preserve">[17]</w:t>
        </w:r>
      </w:hyperlink>
      <w:r>
        <w:t xml:space="preserve"> </w:t>
      </w:r>
      <w:hyperlink r:id="rId26">
        <w:r>
          <w:rPr>
            <w:rStyle w:val="Hyperlink"/>
          </w:rPr>
          <w:t xml:space="preserve">[27]</w:t>
        </w:r>
      </w:hyperlink>
      <w:r>
        <w:t xml:space="preserve"> </w:t>
      </w:r>
      <w:hyperlink r:id="rId26">
        <w:r>
          <w:rPr>
            <w:rStyle w:val="Hyperlink"/>
          </w:rPr>
          <w:t xml:space="preserve">[52]</w:t>
        </w:r>
      </w:hyperlink>
      <w:r>
        <w:t xml:space="preserve"> </w:t>
      </w:r>
      <w:r>
        <w:t xml:space="preserve">https://www.amcp.org/sites/default/files/2024-04/AMCP-Format-5.0-JMCP-web_0.pdf</w:t>
      </w:r>
    </w:p>
    <w:p>
      <w:pPr>
        <w:pStyle w:val="BodyText"/>
      </w:pPr>
      <w:hyperlink r:id="rId26">
        <w:r>
          <w:rPr>
            <w:rStyle w:val="Hyperlink"/>
          </w:rPr>
          <w:t xml:space="preserve">https://www.amcp.org/sites/default/files/2024-04/AMCP-Format-5.0-JMCP-web_0.pdf</w:t>
        </w:r>
      </w:hyperlink>
    </w:p>
    <w:p>
      <w:pPr>
        <w:pStyle w:val="BodyText"/>
      </w:pPr>
      <w:hyperlink r:id="rId27">
        <w:r>
          <w:rPr>
            <w:rStyle w:val="Hyperlink"/>
          </w:rPr>
          <w:t xml:space="preserve">[10]</w:t>
        </w:r>
      </w:hyperlink>
      <w:r>
        <w:t xml:space="preserve"> </w:t>
      </w:r>
      <w:hyperlink r:id="rId27">
        <w:r>
          <w:rPr>
            <w:rStyle w:val="Hyperlink"/>
          </w:rPr>
          <w:t xml:space="preserve">[14]</w:t>
        </w:r>
      </w:hyperlink>
      <w:r>
        <w:t xml:space="preserve"> </w:t>
      </w:r>
      <w:hyperlink r:id="rId27">
        <w:r>
          <w:rPr>
            <w:rStyle w:val="Hyperlink"/>
          </w:rPr>
          <w:t xml:space="preserve">[25]</w:t>
        </w:r>
      </w:hyperlink>
      <w:r>
        <w:t xml:space="preserve"> </w:t>
      </w:r>
      <w:r>
        <w:t xml:space="preserve">https://www.ahdbonline.com/issues/2012/november-december-2012-vol-5-no-7/feature-1214</w:t>
      </w:r>
    </w:p>
    <w:p>
      <w:pPr>
        <w:pStyle w:val="BodyText"/>
      </w:pPr>
      <w:hyperlink r:id="rId27">
        <w:r>
          <w:rPr>
            <w:rStyle w:val="Hyperlink"/>
          </w:rPr>
          <w:t xml:space="preserve">https://www.ahdbonline.com/issues/2012/november-december-2012-vol-5-no-7/feature-1214</w:t>
        </w:r>
      </w:hyperlink>
    </w:p>
    <w:p>
      <w:pPr>
        <w:pStyle w:val="BodyText"/>
      </w:pPr>
      <w:hyperlink r:id="rId28">
        <w:r>
          <w:rPr>
            <w:rStyle w:val="Hyperlink"/>
          </w:rPr>
          <w:t xml:space="preserve">[11]</w:t>
        </w:r>
      </w:hyperlink>
      <w:r>
        <w:t xml:space="preserve"> </w:t>
      </w:r>
      <w:hyperlink r:id="rId28">
        <w:r>
          <w:rPr>
            <w:rStyle w:val="Hyperlink"/>
          </w:rPr>
          <w:t xml:space="preserve">[46]</w:t>
        </w:r>
      </w:hyperlink>
      <w:r>
        <w:t xml:space="preserve"> </w:t>
      </w:r>
      <w:r>
        <w:t xml:space="preserve">https://www.pharmexec.com/view/market-access-being-becoming-0</w:t>
      </w:r>
    </w:p>
    <w:p>
      <w:pPr>
        <w:pStyle w:val="BodyText"/>
      </w:pPr>
      <w:hyperlink r:id="rId28">
        <w:r>
          <w:rPr>
            <w:rStyle w:val="Hyperlink"/>
          </w:rPr>
          <w:t xml:space="preserve">https://www.pharmexec.com/view/market-access-being-becoming-0</w:t>
        </w:r>
      </w:hyperlink>
    </w:p>
    <w:p>
      <w:pPr>
        <w:pStyle w:val="BodyText"/>
      </w:pPr>
      <w:hyperlink r:id="rId29">
        <w:r>
          <w:rPr>
            <w:rStyle w:val="Hyperlink"/>
          </w:rPr>
          <w:t xml:space="preserve">[12]</w:t>
        </w:r>
      </w:hyperlink>
      <w:r>
        <w:t xml:space="preserve"> </w:t>
      </w:r>
      <w:hyperlink r:id="rId29">
        <w:r>
          <w:rPr>
            <w:rStyle w:val="Hyperlink"/>
          </w:rPr>
          <w:t xml:space="preserve">[26]</w:t>
        </w:r>
      </w:hyperlink>
      <w:r>
        <w:t xml:space="preserve"> </w:t>
      </w:r>
      <w:hyperlink r:id="rId29">
        <w:r>
          <w:rPr>
            <w:rStyle w:val="Hyperlink"/>
          </w:rPr>
          <w:t xml:space="preserve">[58]</w:t>
        </w:r>
      </w:hyperlink>
      <w:r>
        <w:t xml:space="preserve"> </w:t>
      </w:r>
      <w:r>
        <w:t xml:space="preserve">https://www.researchgate.net/publication/221862971_Health_economics_and_outcomes_research_within_drug_development_Challenges_and_opportunities_for_reimbursement_and_market_access_within_biopharma_research</w:t>
      </w:r>
    </w:p>
    <w:p>
      <w:pPr>
        <w:pStyle w:val="BodyText"/>
      </w:pPr>
      <w:hyperlink r:id="rId29">
        <w:r>
          <w:rPr>
            <w:rStyle w:val="Hyperlink"/>
          </w:rPr>
          <w:t xml:space="preserve">https://www.researchgate.net/publication/221862971_Health_economics_and_outcomes_research_within_drug_development_Challenges_and_opportunities_for_reimbursement_and_market_access_within_biopharma_research</w:t>
        </w:r>
      </w:hyperlink>
    </w:p>
    <w:p>
      <w:pPr>
        <w:pStyle w:val="BodyText"/>
      </w:pPr>
      <w:hyperlink r:id="rId31">
        <w:r>
          <w:rPr>
            <w:rStyle w:val="Hyperlink"/>
          </w:rPr>
          <w:t xml:space="preserve">[18]</w:t>
        </w:r>
      </w:hyperlink>
      <w:r>
        <w:t xml:space="preserve"> </w:t>
      </w:r>
      <w:hyperlink r:id="rId31">
        <w:r>
          <w:rPr>
            <w:rStyle w:val="Hyperlink"/>
          </w:rPr>
          <w:t xml:space="preserve">[35]</w:t>
        </w:r>
      </w:hyperlink>
      <w:r>
        <w:t xml:space="preserve"> </w:t>
      </w:r>
      <w:r>
        <w:t xml:space="preserve">https://www.mckinsey.com/industries/life-sciences/our-insights/integrated-evidence-generation-a-paradigm-shift-in-biopharma</w:t>
      </w:r>
    </w:p>
    <w:p>
      <w:pPr>
        <w:pStyle w:val="BodyText"/>
      </w:pPr>
      <w:hyperlink r:id="rId31">
        <w:r>
          <w:rPr>
            <w:rStyle w:val="Hyperlink"/>
          </w:rPr>
          <w:t xml:space="preserve">https://www.mckinsey.com/industries/life-sciences/our-insights/integrated-evidence-generation-a-paradigm-shift-in-biopharma</w:t>
        </w:r>
      </w:hyperlink>
    </w:p>
    <w:p>
      <w:pPr>
        <w:pStyle w:val="BodyText"/>
      </w:pPr>
      <w:hyperlink r:id="rId32">
        <w:r>
          <w:rPr>
            <w:rStyle w:val="Hyperlink"/>
          </w:rPr>
          <w:t xml:space="preserve">[19]</w:t>
        </w:r>
      </w:hyperlink>
      <w:r>
        <w:t xml:space="preserve"> </w:t>
      </w:r>
      <w:r>
        <w:t xml:space="preserve">https://www.mckinsey.com/industries/life-sciences/our-insights/a-vision-for-medical-affairs-2030-five-priorities-for-patient-impact</w:t>
      </w:r>
    </w:p>
    <w:p>
      <w:pPr>
        <w:pStyle w:val="BodyText"/>
      </w:pPr>
      <w:hyperlink r:id="rId32">
        <w:r>
          <w:rPr>
            <w:rStyle w:val="Hyperlink"/>
          </w:rPr>
          <w:t xml:space="preserve">https://www.mckinsey.com/industries/life-sciences/our-insights/a-vision-for-medical-affairs-2030-five-priorities-for-patient-impact</w:t>
        </w:r>
      </w:hyperlink>
    </w:p>
    <w:p>
      <w:pPr>
        <w:pStyle w:val="BodyText"/>
      </w:pPr>
      <w:hyperlink r:id="rId34">
        <w:r>
          <w:rPr>
            <w:rStyle w:val="Hyperlink"/>
          </w:rPr>
          <w:t xml:space="preserve">[28]</w:t>
        </w:r>
      </w:hyperlink>
      <w:r>
        <w:t xml:space="preserve"> </w:t>
      </w:r>
      <w:r>
        <w:t xml:space="preserve">https://www.nice.org.uk/corporate/ecd9</w:t>
      </w:r>
    </w:p>
    <w:p>
      <w:pPr>
        <w:pStyle w:val="BodyText"/>
      </w:pPr>
      <w:hyperlink r:id="rId34">
        <w:r>
          <w:rPr>
            <w:rStyle w:val="Hyperlink"/>
          </w:rPr>
          <w:t xml:space="preserve">https://www.nice.org.uk/corporate/ecd9</w:t>
        </w:r>
      </w:hyperlink>
    </w:p>
    <w:p>
      <w:pPr>
        <w:pStyle w:val="BodyText"/>
      </w:pPr>
      <w:hyperlink r:id="rId35">
        <w:r>
          <w:rPr>
            <w:rStyle w:val="Hyperlink"/>
          </w:rPr>
          <w:t xml:space="preserve">[29]</w:t>
        </w:r>
      </w:hyperlink>
      <w:r>
        <w:t xml:space="preserve"> </w:t>
      </w:r>
      <w:r>
        <w:t xml:space="preserve">https://www.fda.gov/regulatory-information/search-fda-guidance-documents/real-world-data-assessing-electronic-health-records-and-medical-claims-data-support-regulatory</w:t>
      </w:r>
    </w:p>
    <w:p>
      <w:pPr>
        <w:pStyle w:val="BodyText"/>
      </w:pPr>
      <w:hyperlink r:id="rId35">
        <w:r>
          <w:rPr>
            <w:rStyle w:val="Hyperlink"/>
          </w:rPr>
          <w:t xml:space="preserve">https://www.fda.gov/regulatory-information/search-fda-guidance-documents/real-world-data-assessing-electronic-health-records-and-medical-claims-data-support-regulatory</w:t>
        </w:r>
      </w:hyperlink>
    </w:p>
    <w:p>
      <w:pPr>
        <w:pStyle w:val="BodyText"/>
      </w:pPr>
      <w:hyperlink r:id="rId36">
        <w:r>
          <w:rPr>
            <w:rStyle w:val="Hyperlink"/>
          </w:rPr>
          <w:t xml:space="preserve">[30]</w:t>
        </w:r>
      </w:hyperlink>
      <w:r>
        <w:t xml:space="preserve"> </w:t>
      </w:r>
      <w:r>
        <w:t xml:space="preserve">https://www.ema.europa.eu/en/news/vision-use-real-world-evidence-eu-medicines-regulation</w:t>
      </w:r>
    </w:p>
    <w:p>
      <w:pPr>
        <w:pStyle w:val="BodyText"/>
      </w:pPr>
      <w:hyperlink r:id="rId36">
        <w:r>
          <w:rPr>
            <w:rStyle w:val="Hyperlink"/>
          </w:rPr>
          <w:t xml:space="preserve">https://www.ema.europa.eu/en/news/vision-use-real-world-evidence-eu-medicines-regulation</w:t>
        </w:r>
      </w:hyperlink>
    </w:p>
    <w:p>
      <w:pPr>
        <w:pStyle w:val="BodyText"/>
      </w:pPr>
      <w:hyperlink r:id="rId37">
        <w:r>
          <w:rPr>
            <w:rStyle w:val="Hyperlink"/>
          </w:rPr>
          <w:t xml:space="preserve">[31]</w:t>
        </w:r>
      </w:hyperlink>
      <w:r>
        <w:t xml:space="preserve"> </w:t>
      </w:r>
      <w:r>
        <w:t xml:space="preserve">https://icer.org/our-approach/methods-process/value-assessment-framework/</w:t>
      </w:r>
    </w:p>
    <w:p>
      <w:pPr>
        <w:pStyle w:val="BodyText"/>
      </w:pPr>
      <w:hyperlink r:id="rId37">
        <w:r>
          <w:rPr>
            <w:rStyle w:val="Hyperlink"/>
          </w:rPr>
          <w:t xml:space="preserve">https://icer.org/our-approach/methods-process/value-assessment-framework/</w:t>
        </w:r>
      </w:hyperlink>
    </w:p>
    <w:p>
      <w:pPr>
        <w:pStyle w:val="BodyText"/>
      </w:pPr>
      <w:hyperlink r:id="rId38">
        <w:r>
          <w:rPr>
            <w:rStyle w:val="Hyperlink"/>
          </w:rPr>
          <w:t xml:space="preserve">[32]</w:t>
        </w:r>
      </w:hyperlink>
      <w:r>
        <w:t xml:space="preserve"> </w:t>
      </w:r>
      <w:r>
        <w:t xml:space="preserve">https://link.springer.com/article/10.1007/s40290-023-00501-y</w:t>
      </w:r>
    </w:p>
    <w:p>
      <w:pPr>
        <w:pStyle w:val="BodyText"/>
      </w:pPr>
      <w:hyperlink r:id="rId38">
        <w:r>
          <w:rPr>
            <w:rStyle w:val="Hyperlink"/>
          </w:rPr>
          <w:t xml:space="preserve">https://link.springer.com/article/10.1007/s40290-023-00501-y</w:t>
        </w:r>
      </w:hyperlink>
    </w:p>
    <w:p>
      <w:pPr>
        <w:pStyle w:val="BodyText"/>
      </w:pPr>
      <w:hyperlink r:id="rId39">
        <w:r>
          <w:rPr>
            <w:rStyle w:val="Hyperlink"/>
          </w:rPr>
          <w:t xml:space="preserve">[33]</w:t>
        </w:r>
      </w:hyperlink>
      <w:r>
        <w:t xml:space="preserve"> </w:t>
      </w:r>
      <w:r>
        <w:t xml:space="preserve">https://www.dovepress.com/evolving-role-of-pharmaceutical-physicians-in-medical-evidence-and-edu-peer-reviewed-fulltext-article-AMEP</w:t>
      </w:r>
    </w:p>
    <w:p>
      <w:pPr>
        <w:pStyle w:val="BodyText"/>
      </w:pPr>
      <w:hyperlink r:id="rId39">
        <w:r>
          <w:rPr>
            <w:rStyle w:val="Hyperlink"/>
          </w:rPr>
          <w:t xml:space="preserve">https://www.dovepress.com/evolving-role-of-pharmaceutical-physicians-in-medical-evidence-and-edu-peer-reviewed-fulltext-article-AMEP</w:t>
        </w:r>
      </w:hyperlink>
    </w:p>
    <w:p>
      <w:pPr>
        <w:pStyle w:val="BodyText"/>
      </w:pPr>
      <w:hyperlink r:id="rId40">
        <w:r>
          <w:rPr>
            <w:rStyle w:val="Hyperlink"/>
          </w:rPr>
          <w:t xml:space="preserve">[34]</w:t>
        </w:r>
      </w:hyperlink>
      <w:r>
        <w:t xml:space="preserve"> </w:t>
      </w:r>
      <w:r>
        <w:t xml:space="preserve">https://www.bain.com/insights/reinventing-the-role-of-medical-affairs/</w:t>
      </w:r>
    </w:p>
    <w:p>
      <w:pPr>
        <w:pStyle w:val="BodyText"/>
      </w:pPr>
      <w:hyperlink r:id="rId40">
        <w:r>
          <w:rPr>
            <w:rStyle w:val="Hyperlink"/>
          </w:rPr>
          <w:t xml:space="preserve">https://www.bain.com/insights/reinventing-the-role-of-medical-affairs/</w:t>
        </w:r>
      </w:hyperlink>
    </w:p>
    <w:p>
      <w:pPr>
        <w:pStyle w:val="BodyText"/>
      </w:pPr>
      <w:hyperlink r:id="rId41">
        <w:r>
          <w:rPr>
            <w:rStyle w:val="Hyperlink"/>
          </w:rPr>
          <w:t xml:space="preserve">[37]</w:t>
        </w:r>
      </w:hyperlink>
      <w:r>
        <w:t xml:space="preserve"> </w:t>
      </w:r>
      <w:r>
        <w:t xml:space="preserve">https://www.deloitte.com/us/en/services/consulting/articles/integrated-evidence-strategy-biopharma-industry.html</w:t>
      </w:r>
    </w:p>
    <w:p>
      <w:pPr>
        <w:pStyle w:val="BodyText"/>
      </w:pPr>
      <w:hyperlink r:id="rId41">
        <w:r>
          <w:rPr>
            <w:rStyle w:val="Hyperlink"/>
          </w:rPr>
          <w:t xml:space="preserve">https://www.deloitte.com/us/en/services/consulting/articles/integrated-evidence-strategy-biopharma-industry.html</w:t>
        </w:r>
      </w:hyperlink>
    </w:p>
    <w:p>
      <w:pPr>
        <w:pStyle w:val="BodyText"/>
      </w:pPr>
      <w:hyperlink r:id="rId42">
        <w:r>
          <w:rPr>
            <w:rStyle w:val="Hyperlink"/>
          </w:rPr>
          <w:t xml:space="preserve">[38]</w:t>
        </w:r>
      </w:hyperlink>
      <w:r>
        <w:t xml:space="preserve"> </w:t>
      </w:r>
      <w:r>
        <w:t xml:space="preserve">https://www.iqvia.com/-/media/iqvia/pdfs/library/white-papers/in-the-thick-of-it-medical-affairs-strategic-partner-to-other-functions.pdf</w:t>
      </w:r>
    </w:p>
    <w:p>
      <w:pPr>
        <w:pStyle w:val="BodyText"/>
      </w:pPr>
      <w:hyperlink r:id="rId42">
        <w:r>
          <w:rPr>
            <w:rStyle w:val="Hyperlink"/>
          </w:rPr>
          <w:t xml:space="preserve">https://www.iqvia.com/-/media/iqvia/pdfs/library/white-papers/in-the-thick-of-it-medical-affairs-strategic-partner-to-other-functions.pdf</w:t>
        </w:r>
      </w:hyperlink>
    </w:p>
    <w:p>
      <w:pPr>
        <w:pStyle w:val="BodyText"/>
      </w:pPr>
      <w:hyperlink r:id="rId43">
        <w:r>
          <w:rPr>
            <w:rStyle w:val="Hyperlink"/>
          </w:rPr>
          <w:t xml:space="preserve">[40]</w:t>
        </w:r>
      </w:hyperlink>
      <w:r>
        <w:t xml:space="preserve"> </w:t>
      </w:r>
      <w:hyperlink r:id="rId43">
        <w:r>
          <w:rPr>
            <w:rStyle w:val="Hyperlink"/>
          </w:rPr>
          <w:t xml:space="preserve">[55]</w:t>
        </w:r>
      </w:hyperlink>
      <w:r>
        <w:t xml:space="preserve"> </w:t>
      </w:r>
      <w:r>
        <w:t xml:space="preserve">https://link.springer.com/article/10.1007/s40290-025-00592-9</w:t>
      </w:r>
    </w:p>
    <w:p>
      <w:pPr>
        <w:pStyle w:val="BodyText"/>
      </w:pPr>
      <w:hyperlink r:id="rId43">
        <w:r>
          <w:rPr>
            <w:rStyle w:val="Hyperlink"/>
          </w:rPr>
          <w:t xml:space="preserve">https://link.springer.com/article/10.1007/s40290-025-00592-9</w:t>
        </w:r>
      </w:hyperlink>
    </w:p>
    <w:p>
      <w:pPr>
        <w:pStyle w:val="BodyText"/>
      </w:pPr>
      <w:hyperlink r:id="rId45">
        <w:r>
          <w:rPr>
            <w:rStyle w:val="Hyperlink"/>
          </w:rPr>
          <w:t xml:space="preserve">[42]</w:t>
        </w:r>
      </w:hyperlink>
      <w:r>
        <w:t xml:space="preserve"> </w:t>
      </w:r>
      <w:r>
        <w:t xml:space="preserve">https://www.ispor.org/publications/journals/value-outcomes-spotlight/vos-archives/issue/view/heor-innovation-and-impact/highlighting-heor-innovation-and-impact</w:t>
      </w:r>
    </w:p>
    <w:p>
      <w:pPr>
        <w:pStyle w:val="BodyText"/>
      </w:pPr>
      <w:hyperlink r:id="rId45">
        <w:r>
          <w:rPr>
            <w:rStyle w:val="Hyperlink"/>
          </w:rPr>
          <w:t xml:space="preserve">https://www.ispor.org/publications/journals/value-outcomes-spotlight/vos-archives/issue/view/heor-innovation-and-impact/highlighting-heor-innovation-and-impact</w:t>
        </w:r>
      </w:hyperlink>
    </w:p>
    <w:p>
      <w:pPr>
        <w:pStyle w:val="BodyText"/>
      </w:pPr>
      <w:hyperlink r:id="rId46">
        <w:r>
          <w:rPr>
            <w:rStyle w:val="Hyperlink"/>
          </w:rPr>
          <w:t xml:space="preserve">[43]</w:t>
        </w:r>
      </w:hyperlink>
      <w:r>
        <w:t xml:space="preserve"> </w:t>
      </w:r>
      <w:r>
        <w:t xml:space="preserve">https://www.ispor.org/docs/default-source/euro2024/roi-of-heor-session-at-ispor-europe-barcelona---whole-deck.pdf?sfvrsn=8598a6c9_0</w:t>
      </w:r>
    </w:p>
    <w:p>
      <w:pPr>
        <w:pStyle w:val="BodyText"/>
      </w:pPr>
      <w:hyperlink r:id="rId46">
        <w:r>
          <w:rPr>
            <w:rStyle w:val="Hyperlink"/>
          </w:rPr>
          <w:t xml:space="preserve">https://www.ispor.org/docs/default-source/euro2024/roi-of-heor-session-at-ispor-europe-barcelona---whole-deck.pdf?sfvrsn=8598a6c9_0</w:t>
        </w:r>
      </w:hyperlink>
    </w:p>
    <w:p>
      <w:pPr>
        <w:pStyle w:val="BodyText"/>
      </w:pPr>
      <w:hyperlink r:id="rId47">
        <w:r>
          <w:rPr>
            <w:rStyle w:val="Hyperlink"/>
          </w:rPr>
          <w:t xml:space="preserve">[45]</w:t>
        </w:r>
      </w:hyperlink>
      <w:r>
        <w:t xml:space="preserve"> </w:t>
      </w:r>
      <w:r>
        <w:t xml:space="preserve">https://www.pharmexec.com/view/heor-proving-product-value-proving-own-worth</w:t>
      </w:r>
    </w:p>
    <w:p>
      <w:pPr>
        <w:pStyle w:val="BodyText"/>
      </w:pPr>
      <w:hyperlink r:id="rId47">
        <w:r>
          <w:rPr>
            <w:rStyle w:val="Hyperlink"/>
          </w:rPr>
          <w:t xml:space="preserve">https://www.pharmexec.com/view/heor-proving-product-value-proving-own-worth</w:t>
        </w:r>
      </w:hyperlink>
    </w:p>
    <w:p>
      <w:pPr>
        <w:pStyle w:val="BodyText"/>
      </w:pPr>
      <w:hyperlink r:id="rId48">
        <w:r>
          <w:rPr>
            <w:rStyle w:val="Hyperlink"/>
          </w:rPr>
          <w:t xml:space="preserve">[48]</w:t>
        </w:r>
      </w:hyperlink>
      <w:r>
        <w:t xml:space="preserve"> </w:t>
      </w:r>
      <w:r>
        <w:t xml:space="preserve">https://www.linkedin.com/posts/rohit-borker-0a98058_rti-health-solutions-your-trusted-strategic-activity-7258196612735287296-iisN</w:t>
      </w:r>
    </w:p>
    <w:p>
      <w:pPr>
        <w:pStyle w:val="BodyText"/>
      </w:pPr>
      <w:hyperlink r:id="rId48">
        <w:r>
          <w:rPr>
            <w:rStyle w:val="Hyperlink"/>
          </w:rPr>
          <w:t xml:space="preserve">https://www.linkedin.com/posts/rohit-borker-0a98058_rti-health-solutions-your-trusted-strategic-activity-7258196612735287296-iisN</w:t>
        </w:r>
      </w:hyperlink>
    </w:p>
    <w:p>
      <w:pPr>
        <w:pStyle w:val="BodyText"/>
      </w:pPr>
      <w:hyperlink r:id="rId49">
        <w:r>
          <w:rPr>
            <w:rStyle w:val="Hyperlink"/>
          </w:rPr>
          <w:t xml:space="preserve">[51]</w:t>
        </w:r>
      </w:hyperlink>
      <w:r>
        <w:t xml:space="preserve"> </w:t>
      </w:r>
      <w:r>
        <w:t xml:space="preserve">https://www.russellreynolds.com/en/insights/articles/the-rise-of-the-chief-market-access-officer</w:t>
      </w:r>
    </w:p>
    <w:p>
      <w:pPr>
        <w:pStyle w:val="BodyText"/>
      </w:pPr>
      <w:hyperlink r:id="rId49">
        <w:r>
          <w:rPr>
            <w:rStyle w:val="Hyperlink"/>
          </w:rPr>
          <w:t xml:space="preserve">https://www.russellreynolds.com/en/insights/articles/the-rise-of-the-chief-market-access-officer</w:t>
        </w:r>
      </w:hyperlink>
    </w:p>
    <w:p>
      <w:pPr>
        <w:pStyle w:val="BodyText"/>
      </w:pPr>
      <w:hyperlink r:id="rId53">
        <w:r>
          <w:rPr>
            <w:rStyle w:val="Hyperlink"/>
          </w:rPr>
          <w:t xml:space="preserve">[56]</w:t>
        </w:r>
      </w:hyperlink>
      <w:r>
        <w:t xml:space="preserve"> </w:t>
      </w:r>
      <w:r>
        <w:t xml:space="preserve">https://www.mckinsey.com/~/media/mckinsey/industries/life%20sciences/our%20insights/a%20vision%20for%20medical%20affairs%20in%202025/a-vision-for-medical-affairs-in-2025.pdf</w:t>
      </w:r>
    </w:p>
    <w:p>
      <w:pPr>
        <w:pStyle w:val="BodyText"/>
      </w:pPr>
      <w:hyperlink r:id="rId53">
        <w:r>
          <w:rPr>
            <w:rStyle w:val="Hyperlink"/>
          </w:rPr>
          <w:t xml:space="preserve">https://www.mckinsey.com/~/media/mckinsey/industries/life%20sciences/our%20insights/a%20vision%20for%20medical%20affairs%20in%202025/a-vision-for-medical-affairs-in-2025.pdf</w:t>
        </w:r>
      </w:hyperlink>
    </w:p>
    <w:p>
      <w:pPr>
        <w:pStyle w:val="BodyText"/>
      </w:pPr>
      <w:hyperlink r:id="rId54">
        <w:r>
          <w:rPr>
            <w:rStyle w:val="Hyperlink"/>
          </w:rPr>
          <w:t xml:space="preserve">[57]</w:t>
        </w:r>
      </w:hyperlink>
      <w:r>
        <w:t xml:space="preserve"> </w:t>
      </w:r>
      <w:r>
        <w:t xml:space="preserve">https://www.zs.com/insights/best-practices-integrated-evidence-planning-and-generation</w:t>
      </w:r>
    </w:p>
    <w:p>
      <w:pPr>
        <w:pStyle w:val="BodyText"/>
      </w:pPr>
      <w:hyperlink r:id="rId54">
        <w:r>
          <w:rPr>
            <w:rStyle w:val="Hyperlink"/>
          </w:rPr>
          <w:t xml:space="preserve">https://www.zs.com/insights/best-practices-integrated-evidence-planning-and-generation</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evr.tuftsmedicalcenter.org/news/heor-leaders-survey-1-trends" TargetMode="External" /><Relationship Type="http://schemas.openxmlformats.org/officeDocument/2006/relationships/hyperlink" Id="rId23" Target="https://curta.com/curta-on-call/what-does-this-all-mean-for-those-of-us-in-heor/" TargetMode="External" /><Relationship Type="http://schemas.openxmlformats.org/officeDocument/2006/relationships/hyperlink" Id="rId37" Target="https://icer.org/our-approach/methods-process/value-assessment-framework/" TargetMode="External" /><Relationship Type="http://schemas.openxmlformats.org/officeDocument/2006/relationships/hyperlink" Id="rId38" Target="https://link.springer.com/article/10.1007/s40290-023-00501-y" TargetMode="External" /><Relationship Type="http://schemas.openxmlformats.org/officeDocument/2006/relationships/hyperlink" Id="rId24" Target="https://link.springer.com/article/10.1007/s40290-024-00542-x" TargetMode="External" /><Relationship Type="http://schemas.openxmlformats.org/officeDocument/2006/relationships/hyperlink" Id="rId43" Target="https://link.springer.com/article/10.1007/s40290-025-00592-9" TargetMode="External" /><Relationship Type="http://schemas.openxmlformats.org/officeDocument/2006/relationships/hyperlink" Id="rId27" Target="https://www.ahdbonline.com/issues/2012/november-december-2012-vol-5-no-7/feature-1214" TargetMode="External" /><Relationship Type="http://schemas.openxmlformats.org/officeDocument/2006/relationships/hyperlink" Id="rId21" Target="https://www.alkemihealth.com/blog/global-health-economics-and-outcomes-research-heor-market-research-report-and-forecast" TargetMode="External" /><Relationship Type="http://schemas.openxmlformats.org/officeDocument/2006/relationships/hyperlink" Id="rId26" Target="https://www.amcp.org/sites/default/files/2024-04/AMCP-Format-5.0-JMCP-web_0.pdf" TargetMode="External" /><Relationship Type="http://schemas.openxmlformats.org/officeDocument/2006/relationships/hyperlink" Id="rId40" Target="https://www.bain.com/insights/reinventing-the-role-of-medical-affairs/" TargetMode="External" /><Relationship Type="http://schemas.openxmlformats.org/officeDocument/2006/relationships/hyperlink" Id="rId25" Target="https://www.deloitte.com/us/en/insights/industry/health-care/real-world-evidence-study.html" TargetMode="External" /><Relationship Type="http://schemas.openxmlformats.org/officeDocument/2006/relationships/hyperlink" Id="rId41" Target="https://www.deloitte.com/us/en/services/consulting/articles/integrated-evidence-strategy-biopharma-industry.html" TargetMode="External" /><Relationship Type="http://schemas.openxmlformats.org/officeDocument/2006/relationships/hyperlink" Id="rId39" Target="https://www.dovepress.com/evolving-role-of-pharmaceutical-physicians-in-medical-evidence-and-edu-peer-reviewed-fulltext-article-AMEP" TargetMode="External" /><Relationship Type="http://schemas.openxmlformats.org/officeDocument/2006/relationships/hyperlink" Id="rId36" Target="https://www.ema.europa.eu/en/news/vision-use-real-world-evidence-eu-medicines-regulation" TargetMode="External" /><Relationship Type="http://schemas.openxmlformats.org/officeDocument/2006/relationships/hyperlink" Id="rId35" Target="https://www.fda.gov/regulatory-information/search-fda-guidance-documents/real-world-data-assessing-electronic-health-records-and-medical-claims-data-support-regulatory" TargetMode="External" /><Relationship Type="http://schemas.openxmlformats.org/officeDocument/2006/relationships/hyperlink" Id="rId42" Target="https://www.iqvia.com/-/media/iqvia/pdfs/library/white-papers/in-the-thick-of-it-medical-affairs-strategic-partner-to-other-functions.pdf" TargetMode="External" /><Relationship Type="http://schemas.openxmlformats.org/officeDocument/2006/relationships/hyperlink" Id="rId46" Target="https://www.ispor.org/docs/default-source/euro2024/roi-of-heor-session-at-ispor-europe-barcelona---whole-deck.pdf?sfvrsn=8598a6c9_0" TargetMode="External" /><Relationship Type="http://schemas.openxmlformats.org/officeDocument/2006/relationships/hyperlink" Id="rId45" Target="https://www.ispor.org/publications/journals/value-outcomes-spotlight/vos-archives/issue/view/heor-innovation-and-impact/highlighting-heor-innovation-and-impact" TargetMode="External" /><Relationship Type="http://schemas.openxmlformats.org/officeDocument/2006/relationships/hyperlink" Id="rId48" Target="https://www.linkedin.com/posts/rohit-borker-0a98058_rti-health-solutions-your-trusted-strategic-activity-7258196612735287296-iisN" TargetMode="External" /><Relationship Type="http://schemas.openxmlformats.org/officeDocument/2006/relationships/hyperlink" Id="rId32" Target="https://www.mckinsey.com/industries/life-sciences/our-insights/a-vision-for-medical-affairs-2030-five-priorities-for-patient-impact" TargetMode="External" /><Relationship Type="http://schemas.openxmlformats.org/officeDocument/2006/relationships/hyperlink" Id="rId31" Target="https://www.mckinsey.com/industries/life-sciences/our-insights/integrated-evidence-generation-a-paradigm-shift-in-biopharma" TargetMode="External" /><Relationship Type="http://schemas.openxmlformats.org/officeDocument/2006/relationships/hyperlink" Id="rId53" Target="https://www.mckinsey.com/~/media/mckinsey/industries/life%20sciences/our%20insights/a%20vision%20for%20medical%20affairs%20in%202025/a-vision-for-medical-affairs-in-2025.pdf" TargetMode="External" /><Relationship Type="http://schemas.openxmlformats.org/officeDocument/2006/relationships/hyperlink" Id="rId34" Target="https://www.nice.org.uk/corporate/ecd9" TargetMode="External" /><Relationship Type="http://schemas.openxmlformats.org/officeDocument/2006/relationships/hyperlink" Id="rId47" Target="https://www.pharmexec.com/view/heor-proving-product-value-proving-own-worth" TargetMode="External" /><Relationship Type="http://schemas.openxmlformats.org/officeDocument/2006/relationships/hyperlink" Id="rId28" Target="https://www.pharmexec.com/view/market-access-being-becoming-0" TargetMode="External" /><Relationship Type="http://schemas.openxmlformats.org/officeDocument/2006/relationships/hyperlink" Id="rId29" Target="https://www.researchgate.net/publication/221862971_Health_economics_and_outcomes_research_within_drug_development_Challenges_and_opportunities_for_reimbursement_and_market_access_within_biopharma_research" TargetMode="External" /><Relationship Type="http://schemas.openxmlformats.org/officeDocument/2006/relationships/hyperlink" Id="rId49" Target="https://www.russellreynolds.com/en/insights/articles/the-rise-of-the-chief-market-access-officer" TargetMode="External" /><Relationship Type="http://schemas.openxmlformats.org/officeDocument/2006/relationships/hyperlink" Id="rId54" Target="https://www.zs.com/insights/best-practices-integrated-evidence-planning-and-generation" TargetMode="External" /></Relationships>
</file>

<file path=word/_rels/footnotes.xml.rels><?xml version="1.0" encoding="UTF-8"?><Relationships xmlns="http://schemas.openxmlformats.org/package/2006/relationships"><Relationship Type="http://schemas.openxmlformats.org/officeDocument/2006/relationships/hyperlink" Id="rId22" Target="https://cevr.tuftsmedicalcenter.org/news/heor-leaders-survey-1-trends" TargetMode="External" /><Relationship Type="http://schemas.openxmlformats.org/officeDocument/2006/relationships/hyperlink" Id="rId23" Target="https://curta.com/curta-on-call/what-does-this-all-mean-for-those-of-us-in-heor/" TargetMode="External" /><Relationship Type="http://schemas.openxmlformats.org/officeDocument/2006/relationships/hyperlink" Id="rId37" Target="https://icer.org/our-approach/methods-process/value-assessment-framework/" TargetMode="External" /><Relationship Type="http://schemas.openxmlformats.org/officeDocument/2006/relationships/hyperlink" Id="rId38" Target="https://link.springer.com/article/10.1007/s40290-023-00501-y" TargetMode="External" /><Relationship Type="http://schemas.openxmlformats.org/officeDocument/2006/relationships/hyperlink" Id="rId24" Target="https://link.springer.com/article/10.1007/s40290-024-00542-x" TargetMode="External" /><Relationship Type="http://schemas.openxmlformats.org/officeDocument/2006/relationships/hyperlink" Id="rId43" Target="https://link.springer.com/article/10.1007/s40290-025-00592-9" TargetMode="External" /><Relationship Type="http://schemas.openxmlformats.org/officeDocument/2006/relationships/hyperlink" Id="rId27" Target="https://www.ahdbonline.com/issues/2012/november-december-2012-vol-5-no-7/feature-1214" TargetMode="External" /><Relationship Type="http://schemas.openxmlformats.org/officeDocument/2006/relationships/hyperlink" Id="rId21" Target="https://www.alkemihealth.com/blog/global-health-economics-and-outcomes-research-heor-market-research-report-and-forecast" TargetMode="External" /><Relationship Type="http://schemas.openxmlformats.org/officeDocument/2006/relationships/hyperlink" Id="rId26" Target="https://www.amcp.org/sites/default/files/2024-04/AMCP-Format-5.0-JMCP-web_0.pdf" TargetMode="External" /><Relationship Type="http://schemas.openxmlformats.org/officeDocument/2006/relationships/hyperlink" Id="rId40" Target="https://www.bain.com/insights/reinventing-the-role-of-medical-affairs/" TargetMode="External" /><Relationship Type="http://schemas.openxmlformats.org/officeDocument/2006/relationships/hyperlink" Id="rId25" Target="https://www.deloitte.com/us/en/insights/industry/health-care/real-world-evidence-study.html" TargetMode="External" /><Relationship Type="http://schemas.openxmlformats.org/officeDocument/2006/relationships/hyperlink" Id="rId41" Target="https://www.deloitte.com/us/en/services/consulting/articles/integrated-evidence-strategy-biopharma-industry.html" TargetMode="External" /><Relationship Type="http://schemas.openxmlformats.org/officeDocument/2006/relationships/hyperlink" Id="rId39" Target="https://www.dovepress.com/evolving-role-of-pharmaceutical-physicians-in-medical-evidence-and-edu-peer-reviewed-fulltext-article-AMEP" TargetMode="External" /><Relationship Type="http://schemas.openxmlformats.org/officeDocument/2006/relationships/hyperlink" Id="rId36" Target="https://www.ema.europa.eu/en/news/vision-use-real-world-evidence-eu-medicines-regulation" TargetMode="External" /><Relationship Type="http://schemas.openxmlformats.org/officeDocument/2006/relationships/hyperlink" Id="rId35" Target="https://www.fda.gov/regulatory-information/search-fda-guidance-documents/real-world-data-assessing-electronic-health-records-and-medical-claims-data-support-regulatory" TargetMode="External" /><Relationship Type="http://schemas.openxmlformats.org/officeDocument/2006/relationships/hyperlink" Id="rId42" Target="https://www.iqvia.com/-/media/iqvia/pdfs/library/white-papers/in-the-thick-of-it-medical-affairs-strategic-partner-to-other-functions.pdf" TargetMode="External" /><Relationship Type="http://schemas.openxmlformats.org/officeDocument/2006/relationships/hyperlink" Id="rId46" Target="https://www.ispor.org/docs/default-source/euro2024/roi-of-heor-session-at-ispor-europe-barcelona---whole-deck.pdf?sfvrsn=8598a6c9_0" TargetMode="External" /><Relationship Type="http://schemas.openxmlformats.org/officeDocument/2006/relationships/hyperlink" Id="rId45" Target="https://www.ispor.org/publications/journals/value-outcomes-spotlight/vos-archives/issue/view/heor-innovation-and-impact/highlighting-heor-innovation-and-impact" TargetMode="External" /><Relationship Type="http://schemas.openxmlformats.org/officeDocument/2006/relationships/hyperlink" Id="rId48" Target="https://www.linkedin.com/posts/rohit-borker-0a98058_rti-health-solutions-your-trusted-strategic-activity-7258196612735287296-iisN" TargetMode="External" /><Relationship Type="http://schemas.openxmlformats.org/officeDocument/2006/relationships/hyperlink" Id="rId32" Target="https://www.mckinsey.com/industries/life-sciences/our-insights/a-vision-for-medical-affairs-2030-five-priorities-for-patient-impact" TargetMode="External" /><Relationship Type="http://schemas.openxmlformats.org/officeDocument/2006/relationships/hyperlink" Id="rId31" Target="https://www.mckinsey.com/industries/life-sciences/our-insights/integrated-evidence-generation-a-paradigm-shift-in-biopharma" TargetMode="External" /><Relationship Type="http://schemas.openxmlformats.org/officeDocument/2006/relationships/hyperlink" Id="rId53" Target="https://www.mckinsey.com/~/media/mckinsey/industries/life%20sciences/our%20insights/a%20vision%20for%20medical%20affairs%20in%202025/a-vision-for-medical-affairs-in-2025.pdf" TargetMode="External" /><Relationship Type="http://schemas.openxmlformats.org/officeDocument/2006/relationships/hyperlink" Id="rId34" Target="https://www.nice.org.uk/corporate/ecd9" TargetMode="External" /><Relationship Type="http://schemas.openxmlformats.org/officeDocument/2006/relationships/hyperlink" Id="rId47" Target="https://www.pharmexec.com/view/heor-proving-product-value-proving-own-worth" TargetMode="External" /><Relationship Type="http://schemas.openxmlformats.org/officeDocument/2006/relationships/hyperlink" Id="rId28" Target="https://www.pharmexec.com/view/market-access-being-becoming-0" TargetMode="External" /><Relationship Type="http://schemas.openxmlformats.org/officeDocument/2006/relationships/hyperlink" Id="rId29" Target="https://www.researchgate.net/publication/221862971_Health_economics_and_outcomes_research_within_drug_development_Challenges_and_opportunities_for_reimbursement_and_market_access_within_biopharma_research" TargetMode="External" /><Relationship Type="http://schemas.openxmlformats.org/officeDocument/2006/relationships/hyperlink" Id="rId49" Target="https://www.russellreynolds.com/en/insights/articles/the-rise-of-the-chief-market-access-officer" TargetMode="External" /><Relationship Type="http://schemas.openxmlformats.org/officeDocument/2006/relationships/hyperlink" Id="rId54" Target="https://www.zs.com/insights/best-practices-integrated-evidence-planning-and-gene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2026-05-05T01:30:53Z</dcterms:created>
  <dcterms:modified xsi:type="dcterms:W3CDTF">2026-05-05T01:30:53Z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