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X1c53340109b3d5c8ae7417f1a9030cd40cd0c69"/>
    <w:p>
      <w:pPr>
        <w:pStyle w:val="Heading1"/>
      </w:pPr>
      <w:r>
        <w:t xml:space="preserve">Systematic Reviews of Treatments for Idiopathic Hypersomnia</w:t>
      </w:r>
    </w:p>
    <w:bookmarkStart w:id="24" w:name="executive-summary"/>
    <w:p>
      <w:pPr>
        <w:pStyle w:val="Heading2"/>
      </w:pPr>
      <w:r>
        <w:t xml:space="preserve">Executive summary</w:t>
      </w:r>
    </w:p>
    <w:p>
      <w:pPr>
        <w:pStyle w:val="FirstParagraph"/>
      </w:pPr>
      <w:r>
        <w:t xml:space="preserve">This search found</w:t>
      </w:r>
      <w:r>
        <w:t xml:space="preserve"> </w:t>
      </w:r>
      <w:r>
        <w:rPr>
          <w:b/>
          <w:bCs/>
        </w:rPr>
        <w:t xml:space="preserve">three core treatment-focused systematic reviews</w:t>
      </w:r>
      <w:r>
        <w:t xml:space="preserve"> </w:t>
      </w:r>
      <w:r>
        <w:t xml:space="preserve">for idiopathic hypersomnia, plus</w:t>
      </w:r>
      <w:r>
        <w:t xml:space="preserve"> </w:t>
      </w:r>
      <w:r>
        <w:rPr>
          <w:b/>
          <w:bCs/>
        </w:rPr>
        <w:t xml:space="preserve">two adjacent systematic reviews</w:t>
      </w:r>
      <w:r>
        <w:t xml:space="preserve"> </w:t>
      </w:r>
      <w:r>
        <w:t xml:space="preserve">that are not treatment-efficacy reviews but are directly relevant to quality of life, healthcare resource utilization, and costs. The core treatment reviews are:</w:t>
      </w:r>
      <w:r>
        <w:t xml:space="preserve"> </w:t>
      </w:r>
      <w:r>
        <w:rPr>
          <w:b/>
          <w:bCs/>
        </w:rPr>
        <w:t xml:space="preserve">Sowa 2016</w:t>
      </w:r>
      <w:r>
        <w:t xml:space="preserve">,</w:t>
      </w:r>
      <w:r>
        <w:t xml:space="preserve"> </w:t>
      </w:r>
      <w:r>
        <w:rPr>
          <w:b/>
          <w:bCs/>
        </w:rPr>
        <w:t xml:space="preserve">Trotti et al. Cochrane 2021</w:t>
      </w:r>
      <w:r>
        <w:t xml:space="preserve">, and</w:t>
      </w:r>
      <w:r>
        <w:t xml:space="preserve"> </w:t>
      </w:r>
      <w:r>
        <w:rPr>
          <w:b/>
          <w:bCs/>
        </w:rPr>
        <w:t xml:space="preserve">Maski et al. AASM 2021</w:t>
      </w:r>
      <w:r>
        <w:t xml:space="preserve">. The adjacent reviews are</w:t>
      </w:r>
      <w:r>
        <w:t xml:space="preserve"> </w:t>
      </w:r>
      <w:r>
        <w:rPr>
          <w:b/>
          <w:bCs/>
        </w:rPr>
        <w:t xml:space="preserve">Boulanger et al. 2024</w:t>
      </w:r>
      <w:r>
        <w:t xml:space="preserve"> </w:t>
      </w:r>
      <w:r>
        <w:t xml:space="preserve">on diagnostic and burden evidence in IH, and</w:t>
      </w:r>
      <w:r>
        <w:t xml:space="preserve"> </w:t>
      </w:r>
      <w:r>
        <w:rPr>
          <w:b/>
          <w:bCs/>
        </w:rPr>
        <w:t xml:space="preserve">Le et al. 2026</w:t>
      </w:r>
      <w:r>
        <w:t xml:space="preserve"> </w:t>
      </w:r>
      <w:r>
        <w:t xml:space="preserve">on economic evaluations for insomnia or hypersomnia interventions. A 2017 version of the Cochrane review exists, but it is superseded by the 2021 update and should not be used as the current evidence summary.</w:t>
      </w:r>
      <w:r>
        <w:t xml:space="preserve"> </w:t>
      </w:r>
      <w:hyperlink r:id="rId21">
        <w:r>
          <w:rPr>
            <w:rStyle w:val="Hyperlink"/>
          </w:rPr>
          <w:t xml:space="preserve">[1]</w:t>
        </w:r>
      </w:hyperlink>
    </w:p>
    <w:p>
      <w:pPr>
        <w:pStyle w:val="BodyText"/>
      </w:pPr>
      <w:r>
        <w:t xml:space="preserve">Across the treatment-review corpus,</w:t>
      </w:r>
      <w:r>
        <w:t xml:space="preserve"> </w:t>
      </w:r>
      <w:r>
        <w:rPr>
          <w:b/>
          <w:bCs/>
        </w:rPr>
        <w:t xml:space="preserve">modafinil has the strongest pre-2022 evidence base</w:t>
      </w:r>
      <w:r>
        <w:t xml:space="preserve">. The 2021 Cochrane review found that modafinil improved Epworth Sleepiness Scale scores by about</w:t>
      </w:r>
      <w:r>
        <w:t xml:space="preserve"> </w:t>
      </w:r>
      <w:r>
        <w:rPr>
          <w:b/>
          <w:bCs/>
        </w:rPr>
        <w:t xml:space="preserve">5.1 points</w:t>
      </w:r>
      <w:r>
        <w:t xml:space="preserve"> </w:t>
      </w:r>
      <w:r>
        <w:t xml:space="preserve">more than placebo and improved Maintenance of Wakefulness Test latency by about</w:t>
      </w:r>
      <w:r>
        <w:t xml:space="preserve"> </w:t>
      </w:r>
      <w:r>
        <w:rPr>
          <w:b/>
          <w:bCs/>
        </w:rPr>
        <w:t xml:space="preserve">4.7 minutes</w:t>
      </w:r>
      <w:r>
        <w:t xml:space="preserve">, based mainly on adults with IH</w:t>
      </w:r>
      <w:r>
        <w:t xml:space="preserve"> </w:t>
      </w:r>
      <w:r>
        <w:rPr>
          <w:b/>
          <w:bCs/>
        </w:rPr>
        <w:t xml:space="preserve">without long sleep time</w:t>
      </w:r>
      <w:r>
        <w:t xml:space="preserve">. The 2021 companion review from the American Academy of Sleep Medicine</w:t>
      </w:r>
      <w:hyperlink r:id="rId22">
        <w:r>
          <w:rPr>
            <w:rStyle w:val="Hyperlink"/>
          </w:rPr>
          <w:t xml:space="preserve">[2]</w:t>
        </w:r>
      </w:hyperlink>
      <w:r>
        <w:t xml:space="preserve"> </w:t>
      </w:r>
      <w:r>
        <w:t xml:space="preserve">then made a</w:t>
      </w:r>
      <w:r>
        <w:t xml:space="preserve"> </w:t>
      </w:r>
      <w:r>
        <w:rPr>
          <w:b/>
          <w:bCs/>
        </w:rPr>
        <w:t xml:space="preserve">strong recommendation</w:t>
      </w:r>
      <w:r>
        <w:t xml:space="preserve"> </w:t>
      </w:r>
      <w:r>
        <w:t xml:space="preserve">for modafinil, while clarithromycin, methylphenidate, pitolisant, and sodium oxybate received only</w:t>
      </w:r>
      <w:r>
        <w:t xml:space="preserve"> </w:t>
      </w:r>
      <w:r>
        <w:rPr>
          <w:b/>
          <w:bCs/>
        </w:rPr>
        <w:t xml:space="preserve">conditional</w:t>
      </w:r>
      <w:r>
        <w:t xml:space="preserve"> </w:t>
      </w:r>
      <w:r>
        <w:t xml:space="preserve">recommendations because their evidence was much thinner and mostly observational.</w:t>
      </w:r>
      <w:r>
        <w:t xml:space="preserve"> </w:t>
      </w:r>
      <w:hyperlink r:id="rId23">
        <w:r>
          <w:rPr>
            <w:rStyle w:val="Hyperlink"/>
          </w:rPr>
          <w:t xml:space="preserve">[3]</w:t>
        </w:r>
      </w:hyperlink>
    </w:p>
    <w:p>
      <w:pPr>
        <w:pStyle w:val="BodyText"/>
      </w:pPr>
      <w:r>
        <w:t xml:space="preserve">The review literature is</w:t>
      </w:r>
      <w:r>
        <w:t xml:space="preserve"> </w:t>
      </w:r>
      <w:r>
        <w:rPr>
          <w:b/>
          <w:bCs/>
        </w:rPr>
        <w:t xml:space="preserve">weak on patient experience and quality of life</w:t>
      </w:r>
      <w:r>
        <w:t xml:space="preserve">, and</w:t>
      </w:r>
      <w:r>
        <w:t xml:space="preserve"> </w:t>
      </w:r>
      <w:r>
        <w:rPr>
          <w:b/>
          <w:bCs/>
        </w:rPr>
        <w:t xml:space="preserve">essentially absent on treatment-related utilization and cost</w:t>
      </w:r>
      <w:r>
        <w:t xml:space="preserve">. Cochrane prespecified quality of life as an outcome, but only limited data were available; the AASM guideline summary indicates clinically significant quality-of-life improvement only for clarithromycin, and it explicitly notes that work or school attendance and accident-risk data were unavailable. The 2026 economic review found</w:t>
      </w:r>
      <w:r>
        <w:t xml:space="preserve"> </w:t>
      </w:r>
      <w:r>
        <w:rPr>
          <w:b/>
          <w:bCs/>
        </w:rPr>
        <w:t xml:space="preserve">no economic evaluations of hypersomnia treatments at all</w:t>
      </w:r>
      <w:r>
        <w:t xml:space="preserve">, meaning there is still no systematic review evidence base for the cost-effectiveness of IH treatment.</w:t>
      </w:r>
      <w:r>
        <w:t xml:space="preserve"> </w:t>
      </w:r>
      <w:hyperlink r:id="rId23">
        <w:r>
          <w:rPr>
            <w:rStyle w:val="Hyperlink"/>
          </w:rPr>
          <w:t xml:space="preserve">[4]</w:t>
        </w:r>
      </w:hyperlink>
    </w:p>
    <w:p>
      <w:pPr>
        <w:pStyle w:val="BodyText"/>
      </w:pPr>
      <w:r>
        <w:t xml:space="preserve">The practical problem is that the core treatment reviews are now</w:t>
      </w:r>
      <w:r>
        <w:t xml:space="preserve"> </w:t>
      </w:r>
      <w:r>
        <w:rPr>
          <w:b/>
          <w:bCs/>
        </w:rPr>
        <w:t xml:space="preserve">out of date for current therapy decisions</w:t>
      </w:r>
      <w:r>
        <w:t xml:space="preserve">. Since those reviews, major new IH treatment studies have appeared for</w:t>
      </w:r>
      <w:r>
        <w:t xml:space="preserve"> </w:t>
      </w:r>
      <w:r>
        <w:rPr>
          <w:b/>
          <w:bCs/>
        </w:rPr>
        <w:t xml:space="preserve">lower-sodium oxybate</w:t>
      </w:r>
      <w:r>
        <w:t xml:space="preserve">,</w:t>
      </w:r>
      <w:r>
        <w:t xml:space="preserve"> </w:t>
      </w:r>
      <w:r>
        <w:rPr>
          <w:b/>
          <w:bCs/>
        </w:rPr>
        <w:t xml:space="preserve">sodium oxybate</w:t>
      </w:r>
      <w:r>
        <w:t xml:space="preserve">, and</w:t>
      </w:r>
      <w:r>
        <w:t xml:space="preserve"> </w:t>
      </w:r>
      <w:r>
        <w:rPr>
          <w:b/>
          <w:bCs/>
        </w:rPr>
        <w:t xml:space="preserve">modafinil versus amphetamine-dextroamphetamine</w:t>
      </w:r>
      <w:r>
        <w:t xml:space="preserve">, with additional open-label and extension data showing improvements in functioning, work productivity, and symptom severity. None of that newer evidence is synthesized in a current dedicated systematic review of IH treatment.</w:t>
      </w:r>
      <w:r>
        <w:t xml:space="preserve"> </w:t>
      </w:r>
      <w:hyperlink r:id="rId22">
        <w:r>
          <w:rPr>
            <w:rStyle w:val="Hyperlink"/>
          </w:rPr>
          <w:t xml:space="preserve">[5]</w:t>
        </w:r>
      </w:hyperlink>
    </w:p>
    <w:bookmarkEnd w:id="24"/>
    <w:bookmarkStart w:id="31" w:name="evidence-base"/>
    <w:p>
      <w:pPr>
        <w:pStyle w:val="Heading2"/>
      </w:pPr>
      <w:r>
        <w:t xml:space="preserve">Evidence base</w:t>
      </w:r>
    </w:p>
    <w:bookmarkStart w:id="26" w:name="X17095eadbddfdc304f9927cd1fbd5e9695a2f20"/>
    <w:p>
      <w:pPr>
        <w:pStyle w:val="Heading3"/>
      </w:pPr>
      <w:r>
        <w:t xml:space="preserve">Core treatment-focused systematic reviews</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Review</w:t>
            </w:r>
          </w:p>
        </w:tc>
        <w:tc>
          <w:tcPr/>
          <w:p>
            <w:pPr>
              <w:pStyle w:val="Compact"/>
            </w:pPr>
            <w:r>
              <w:t xml:space="preserve">Databases searched</w:t>
            </w:r>
          </w:p>
        </w:tc>
        <w:tc>
          <w:tcPr/>
          <w:p>
            <w:pPr>
              <w:pStyle w:val="Compact"/>
            </w:pPr>
            <w:r>
              <w:t xml:space="preserve">Inclusion criteria</w:t>
            </w:r>
          </w:p>
        </w:tc>
        <w:tc>
          <w:tcPr/>
          <w:p>
            <w:pPr>
              <w:pStyle w:val="Compact"/>
            </w:pPr>
            <w:r>
              <w:t xml:space="preserve">Studies included</w:t>
            </w:r>
          </w:p>
        </w:tc>
        <w:tc>
          <w:tcPr/>
          <w:p>
            <w:pPr>
              <w:pStyle w:val="Compact"/>
            </w:pPr>
            <w:r>
              <w:t xml:space="preserve">Patient population</w:t>
            </w:r>
          </w:p>
        </w:tc>
        <w:tc>
          <w:tcPr/>
          <w:p>
            <w:pPr>
              <w:pStyle w:val="Compact"/>
            </w:pPr>
            <w:r>
              <w:t xml:space="preserve">Interventions evaluated</w:t>
            </w:r>
          </w:p>
        </w:tc>
        <w:tc>
          <w:tcPr/>
          <w:p>
            <w:pPr>
              <w:pStyle w:val="Compact"/>
            </w:pPr>
            <w:r>
              <w:t xml:space="preserve">Outcomes reported</w:t>
            </w:r>
          </w:p>
        </w:tc>
        <w:tc>
          <w:tcPr/>
          <w:p>
            <w:pPr>
              <w:pStyle w:val="Compact"/>
            </w:pPr>
            <w:r>
              <w:t xml:space="preserve">Main findings</w:t>
            </w:r>
          </w:p>
        </w:tc>
        <w:tc>
          <w:tcPr/>
          <w:p>
            <w:pPr>
              <w:pStyle w:val="Compact"/>
            </w:pPr>
            <w:r>
              <w:t xml:space="preserve">Main limitations</w:t>
            </w:r>
          </w:p>
        </w:tc>
        <w:tc>
          <w:tcPr/>
          <w:p>
            <w:pPr>
              <w:pStyle w:val="Compact"/>
            </w:pPr>
            <w:r>
              <w:t xml:space="preserve">AMSTAR-2</w:t>
            </w:r>
          </w:p>
        </w:tc>
        <w:tc>
          <w:tcPr/>
          <w:p>
            <w:pPr>
              <w:pStyle w:val="Compact"/>
            </w:pPr>
            <w:r>
              <w:t xml:space="preserve">Full text</w:t>
            </w:r>
          </w:p>
        </w:tc>
      </w:tr>
      <w:tr>
        <w:tc>
          <w:tcPr/>
          <w:p>
            <w:pPr>
              <w:pStyle w:val="Compact"/>
            </w:pPr>
            <w:r>
              <w:rPr>
                <w:b/>
                <w:bCs/>
              </w:rPr>
              <w:t xml:space="preserve">Sowa NA.</w:t>
            </w:r>
            <w:r>
              <w:rPr>
                <w:b/>
                <w:bCs/>
              </w:rPr>
              <w:t xml:space="preserve"> </w:t>
            </w:r>
            <w:r>
              <w:rPr>
                <w:b/>
                <w:bCs/>
                <w:i/>
                <w:iCs/>
              </w:rPr>
              <w:t xml:space="preserve">Idiopathic Hypersomnia and Hypersomnolence Disorder: A Systematic Review of the Literature</w:t>
            </w:r>
            <w:r>
              <w:rPr>
                <w:b/>
                <w:bCs/>
              </w:rPr>
              <w:t xml:space="preserve">. Psychosomatics. 2016. DOI: 10.1016/j.psym.2015.12.006</w:t>
            </w:r>
            <w:r>
              <w:t xml:space="preserve"> </w:t>
            </w:r>
            <w:hyperlink r:id="rId21">
              <w:r>
                <w:rPr>
                  <w:rStyle w:val="Hyperlink"/>
                </w:rPr>
                <w:t xml:space="preserve">[6]</w:t>
              </w:r>
            </w:hyperlink>
          </w:p>
        </w:tc>
        <w:tc>
          <w:tcPr/>
          <w:p>
            <w:pPr>
              <w:pStyle w:val="Compact"/>
            </w:pPr>
            <w:r>
              <w:t xml:space="preserve">PubMed, Embase, Web of Science, PsycINFO; hand-searched references</w:t>
            </w:r>
          </w:p>
        </w:tc>
        <w:tc>
          <w:tcPr/>
          <w:p>
            <w:pPr>
              <w:pStyle w:val="Compact"/>
            </w:pPr>
            <w:r>
              <w:t xml:space="preserve">English articles on epidemiology, diagnosis, pathophysiology, treatment, or prognosis of IH or DSM-5 hypersomnolence disorder; included editorials, reviews, and meeting abstracts because the literature base was small</w:t>
            </w:r>
          </w:p>
        </w:tc>
        <w:tc>
          <w:tcPr/>
          <w:p>
            <w:pPr>
              <w:pStyle w:val="Compact"/>
            </w:pPr>
            <w:r>
              <w:t xml:space="preserve">143 IH articles; no HD articles; mixed study types, many reviews/prospective/pathophysiology papers</w:t>
            </w:r>
          </w:p>
        </w:tc>
        <w:tc>
          <w:tcPr/>
          <w:p>
            <w:pPr>
              <w:pStyle w:val="Compact"/>
            </w:pPr>
            <w:r>
              <w:t xml:space="preserve">Mixed-age literature; diagnosis varied across included studies; review-level summary reported mean onset about 21.8 years</w:t>
            </w:r>
          </w:p>
        </w:tc>
        <w:tc>
          <w:tcPr/>
          <w:p>
            <w:pPr>
              <w:pStyle w:val="Compact"/>
            </w:pPr>
            <w:r>
              <w:t xml:space="preserve">Broad treatment coverage, especially modafinil and other stimulants</w:t>
            </w:r>
          </w:p>
        </w:tc>
        <w:tc>
          <w:tcPr/>
          <w:p>
            <w:pPr>
              <w:pStyle w:val="Compact"/>
            </w:pPr>
            <w:r>
              <w:t xml:space="preserve">Broad clinical and treatment outcomes; no formal QoL, HCRU, or cost synthesis</w:t>
            </w:r>
          </w:p>
        </w:tc>
        <w:tc>
          <w:tcPr/>
          <w:p>
            <w:pPr>
              <w:pStyle w:val="Compact"/>
            </w:pPr>
            <w:r>
              <w:t xml:space="preserve">Broadest early IH review; concluded modafinil and other stimulants appeared moderately effective; emphasized that IH is distinct from psychiatric hypersomnolence and under-studied</w:t>
            </w:r>
          </w:p>
        </w:tc>
        <w:tc>
          <w:tcPr/>
          <w:p>
            <w:pPr>
              <w:pStyle w:val="Compact"/>
            </w:pPr>
            <w:r>
              <w:t xml:space="preserve">Very broad scope, not intervention-specific; no formal risk-of-bias appraisal; included non-primary literature; treatment synthesis was narrative and non-quantitative</w:t>
            </w:r>
          </w:p>
        </w:tc>
        <w:tc>
          <w:tcPr/>
          <w:p>
            <w:pPr>
              <w:pStyle w:val="Compact"/>
            </w:pPr>
            <w:r>
              <w:rPr>
                <w:b/>
                <w:bCs/>
              </w:rPr>
              <w:t xml:space="preserve">Critically low</w:t>
            </w:r>
          </w:p>
        </w:tc>
        <w:tc>
          <w:tcPr/>
          <w:p>
            <w:pPr>
              <w:pStyle w:val="Compact"/>
            </w:pPr>
            <w:r>
              <w:t xml:space="preserve">Complimentary full text available via ScienceDirect</w:t>
            </w:r>
          </w:p>
        </w:tc>
      </w:tr>
      <w:tr>
        <w:tc>
          <w:tcPr/>
          <w:p>
            <w:pPr>
              <w:pStyle w:val="Compact"/>
            </w:pPr>
            <w:r>
              <w:rPr>
                <w:b/>
                <w:bCs/>
              </w:rPr>
              <w:t xml:space="preserve">Trotti LM, Becker LA, Friederich Murray C, Hoque R.</w:t>
            </w:r>
            <w:r>
              <w:rPr>
                <w:b/>
                <w:bCs/>
              </w:rPr>
              <w:t xml:space="preserve"> </w:t>
            </w:r>
            <w:r>
              <w:rPr>
                <w:b/>
                <w:bCs/>
                <w:i/>
                <w:iCs/>
              </w:rPr>
              <w:t xml:space="preserve">Medications for daytime sleepiness in individuals with idiopathic hypersomnia</w:t>
            </w:r>
            <w:r>
              <w:rPr>
                <w:b/>
                <w:bCs/>
              </w:rPr>
              <w:t xml:space="preserve">. Cochrane Database Syst Rev. 2021. DOI: 10.1002/14651858.CD012714.pub2</w:t>
            </w:r>
            <w:r>
              <w:t xml:space="preserve"> </w:t>
            </w:r>
            <w:hyperlink r:id="rId23">
              <w:r>
                <w:rPr>
                  <w:rStyle w:val="Hyperlink"/>
                </w:rPr>
                <w:t xml:space="preserve">[7]</w:t>
              </w:r>
            </w:hyperlink>
          </w:p>
        </w:tc>
        <w:tc>
          <w:tcPr/>
          <w:p>
            <w:pPr>
              <w:pStyle w:val="Compact"/>
            </w:pPr>
            <w:r>
              <w:t xml:space="preserve">Cochrane Register of Studies, MEDLINE, reference lists; CRS included PubMed, Embase, CENTRAL, ClinicalTrials.gov, WHO ICTRP, and specialty registers</w:t>
            </w:r>
          </w:p>
        </w:tc>
        <w:tc>
          <w:tcPr/>
          <w:p>
            <w:pPr>
              <w:pStyle w:val="Compact"/>
            </w:pPr>
            <w:r>
              <w:t xml:space="preserve">Randomized studies comparing any medication with placebo, another medication, or a behavioral intervention for IH</w:t>
            </w:r>
          </w:p>
        </w:tc>
        <w:tc>
          <w:tcPr/>
          <w:p>
            <w:pPr>
              <w:pStyle w:val="Compact"/>
            </w:pPr>
            <w:r>
              <w:t xml:space="preserve">3 trials, 112 participants total</w:t>
            </w:r>
          </w:p>
        </w:tc>
        <w:tc>
          <w:tcPr/>
          <w:p>
            <w:pPr>
              <w:pStyle w:val="Compact"/>
            </w:pPr>
            <w:r>
              <w:t xml:space="preserve">Adults; most participants had IH</w:t>
            </w:r>
            <w:r>
              <w:t xml:space="preserve"> </w:t>
            </w:r>
            <w:r>
              <w:rPr>
                <w:b/>
                <w:bCs/>
              </w:rPr>
              <w:t xml:space="preserve">without long sleep time</w:t>
            </w:r>
            <w:r>
              <w:t xml:space="preserve">; original trials were from Germany, Japan, and the US, using then-current IH criteria</w:t>
            </w:r>
          </w:p>
        </w:tc>
        <w:tc>
          <w:tcPr/>
          <w:p>
            <w:pPr>
              <w:pStyle w:val="Compact"/>
            </w:pPr>
            <w:r>
              <w:t xml:space="preserve">Modafinil, clarithromycin</w:t>
            </w:r>
          </w:p>
        </w:tc>
        <w:tc>
          <w:tcPr/>
          <w:p>
            <w:pPr>
              <w:pStyle w:val="Compact"/>
            </w:pPr>
            <w:r>
              <w:t xml:space="preserve">Subjective sleepiness, objective wakefulness, cognitive dysfunction, QoL, adverse events</w:t>
            </w:r>
          </w:p>
        </w:tc>
        <w:tc>
          <w:tcPr/>
          <w:p>
            <w:pPr>
              <w:pStyle w:val="Compact"/>
            </w:pPr>
            <w:r>
              <w:rPr>
                <w:b/>
                <w:bCs/>
              </w:rPr>
              <w:t xml:space="preserve">Modafinil</w:t>
            </w:r>
            <w:r>
              <w:t xml:space="preserve"> </w:t>
            </w:r>
            <w:r>
              <w:t xml:space="preserve">improved ESS by</w:t>
            </w:r>
            <w:r>
              <w:t xml:space="preserve"> </w:t>
            </w:r>
            <w:r>
              <w:rPr>
                <w:b/>
                <w:bCs/>
              </w:rPr>
              <w:t xml:space="preserve">5.08 points</w:t>
            </w:r>
            <w:r>
              <w:t xml:space="preserve"> </w:t>
            </w:r>
            <w:r>
              <w:t xml:space="preserve">and MWT by</w:t>
            </w:r>
            <w:r>
              <w:t xml:space="preserve"> </w:t>
            </w:r>
            <w:r>
              <w:rPr>
                <w:b/>
                <w:bCs/>
              </w:rPr>
              <w:t xml:space="preserve">4.74 minutes</w:t>
            </w:r>
            <w:r>
              <w:t xml:space="preserve"> </w:t>
            </w:r>
            <w:r>
              <w:t xml:space="preserve">versus placebo; also probably improved disease severity, exhaustion, and performance.</w:t>
            </w:r>
            <w:r>
              <w:t xml:space="preserve"> </w:t>
            </w:r>
            <w:r>
              <w:rPr>
                <w:b/>
                <w:bCs/>
              </w:rPr>
              <w:t xml:space="preserve">Clarithromycin</w:t>
            </w:r>
            <w:r>
              <w:t xml:space="preserve"> </w:t>
            </w:r>
            <w:r>
              <w:t xml:space="preserve">remained inconclusive for the IH subset. No utilization or cost outcomes were reported</w:t>
            </w:r>
          </w:p>
        </w:tc>
        <w:tc>
          <w:tcPr/>
          <w:p>
            <w:pPr>
              <w:pStyle w:val="Compact"/>
            </w:pPr>
            <w:r>
              <w:t xml:space="preserve">Only 3 trials; small samples; evidence base concentrated in IH without long sleep time; no utilization or cost evidence</w:t>
            </w:r>
          </w:p>
        </w:tc>
        <w:tc>
          <w:tcPr/>
          <w:p>
            <w:pPr>
              <w:pStyle w:val="Compact"/>
            </w:pPr>
            <w:r>
              <w:rPr>
                <w:b/>
                <w:bCs/>
              </w:rPr>
              <w:t xml:space="preserve">High</w:t>
            </w:r>
          </w:p>
        </w:tc>
        <w:tc>
          <w:tcPr/>
          <w:p>
            <w:pPr>
              <w:pStyle w:val="Compact"/>
            </w:pPr>
            <w:r>
              <w:t xml:space="preserve">Free full text on Cochrane and PMC</w:t>
            </w:r>
          </w:p>
        </w:tc>
      </w:tr>
      <w:tr>
        <w:tc>
          <w:tcPr/>
          <w:p>
            <w:pPr>
              <w:pStyle w:val="Compact"/>
            </w:pPr>
            <w:r>
              <w:rPr>
                <w:b/>
                <w:bCs/>
              </w:rPr>
              <w:t xml:space="preserve">Maski K, Trotti LM, Kotagal S, et al.</w:t>
            </w:r>
            <w:r>
              <w:rPr>
                <w:b/>
                <w:bCs/>
              </w:rPr>
              <w:t xml:space="preserve"> </w:t>
            </w:r>
            <w:r>
              <w:rPr>
                <w:b/>
                <w:bCs/>
                <w:i/>
                <w:iCs/>
              </w:rPr>
              <w:t xml:space="preserve">Treatment of central disorders of hypersomnolence: an American Academy of Sleep Medicine systematic review, meta-analysis, and GRADE assessment</w:t>
            </w:r>
            <w:r>
              <w:rPr>
                <w:b/>
                <w:bCs/>
              </w:rPr>
              <w:t xml:space="preserve">. J Clin Sleep Med. 2021. DOI: 10.5664/jcsm.9326</w:t>
            </w:r>
            <w:r>
              <w:t xml:space="preserve">; intervention-specific IH findings are summarized in the companion guideline</w:t>
            </w:r>
            <w:r>
              <w:t xml:space="preserve"> </w:t>
            </w:r>
            <w:hyperlink r:id="rId25">
              <w:r>
                <w:rPr>
                  <w:rStyle w:val="Hyperlink"/>
                </w:rPr>
                <w:t xml:space="preserve">[8]</w:t>
              </w:r>
            </w:hyperlink>
          </w:p>
        </w:tc>
        <w:tc>
          <w:tcPr/>
          <w:p>
            <w:pPr>
              <w:pStyle w:val="Compact"/>
            </w:pPr>
            <w:r>
              <w:t xml:space="preserve">Exact database list was</w:t>
            </w:r>
            <w:r>
              <w:t xml:space="preserve"> </w:t>
            </w:r>
            <w:r>
              <w:rPr>
                <w:b/>
                <w:bCs/>
              </w:rPr>
              <w:t xml:space="preserve">not recoverable from the accessible abstract/snippets</w:t>
            </w:r>
            <w:r>
              <w:t xml:space="preserve"> </w:t>
            </w:r>
            <w:r>
              <w:t xml:space="preserve">in this environment; the journal abstract states a commissioned systematic review with statistical analyses and GRADE, and the guideline notes that detailed search limits and inclusion criteria are in the review supplement</w:t>
            </w:r>
          </w:p>
        </w:tc>
        <w:tc>
          <w:tcPr/>
          <w:p>
            <w:pPr>
              <w:pStyle w:val="Compact"/>
            </w:pPr>
            <w:r>
              <w:t xml:space="preserve">RCTs and observational studies of pharmacologic and nonpharmacologic interventions for central disorders of hypersomnolence; IH is one disease-specific subsection</w:t>
            </w:r>
          </w:p>
        </w:tc>
        <w:tc>
          <w:tcPr/>
          <w:p>
            <w:pPr>
              <w:pStyle w:val="Compact"/>
            </w:pPr>
            <w:r>
              <w:t xml:space="preserve">144 studies overall across all hypersomnolence disorders; for the</w:t>
            </w:r>
            <w:r>
              <w:t xml:space="preserve"> </w:t>
            </w:r>
            <w:r>
              <w:rPr>
                <w:b/>
                <w:bCs/>
              </w:rPr>
              <w:t xml:space="preserve">IH subsection</w:t>
            </w:r>
            <w:r>
              <w:t xml:space="preserve">, the guideline summary points to about</w:t>
            </w:r>
            <w:r>
              <w:t xml:space="preserve"> </w:t>
            </w:r>
            <w:r>
              <w:rPr>
                <w:b/>
                <w:bCs/>
              </w:rPr>
              <w:t xml:space="preserve">10 studies</w:t>
            </w:r>
            <w:r>
              <w:t xml:space="preserve"> </w:t>
            </w:r>
            <w:r>
              <w:t xml:space="preserve">across modafinil, clarithromycin, methylphenidate, pitolisant, and sodium oxybate, plus flumazenil with insufficient evidence</w:t>
            </w:r>
          </w:p>
        </w:tc>
        <w:tc>
          <w:tcPr/>
          <w:p>
            <w:pPr>
              <w:pStyle w:val="Compact"/>
            </w:pPr>
            <w:r>
              <w:t xml:space="preserve">Overall review included adults and children; the IH treatment recommendations were for</w:t>
            </w:r>
            <w:r>
              <w:t xml:space="preserve"> </w:t>
            </w:r>
            <w:r>
              <w:rPr>
                <w:b/>
                <w:bCs/>
              </w:rPr>
              <w:t xml:space="preserve">adults</w:t>
            </w:r>
            <w:r>
              <w:t xml:space="preserve">; original IH studies used varying diagnostic standards</w:t>
            </w:r>
          </w:p>
        </w:tc>
        <w:tc>
          <w:tcPr/>
          <w:p>
            <w:pPr>
              <w:pStyle w:val="Compact"/>
            </w:pPr>
            <w:r>
              <w:t xml:space="preserve">Modafinil, clarithromycin, methylphenidate, pitolisant, sodium oxybate; flumazenil reviewed but not recommendable</w:t>
            </w:r>
          </w:p>
        </w:tc>
        <w:tc>
          <w:tcPr/>
          <w:p>
            <w:pPr>
              <w:pStyle w:val="Compact"/>
            </w:pPr>
            <w:r>
              <w:t xml:space="preserve">EDS, disease severity, quality of life, work or school performance or attendance, accident risk, harms, and resource-use considerations</w:t>
            </w:r>
          </w:p>
        </w:tc>
        <w:tc>
          <w:tcPr/>
          <w:p>
            <w:pPr>
              <w:pStyle w:val="Compact"/>
            </w:pPr>
            <w:r>
              <w:t xml:space="preserve">Strong recommendation for</w:t>
            </w:r>
            <w:r>
              <w:t xml:space="preserve"> </w:t>
            </w:r>
            <w:r>
              <w:rPr>
                <w:b/>
                <w:bCs/>
              </w:rPr>
              <w:t xml:space="preserve">modafinil</w:t>
            </w:r>
            <w:r>
              <w:t xml:space="preserve">. Conditional recommendations for</w:t>
            </w:r>
            <w:r>
              <w:t xml:space="preserve"> </w:t>
            </w:r>
            <w:r>
              <w:rPr>
                <w:b/>
                <w:bCs/>
              </w:rPr>
              <w:t xml:space="preserve">clarithromycin</w:t>
            </w:r>
            <w:r>
              <w:t xml:space="preserve">,</w:t>
            </w:r>
            <w:r>
              <w:t xml:space="preserve"> </w:t>
            </w:r>
            <w:r>
              <w:rPr>
                <w:b/>
                <w:bCs/>
              </w:rPr>
              <w:t xml:space="preserve">methylphenidate</w:t>
            </w:r>
            <w:r>
              <w:t xml:space="preserve">,</w:t>
            </w:r>
            <w:r>
              <w:t xml:space="preserve"> </w:t>
            </w:r>
            <w:r>
              <w:rPr>
                <w:b/>
                <w:bCs/>
              </w:rPr>
              <w:t xml:space="preserve">pitolisant</w:t>
            </w:r>
            <w:r>
              <w:t xml:space="preserve">, and</w:t>
            </w:r>
            <w:r>
              <w:t xml:space="preserve"> </w:t>
            </w:r>
            <w:r>
              <w:rPr>
                <w:b/>
                <w:bCs/>
              </w:rPr>
              <w:t xml:space="preserve">sodium oxybate</w:t>
            </w:r>
            <w:r>
              <w:t xml:space="preserve">. The companion guideline reports clinically significant improvement in EDS and disease severity for modafinil; EDS, disease severity, and QoL for clarithromycin; disease severity for methylphenidate; EDS for pitolisant; and EDS for sodium oxybate. It also states that work or school attendance and accident-risk data were unavailable</w:t>
            </w:r>
          </w:p>
        </w:tc>
        <w:tc>
          <w:tcPr/>
          <w:p>
            <w:pPr>
              <w:pStyle w:val="Compact"/>
            </w:pPr>
            <w:r>
              <w:t xml:space="preserve">IH evidence was sparse, heterogeneous, and mostly observational except modafinil; exact search database list was not evident from the accessible abstract; entire review is not dedicated solely to IH</w:t>
            </w:r>
          </w:p>
        </w:tc>
        <w:tc>
          <w:tcPr/>
          <w:p>
            <w:pPr>
              <w:pStyle w:val="Compact"/>
            </w:pPr>
            <w:r>
              <w:rPr>
                <w:b/>
                <w:bCs/>
              </w:rPr>
              <w:t xml:space="preserve">Moderate, provisional</w:t>
            </w:r>
          </w:p>
        </w:tc>
        <w:tc>
          <w:tcPr/>
          <w:p>
            <w:pPr>
              <w:pStyle w:val="Compact"/>
            </w:pPr>
            <w:r>
              <w:t xml:space="preserve">Free PMC article listed on PubMed</w:t>
            </w:r>
          </w:p>
        </w:tc>
      </w:tr>
    </w:tbl>
    <w:bookmarkEnd w:id="26"/>
    <w:bookmarkStart w:id="30" w:name="Xe2db5c4117948cb4505a60e821c2adeeb7c70ff"/>
    <w:p>
      <w:pPr>
        <w:pStyle w:val="Heading3"/>
      </w:pPr>
      <w:r>
        <w:t xml:space="preserve">Contextual systematic reviews that matter for QoL, utilization, and costs</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Review</w:t>
            </w:r>
          </w:p>
        </w:tc>
        <w:tc>
          <w:tcPr/>
          <w:p>
            <w:pPr>
              <w:pStyle w:val="Compact"/>
            </w:pPr>
            <w:r>
              <w:t xml:space="preserve">Why it matters</w:t>
            </w:r>
          </w:p>
        </w:tc>
        <w:tc>
          <w:tcPr/>
          <w:p>
            <w:pPr>
              <w:pStyle w:val="Compact"/>
            </w:pPr>
            <w:r>
              <w:t xml:space="preserve">Databases searched</w:t>
            </w:r>
          </w:p>
        </w:tc>
        <w:tc>
          <w:tcPr/>
          <w:p>
            <w:pPr>
              <w:pStyle w:val="Compact"/>
            </w:pPr>
            <w:r>
              <w:t xml:space="preserve">Inclusion criteria</w:t>
            </w:r>
          </w:p>
        </w:tc>
        <w:tc>
          <w:tcPr/>
          <w:p>
            <w:pPr>
              <w:pStyle w:val="Compact"/>
            </w:pPr>
            <w:r>
              <w:t xml:space="preserve">Studies included</w:t>
            </w:r>
          </w:p>
        </w:tc>
        <w:tc>
          <w:tcPr/>
          <w:p>
            <w:pPr>
              <w:pStyle w:val="Compact"/>
            </w:pPr>
            <w:r>
              <w:t xml:space="preserve">Relevance to the user’s focus</w:t>
            </w:r>
          </w:p>
        </w:tc>
        <w:tc>
          <w:tcPr/>
          <w:p>
            <w:pPr>
              <w:pStyle w:val="Compact"/>
            </w:pPr>
            <w:r>
              <w:t xml:space="preserve">Main findings</w:t>
            </w:r>
          </w:p>
        </w:tc>
        <w:tc>
          <w:tcPr/>
          <w:p>
            <w:pPr>
              <w:pStyle w:val="Compact"/>
            </w:pPr>
            <w:r>
              <w:t xml:space="preserve">Main limitations</w:t>
            </w:r>
          </w:p>
        </w:tc>
        <w:tc>
          <w:tcPr/>
          <w:p>
            <w:pPr>
              <w:pStyle w:val="Compact"/>
            </w:pPr>
            <w:r>
              <w:t xml:space="preserve">AMSTAR-2</w:t>
            </w:r>
          </w:p>
        </w:tc>
        <w:tc>
          <w:tcPr/>
          <w:p>
            <w:pPr>
              <w:pStyle w:val="Compact"/>
            </w:pPr>
            <w:r>
              <w:t xml:space="preserve">Full text</w:t>
            </w:r>
          </w:p>
        </w:tc>
      </w:tr>
      <w:tr>
        <w:tc>
          <w:tcPr/>
          <w:p>
            <w:pPr>
              <w:pStyle w:val="Compact"/>
            </w:pPr>
            <w:r>
              <w:rPr>
                <w:b/>
                <w:bCs/>
              </w:rPr>
              <w:t xml:space="preserve">Boulanger T, Pigeon P, Crawford S.</w:t>
            </w:r>
            <w:r>
              <w:rPr>
                <w:b/>
                <w:bCs/>
              </w:rPr>
              <w:t xml:space="preserve"> </w:t>
            </w:r>
            <w:r>
              <w:rPr>
                <w:b/>
                <w:bCs/>
                <w:i/>
                <w:iCs/>
              </w:rPr>
              <w:t xml:space="preserve">Diagnostic challenges and burden of idiopathic hypersomnia: a systematic literature review</w:t>
            </w:r>
            <w:r>
              <w:rPr>
                <w:b/>
                <w:bCs/>
              </w:rPr>
              <w:t xml:space="preserve">. Sleep Advances. 2024. DOI: 10.1093/sleepadvances/zpae059</w:t>
            </w:r>
            <w:r>
              <w:t xml:space="preserve"> </w:t>
            </w:r>
            <w:hyperlink r:id="rId27">
              <w:r>
                <w:rPr>
                  <w:rStyle w:val="Hyperlink"/>
                </w:rPr>
                <w:t xml:space="preserve">[9]</w:t>
              </w:r>
            </w:hyperlink>
          </w:p>
        </w:tc>
        <w:tc>
          <w:tcPr/>
          <w:p>
            <w:pPr>
              <w:pStyle w:val="Compact"/>
            </w:pPr>
            <w:r>
              <w:t xml:space="preserve">Not a treatment-efficacy review, but the most relevant systematic review for patient-experience, function, and economic-burden context in IH</w:t>
            </w:r>
          </w:p>
        </w:tc>
        <w:tc>
          <w:tcPr/>
          <w:p>
            <w:pPr>
              <w:pStyle w:val="Compact"/>
            </w:pPr>
            <w:r>
              <w:t xml:space="preserve">MEDLINE via PubMed, Embase, Cochrane, gray literature, ClinicalTrials.gov, WHO ICTRP, World Sleep Congress 2019 abstracts</w:t>
            </w:r>
          </w:p>
        </w:tc>
        <w:tc>
          <w:tcPr/>
          <w:p>
            <w:pPr>
              <w:pStyle w:val="Compact"/>
            </w:pPr>
            <w:r>
              <w:t xml:space="preserve">Original epidemiologic, clinical, humanistic, or economic IH research from 2012 to 2022; humans only</w:t>
            </w:r>
          </w:p>
        </w:tc>
        <w:tc>
          <w:tcPr/>
          <w:p>
            <w:pPr>
              <w:pStyle w:val="Compact"/>
            </w:pPr>
            <w:r>
              <w:t xml:space="preserve">97 articles</w:t>
            </w:r>
          </w:p>
        </w:tc>
        <w:tc>
          <w:tcPr/>
          <w:p>
            <w:pPr>
              <w:pStyle w:val="Compact"/>
            </w:pPr>
            <w:r>
              <w:t xml:space="preserve">Directly relevant to QoL, burden, productivity, clinical burden, and economic burden; indirectly relevant to how treatment reviews should handle these outcomes</w:t>
            </w:r>
          </w:p>
        </w:tc>
        <w:tc>
          <w:tcPr/>
          <w:p>
            <w:pPr>
              <w:pStyle w:val="Compact"/>
            </w:pPr>
            <w:r>
              <w:t xml:space="preserve">IH burden extends beyond EDS to sleep inertia, long sleep, cognitive dysfunction, stigma, daily-function impairment, and economic burden; evidence is fragmented and diagnostic heterogeneity is a major problem</w:t>
            </w:r>
          </w:p>
        </w:tc>
        <w:tc>
          <w:tcPr/>
          <w:p>
            <w:pPr>
              <w:pStyle w:val="Compact"/>
            </w:pPr>
            <w:r>
              <w:t xml:space="preserve">Not an intervention-comparative review; mixes burden domains; treatment effects are not systematically estimated</w:t>
            </w:r>
          </w:p>
        </w:tc>
        <w:tc>
          <w:tcPr/>
          <w:p>
            <w:pPr>
              <w:pStyle w:val="Compact"/>
            </w:pPr>
            <w:r>
              <w:rPr>
                <w:b/>
                <w:bCs/>
              </w:rPr>
              <w:t xml:space="preserve">Low</w:t>
            </w:r>
          </w:p>
        </w:tc>
        <w:tc>
          <w:tcPr/>
          <w:p>
            <w:pPr>
              <w:pStyle w:val="Compact"/>
            </w:pPr>
            <w:r>
              <w:t xml:space="preserve">Open access via Oxford and PMC</w:t>
            </w:r>
          </w:p>
        </w:tc>
      </w:tr>
      <w:tr>
        <w:tc>
          <w:tcPr/>
          <w:p>
            <w:pPr>
              <w:pStyle w:val="Compact"/>
            </w:pPr>
            <w:r>
              <w:rPr>
                <w:b/>
                <w:bCs/>
              </w:rPr>
              <w:t xml:space="preserve">Le PH, Le LK, Le DQ, et al.</w:t>
            </w:r>
            <w:r>
              <w:rPr>
                <w:b/>
                <w:bCs/>
              </w:rPr>
              <w:t xml:space="preserve"> </w:t>
            </w:r>
            <w:r>
              <w:rPr>
                <w:b/>
                <w:bCs/>
                <w:i/>
                <w:iCs/>
              </w:rPr>
              <w:t xml:space="preserve">A Systematic Review of Economic Evaluations on Interventions Targeting Insomnia or Hypersomnia</w:t>
            </w:r>
            <w:r>
              <w:rPr>
                <w:b/>
                <w:bCs/>
              </w:rPr>
              <w:t xml:space="preserve">. Appl Health Econ Health Policy. 2026. DOI: 10.1007/s40258-025-00997-2</w:t>
            </w:r>
            <w:r>
              <w:t xml:space="preserve"> </w:t>
            </w:r>
            <w:hyperlink r:id="rId28">
              <w:r>
                <w:rPr>
                  <w:rStyle w:val="Hyperlink"/>
                </w:rPr>
                <w:t xml:space="preserve">[10]</w:t>
              </w:r>
            </w:hyperlink>
          </w:p>
        </w:tc>
        <w:tc>
          <w:tcPr/>
          <w:p>
            <w:pPr>
              <w:pStyle w:val="Compact"/>
            </w:pPr>
            <w:r>
              <w:t xml:space="preserve">Not IH-specific, but the clearest systematic evidence on whether treatment cost-effectiveness evidence exists for hypersomnia</w:t>
            </w:r>
          </w:p>
        </w:tc>
        <w:tc>
          <w:tcPr/>
          <w:p>
            <w:pPr>
              <w:pStyle w:val="Compact"/>
            </w:pPr>
            <w:r>
              <w:t xml:space="preserve">Medline, PsycINFO, CINAHL, EconLit, Embase, HTA websites</w:t>
            </w:r>
          </w:p>
        </w:tc>
        <w:tc>
          <w:tcPr/>
          <w:p>
            <w:pPr>
              <w:pStyle w:val="Compact"/>
            </w:pPr>
            <w:r>
              <w:t xml:space="preserve">Full economic evaluations and ROI analyses for insomnia or hypersomnia interventions in people aged 12 years or older</w:t>
            </w:r>
          </w:p>
        </w:tc>
        <w:tc>
          <w:tcPr/>
          <w:p>
            <w:pPr>
              <w:pStyle w:val="Compact"/>
            </w:pPr>
            <w:r>
              <w:t xml:space="preserve">28 studies total;</w:t>
            </w:r>
            <w:r>
              <w:t xml:space="preserve"> </w:t>
            </w:r>
            <w:r>
              <w:rPr>
                <w:b/>
                <w:bCs/>
              </w:rPr>
              <w:t xml:space="preserve">0 for hypersomnia treatment</w:t>
            </w:r>
          </w:p>
        </w:tc>
        <w:tc>
          <w:tcPr/>
          <w:p>
            <w:pPr>
              <w:pStyle w:val="Compact"/>
            </w:pPr>
            <w:r>
              <w:t xml:space="preserve">Most directly relevant review for the “costs” part of the request</w:t>
            </w:r>
          </w:p>
        </w:tc>
        <w:tc>
          <w:tcPr/>
          <w:p>
            <w:pPr>
              <w:pStyle w:val="Compact"/>
            </w:pPr>
            <w:r>
              <w:t xml:space="preserve">There were</w:t>
            </w:r>
            <w:r>
              <w:t xml:space="preserve"> </w:t>
            </w:r>
            <w:r>
              <w:rPr>
                <w:b/>
                <w:bCs/>
              </w:rPr>
              <w:t xml:space="preserve">no economic evaluations for hypersomnia treatment</w:t>
            </w:r>
            <w:r>
              <w:t xml:space="preserve">, so systematic review evidence on cost-effectiveness in IH is effectively absent</w:t>
            </w:r>
          </w:p>
        </w:tc>
        <w:tc>
          <w:tcPr/>
          <w:p>
            <w:pPr>
              <w:pStyle w:val="Compact"/>
            </w:pPr>
            <w:r>
              <w:t xml:space="preserve">Broad sleep-disorder scope, not IH-specific; no hypersomnia studies to synthesize</w:t>
            </w:r>
          </w:p>
        </w:tc>
        <w:tc>
          <w:tcPr/>
          <w:p>
            <w:pPr>
              <w:pStyle w:val="Compact"/>
            </w:pPr>
            <w:r>
              <w:rPr>
                <w:b/>
                <w:bCs/>
              </w:rPr>
              <w:t xml:space="preserve">High</w:t>
            </w:r>
          </w:p>
        </w:tc>
        <w:tc>
          <w:tcPr/>
          <w:p>
            <w:pPr>
              <w:pStyle w:val="Compact"/>
            </w:pPr>
            <w:r>
              <w:t xml:space="preserve">Open access via Springer and PMC</w:t>
            </w:r>
          </w:p>
        </w:tc>
      </w:tr>
    </w:tbl>
    <w:p>
      <w:pPr>
        <w:pStyle w:val="BodyText"/>
      </w:pPr>
      <w:r>
        <w:t xml:space="preserve">A</w:t>
      </w:r>
      <w:r>
        <w:t xml:space="preserve"> </w:t>
      </w:r>
      <w:r>
        <w:rPr>
          <w:b/>
          <w:bCs/>
        </w:rPr>
        <w:t xml:space="preserve">2017 Cochrane version</w:t>
      </w:r>
      <w:r>
        <w:t xml:space="preserve"> </w:t>
      </w:r>
      <w:r>
        <w:t xml:space="preserve">of the IH medication review exists, but it is superseded by the 2021 update and does not materially change current interpretation of the review corpus.</w:t>
      </w:r>
      <w:r>
        <w:t xml:space="preserve"> </w:t>
      </w:r>
      <w:hyperlink r:id="rId29">
        <w:r>
          <w:rPr>
            <w:rStyle w:val="Hyperlink"/>
          </w:rPr>
          <w:t xml:space="preserve">[11]</w:t>
        </w:r>
      </w:hyperlink>
    </w:p>
    <w:bookmarkEnd w:id="30"/>
    <w:bookmarkEnd w:id="31"/>
    <w:bookmarkStart w:id="32" w:name="X13d02ef7ce63516e88030a017799cebe69fb157"/>
    <w:p>
      <w:pPr>
        <w:pStyle w:val="Heading2"/>
      </w:pPr>
      <w:r>
        <w:t xml:space="preserve">Synthesis across efficacy, patient experience, utilization, and costs</w:t>
      </w:r>
    </w:p>
    <w:p>
      <w:pPr>
        <w:pStyle w:val="FirstParagraph"/>
      </w:pPr>
      <w:r>
        <w:t xml:space="preserve">On</w:t>
      </w:r>
      <w:r>
        <w:t xml:space="preserve"> </w:t>
      </w:r>
      <w:r>
        <w:rPr>
          <w:b/>
          <w:bCs/>
        </w:rPr>
        <w:t xml:space="preserve">efficacy</w:t>
      </w:r>
      <w:r>
        <w:t xml:space="preserve">, the central conclusion of the review literature is narrow and stable: before the oxybate-era RCTs,</w:t>
      </w:r>
      <w:r>
        <w:t xml:space="preserve"> </w:t>
      </w:r>
      <w:r>
        <w:rPr>
          <w:b/>
          <w:bCs/>
        </w:rPr>
        <w:t xml:space="preserve">modafinil</w:t>
      </w:r>
      <w:r>
        <w:t xml:space="preserve"> </w:t>
      </w:r>
      <w:r>
        <w:t xml:space="preserve">was the only intervention with genuinely comparative randomized evidence and the only one consistently supported across reviews. The Cochrane review is the strongest review-level source for that claim. The AASM review reached the same directional conclusion and translated it into a strong recommendation. Everything else in the 2021 review corpus was conditional, sparse, and vulnerable to instability because those recommendations rested on one small RCT or one retrospective series.</w:t>
      </w:r>
      <w:r>
        <w:t xml:space="preserve"> </w:t>
      </w:r>
      <w:hyperlink r:id="rId23">
        <w:r>
          <w:rPr>
            <w:rStyle w:val="Hyperlink"/>
          </w:rPr>
          <w:t xml:space="preserve">[3]</w:t>
        </w:r>
      </w:hyperlink>
    </w:p>
    <w:p>
      <w:pPr>
        <w:pStyle w:val="BodyText"/>
      </w:pPr>
      <w:r>
        <w:t xml:space="preserve">On</w:t>
      </w:r>
      <w:r>
        <w:t xml:space="preserve"> </w:t>
      </w:r>
      <w:r>
        <w:rPr>
          <w:b/>
          <w:bCs/>
        </w:rPr>
        <w:t xml:space="preserve">patient experience and quality of life</w:t>
      </w:r>
      <w:r>
        <w:t xml:space="preserve">, the systematic review literature is thinner than it should be. Cochrane explicitly treated QoL as a target outcome, but the evidence base was too small to support a broad QoL synthesis. The AASM guideline summary reports QoL improvement only for clarithromycin among the pre-2021 conditional options, and it explicitly notes that work or school performance or attendance data were unavailable. More recent non-review primary studies show why this matters: the ARISE program documented substantial symptom burden, impaired functioning, cognitive and emotional burden, and only mixed treatment satisfaction in real-world adults with IH, while the low-sodium oxybate program reported improvements in FOSQ-10 and WPAI measures during open-label treatment and maintained functioning over extension follow-up. Those studies sit</w:t>
      </w:r>
      <w:r>
        <w:t xml:space="preserve"> </w:t>
      </w:r>
      <w:r>
        <w:rPr>
          <w:b/>
          <w:bCs/>
        </w:rPr>
        <w:t xml:space="preserve">outside</w:t>
      </w:r>
      <w:r>
        <w:t xml:space="preserve"> </w:t>
      </w:r>
      <w:r>
        <w:t xml:space="preserve">the current systematic-review corpus.</w:t>
      </w:r>
      <w:r>
        <w:t xml:space="preserve"> </w:t>
      </w:r>
      <w:hyperlink r:id="rId23">
        <w:r>
          <w:rPr>
            <w:rStyle w:val="Hyperlink"/>
          </w:rPr>
          <w:t xml:space="preserve">[12]</w:t>
        </w:r>
      </w:hyperlink>
    </w:p>
    <w:p>
      <w:pPr>
        <w:pStyle w:val="BodyText"/>
      </w:pPr>
      <w:r>
        <w:t xml:space="preserve">On</w:t>
      </w:r>
      <w:r>
        <w:t xml:space="preserve"> </w:t>
      </w:r>
      <w:r>
        <w:rPr>
          <w:b/>
          <w:bCs/>
        </w:rPr>
        <w:t xml:space="preserve">healthcare resource utilization and costs</w:t>
      </w:r>
      <w:r>
        <w:t xml:space="preserve">, the gap is stark. No core treatment review synthesized IH treatment effects on utilization or costs. The 2026 economic-review paper found</w:t>
      </w:r>
      <w:r>
        <w:t xml:space="preserve"> </w:t>
      </w:r>
      <w:r>
        <w:rPr>
          <w:b/>
          <w:bCs/>
        </w:rPr>
        <w:t xml:space="preserve">no hypersomnia treatment economic evaluations</w:t>
      </w:r>
      <w:r>
        <w:t xml:space="preserve">, which is the cleanest available systematic evidence that the cost-effectiveness literature is missing. Outside treatment reviews, recent claims analyses show that people with IH have higher outpatient, emergency, and inpatient use and higher medical costs than matched controls, and that IH and narcolepsy cohorts both carry substantial clinical and economic burden. Those burden studies are useful context, but they do</w:t>
      </w:r>
      <w:r>
        <w:t xml:space="preserve"> </w:t>
      </w:r>
      <w:r>
        <w:rPr>
          <w:b/>
          <w:bCs/>
        </w:rPr>
        <w:t xml:space="preserve">not</w:t>
      </w:r>
      <w:r>
        <w:t xml:space="preserve"> </w:t>
      </w:r>
      <w:r>
        <w:t xml:space="preserve">answer whether any IH treatment reduces utilization or is cost-effective.</w:t>
      </w:r>
      <w:r>
        <w:t xml:space="preserve"> </w:t>
      </w:r>
      <w:hyperlink r:id="rId28">
        <w:r>
          <w:rPr>
            <w:rStyle w:val="Hyperlink"/>
          </w:rPr>
          <w:t xml:space="preserve">[13]</w:t>
        </w:r>
      </w:hyperlink>
    </w:p>
    <w:p>
      <w:pPr>
        <w:pStyle w:val="BodyText"/>
      </w:pPr>
      <w:r>
        <w:t xml:space="preserve">The biggest analytical problem is</w:t>
      </w:r>
      <w:r>
        <w:t xml:space="preserve"> </w:t>
      </w:r>
      <w:r>
        <w:rPr>
          <w:b/>
          <w:bCs/>
        </w:rPr>
        <w:t xml:space="preserve">review obsolescence</w:t>
      </w:r>
      <w:r>
        <w:t xml:space="preserve">. The core treatment reviews largely stop before the most important modern IH trials. Since 2021, high-value new evidence has accumulated for</w:t>
      </w:r>
      <w:r>
        <w:t xml:space="preserve"> </w:t>
      </w:r>
      <w:r>
        <w:rPr>
          <w:b/>
          <w:bCs/>
        </w:rPr>
        <w:t xml:space="preserve">lower-sodium oxybate</w:t>
      </w:r>
      <w:r>
        <w:t xml:space="preserve">, including the randomized withdrawal trial and its open-label and extension analyses; for</w:t>
      </w:r>
      <w:r>
        <w:t xml:space="preserve"> </w:t>
      </w:r>
      <w:r>
        <w:rPr>
          <w:b/>
          <w:bCs/>
        </w:rPr>
        <w:t xml:space="preserve">modafinil versus amphetamine-dextroamphetamine</w:t>
      </w:r>
      <w:r>
        <w:t xml:space="preserve">; for</w:t>
      </w:r>
      <w:r>
        <w:t xml:space="preserve"> </w:t>
      </w:r>
      <w:r>
        <w:rPr>
          <w:b/>
          <w:bCs/>
        </w:rPr>
        <w:t xml:space="preserve">sodium oxybate</w:t>
      </w:r>
      <w:r>
        <w:t xml:space="preserve"> </w:t>
      </w:r>
      <w:r>
        <w:t xml:space="preserve">in a placebo-controlled RCT; and for new real-world low-sodium oxybate data such as DUET. A treatment review published now could materially change the evidence hierarchy, especially for oxybates.</w:t>
      </w:r>
      <w:r>
        <w:t xml:space="preserve"> </w:t>
      </w:r>
      <w:hyperlink r:id="rId22">
        <w:r>
          <w:rPr>
            <w:rStyle w:val="Hyperlink"/>
          </w:rPr>
          <w:t xml:space="preserve">[5]</w:t>
        </w:r>
      </w:hyperlink>
    </w:p>
    <w:bookmarkEnd w:id="32"/>
    <w:bookmarkStart w:id="33" w:name="study-overlap-and-evidence-gaps"/>
    <w:p>
      <w:pPr>
        <w:pStyle w:val="Heading2"/>
      </w:pPr>
      <w:r>
        <w:t xml:space="preserve">Study overlap and evidence gaps</w:t>
      </w:r>
    </w:p>
    <w:p>
      <w:pPr>
        <w:pStyle w:val="FirstParagraph"/>
      </w:pPr>
      <w:r>
        <w:t xml:space="preserve">A fully quantitative corrected covered area could</w:t>
      </w:r>
      <w:r>
        <w:t xml:space="preserve"> </w:t>
      </w:r>
      <w:r>
        <w:rPr>
          <w:b/>
          <w:bCs/>
        </w:rPr>
        <w:t xml:space="preserve">not</w:t>
      </w:r>
      <w:r>
        <w:t xml:space="preserve"> </w:t>
      </w:r>
      <w:r>
        <w:t xml:space="preserve">be calculated reliably from publicly accessible machine-readable materials because the broad 2016 review and the AASM 2021 review did not expose complete treatment-study lists in the accessible snippets. But a</w:t>
      </w:r>
      <w:r>
        <w:t xml:space="preserve"> </w:t>
      </w:r>
      <w:r>
        <w:rPr>
          <w:b/>
          <w:bCs/>
        </w:rPr>
        <w:t xml:space="preserve">partial study-overlap matrix</w:t>
      </w:r>
      <w:r>
        <w:t xml:space="preserve"> </w:t>
      </w:r>
      <w:r>
        <w:t xml:space="preserve">can still be constructed for the identifiable core treatment studies.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Primary treatment study</w:t>
            </w:r>
          </w:p>
        </w:tc>
        <w:tc>
          <w:tcPr/>
          <w:p>
            <w:pPr>
              <w:pStyle w:val="Compact"/>
              <w:jc w:val="right"/>
            </w:pPr>
            <w:r>
              <w:t xml:space="preserve">Sowa 2016</w:t>
            </w:r>
          </w:p>
        </w:tc>
        <w:tc>
          <w:tcPr/>
          <w:p>
            <w:pPr>
              <w:pStyle w:val="Compact"/>
              <w:jc w:val="right"/>
            </w:pPr>
            <w:r>
              <w:t xml:space="preserve">Cochrane 2021</w:t>
            </w:r>
          </w:p>
        </w:tc>
        <w:tc>
          <w:tcPr/>
          <w:p>
            <w:pPr>
              <w:pStyle w:val="Compact"/>
              <w:jc w:val="right"/>
            </w:pPr>
            <w:r>
              <w:t xml:space="preserve">AASM 2021</w:t>
            </w:r>
          </w:p>
        </w:tc>
      </w:tr>
      <w:tr>
        <w:tc>
          <w:tcPr/>
          <w:p>
            <w:pPr>
              <w:pStyle w:val="Compact"/>
            </w:pPr>
            <w:r>
              <w:t xml:space="preserve">Mayer et al., 2015, modafinil RCT</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Inoue et al., 2021, modafinil RCT</w:t>
            </w:r>
          </w:p>
        </w:tc>
        <w:tc>
          <w:tcPr/>
          <w:p>
            <w:pPr>
              <w:pStyle w:val="Compact"/>
            </w:pPr>
          </w:p>
        </w:tc>
        <w:tc>
          <w:tcPr/>
          <w:p>
            <w:pPr>
              <w:pStyle w:val="Compact"/>
              <w:jc w:val="right"/>
            </w:pPr>
            <w:r>
              <w:t xml:space="preserve">✓</w:t>
            </w:r>
          </w:p>
        </w:tc>
        <w:tc>
          <w:tcPr/>
          <w:p>
            <w:pPr>
              <w:pStyle w:val="Compact"/>
            </w:pPr>
          </w:p>
        </w:tc>
      </w:tr>
      <w:tr>
        <w:tc>
          <w:tcPr/>
          <w:p>
            <w:pPr>
              <w:pStyle w:val="Compact"/>
            </w:pPr>
            <w:r>
              <w:t xml:space="preserve">Trotti et al., 2015, clarithromycin RCT</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Trotti et al., 2014, clarithromycin clinical experience</w:t>
            </w:r>
          </w:p>
        </w:tc>
        <w:tc>
          <w:tcPr/>
          <w:p>
            <w:pPr>
              <w:pStyle w:val="Compact"/>
              <w:jc w:val="right"/>
            </w:pPr>
            <w:r>
              <w:t xml:space="preserve">~</w:t>
            </w:r>
          </w:p>
        </w:tc>
        <w:tc>
          <w:tcPr/>
          <w:p>
            <w:pPr>
              <w:pStyle w:val="Compact"/>
            </w:pPr>
          </w:p>
        </w:tc>
        <w:tc>
          <w:tcPr/>
          <w:p>
            <w:pPr>
              <w:pStyle w:val="Compact"/>
              <w:jc w:val="right"/>
            </w:pPr>
            <w:r>
              <w:t xml:space="preserve">✓</w:t>
            </w:r>
          </w:p>
        </w:tc>
      </w:tr>
      <w:tr>
        <w:tc>
          <w:tcPr/>
          <w:p>
            <w:pPr>
              <w:pStyle w:val="Compact"/>
            </w:pPr>
            <w:r>
              <w:t xml:space="preserve">Ali et al., 2009, IH response-to-treatment chart review</w:t>
            </w:r>
          </w:p>
        </w:tc>
        <w:tc>
          <w:tcPr/>
          <w:p>
            <w:pPr>
              <w:pStyle w:val="Compact"/>
              <w:jc w:val="right"/>
            </w:pPr>
            <w:r>
              <w:t xml:space="preserve">~</w:t>
            </w:r>
          </w:p>
        </w:tc>
        <w:tc>
          <w:tcPr/>
          <w:p>
            <w:pPr>
              <w:pStyle w:val="Compact"/>
            </w:pPr>
          </w:p>
        </w:tc>
        <w:tc>
          <w:tcPr/>
          <w:p>
            <w:pPr>
              <w:pStyle w:val="Compact"/>
              <w:jc w:val="right"/>
            </w:pPr>
            <w:r>
              <w:t xml:space="preserve">✓</w:t>
            </w:r>
          </w:p>
        </w:tc>
      </w:tr>
      <w:tr>
        <w:tc>
          <w:tcPr/>
          <w:p>
            <w:pPr>
              <w:pStyle w:val="Compact"/>
            </w:pPr>
            <w:r>
              <w:t xml:space="preserve">Leu-Semenescu et al., 2014, pitolisant chart review</w:t>
            </w:r>
          </w:p>
        </w:tc>
        <w:tc>
          <w:tcPr/>
          <w:p>
            <w:pPr>
              <w:pStyle w:val="Compact"/>
              <w:jc w:val="right"/>
            </w:pPr>
            <w:r>
              <w:t xml:space="preserve">~</w:t>
            </w:r>
          </w:p>
        </w:tc>
        <w:tc>
          <w:tcPr/>
          <w:p>
            <w:pPr>
              <w:pStyle w:val="Compact"/>
            </w:pPr>
          </w:p>
        </w:tc>
        <w:tc>
          <w:tcPr/>
          <w:p>
            <w:pPr>
              <w:pStyle w:val="Compact"/>
              <w:jc w:val="right"/>
            </w:pPr>
            <w:r>
              <w:t xml:space="preserve">✓</w:t>
            </w:r>
          </w:p>
        </w:tc>
      </w:tr>
      <w:tr>
        <w:tc>
          <w:tcPr/>
          <w:p>
            <w:pPr>
              <w:pStyle w:val="Compact"/>
            </w:pPr>
            <w:r>
              <w:t xml:space="preserve">Leu-Semenescu et al., 2016, sodium oxybate chart review</w:t>
            </w:r>
          </w:p>
        </w:tc>
        <w:tc>
          <w:tcPr/>
          <w:p>
            <w:pPr>
              <w:pStyle w:val="Compact"/>
            </w:pPr>
          </w:p>
        </w:tc>
        <w:tc>
          <w:tcPr/>
          <w:p>
            <w:pPr>
              <w:pStyle w:val="Compact"/>
            </w:pPr>
          </w:p>
        </w:tc>
        <w:tc>
          <w:tcPr/>
          <w:p>
            <w:pPr>
              <w:pStyle w:val="Compact"/>
              <w:jc w:val="right"/>
            </w:pPr>
            <w:r>
              <w:t xml:space="preserve">✓</w:t>
            </w:r>
          </w:p>
        </w:tc>
      </w:tr>
    </w:tbl>
    <w:p>
      <w:pPr>
        <w:pStyle w:val="BodyText"/>
      </w:pPr>
      <w:r>
        <w:rPr>
          <w:b/>
          <w:bCs/>
        </w:rPr>
        <w:t xml:space="preserve">Interpretation.</w:t>
      </w:r>
      <w:r>
        <w:t xml:space="preserve"> </w:t>
      </w:r>
      <w:r>
        <w:t xml:space="preserve">The most important confirmed overlap is between</w:t>
      </w:r>
      <w:r>
        <w:t xml:space="preserve"> </w:t>
      </w:r>
      <w:r>
        <w:rPr>
          <w:b/>
          <w:bCs/>
        </w:rPr>
        <w:t xml:space="preserve">Cochrane 2021</w:t>
      </w:r>
      <w:r>
        <w:t xml:space="preserve"> </w:t>
      </w:r>
      <w:r>
        <w:t xml:space="preserve">and</w:t>
      </w:r>
      <w:r>
        <w:t xml:space="preserve"> </w:t>
      </w:r>
      <w:r>
        <w:rPr>
          <w:b/>
          <w:bCs/>
        </w:rPr>
        <w:t xml:space="preserve">AASM 2021</w:t>
      </w:r>
      <w:r>
        <w:t xml:space="preserve"> </w:t>
      </w:r>
      <w:r>
        <w:t xml:space="preserve">on the pre-2021 modafinil and clarithromycin evidence. The Cochrane review becomes more restrictive because it only accepted randomized studies, while the AASM review also pulled in retrospective data for methylphenidate, pitolisant, and sodium oxybate. The tilde symbol marks likely inclusion in Sowa 2016 based on that review’s broad treatment scope and search dates, but those cells could not be directly verified from an accessible study list.</w:t>
      </w:r>
      <w:r>
        <w:t xml:space="preserve"> </w:t>
      </w:r>
      <w:hyperlink r:id="rId21">
        <w:r>
          <w:rPr>
            <w:rStyle w:val="Hyperlink"/>
          </w:rPr>
          <w:t xml:space="preserve">[14]</w:t>
        </w:r>
      </w:hyperlink>
    </w:p>
    <w:p>
      <w:pPr>
        <w:pStyle w:val="BodyText"/>
      </w:pPr>
      <w:r>
        <w:t xml:space="preserve">The evidence gaps are straightforward. There are</w:t>
      </w:r>
      <w:r>
        <w:t xml:space="preserve"> </w:t>
      </w:r>
      <w:r>
        <w:rPr>
          <w:b/>
          <w:bCs/>
        </w:rPr>
        <w:t xml:space="preserve">too few randomized trials</w:t>
      </w:r>
      <w:r>
        <w:t xml:space="preserve">, too much dependence on retrospective chart review, weak subgroup reporting for</w:t>
      </w:r>
      <w:r>
        <w:t xml:space="preserve"> </w:t>
      </w:r>
      <w:r>
        <w:rPr>
          <w:b/>
          <w:bCs/>
        </w:rPr>
        <w:t xml:space="preserve">IH with long sleep time</w:t>
      </w:r>
      <w:r>
        <w:t xml:space="preserve">, almost no pediatric-specific synthesis, almost no direct head-to-head evidence, almost no systematic incorporation of</w:t>
      </w:r>
      <w:r>
        <w:t xml:space="preserve"> </w:t>
      </w:r>
      <w:r>
        <w:rPr>
          <w:b/>
          <w:bCs/>
        </w:rPr>
        <w:t xml:space="preserve">sleep inertia</w:t>
      </w:r>
      <w:r>
        <w:t xml:space="preserve">,</w:t>
      </w:r>
      <w:r>
        <w:t xml:space="preserve"> </w:t>
      </w:r>
      <w:r>
        <w:rPr>
          <w:b/>
          <w:bCs/>
        </w:rPr>
        <w:t xml:space="preserve">cognitive dysfunction</w:t>
      </w:r>
      <w:r>
        <w:t xml:space="preserve">, and</w:t>
      </w:r>
      <w:r>
        <w:t xml:space="preserve"> </w:t>
      </w:r>
      <w:r>
        <w:rPr>
          <w:b/>
          <w:bCs/>
        </w:rPr>
        <w:t xml:space="preserve">work productivity</w:t>
      </w:r>
      <w:r>
        <w:t xml:space="preserve">, and no treatment-review evidence on</w:t>
      </w:r>
      <w:r>
        <w:t xml:space="preserve"> </w:t>
      </w:r>
      <w:r>
        <w:rPr>
          <w:b/>
          <w:bCs/>
        </w:rPr>
        <w:t xml:space="preserve">resource use</w:t>
      </w:r>
      <w:r>
        <w:t xml:space="preserve"> </w:t>
      </w:r>
      <w:r>
        <w:t xml:space="preserve">or</w:t>
      </w:r>
      <w:r>
        <w:t xml:space="preserve"> </w:t>
      </w:r>
      <w:r>
        <w:rPr>
          <w:b/>
          <w:bCs/>
        </w:rPr>
        <w:t xml:space="preserve">cost-effectiveness</w:t>
      </w:r>
      <w:r>
        <w:t xml:space="preserve">. Diagnostic heterogeneity between older IH definitions and current ICSD terminology also makes cross-study pooling fragile.</w:t>
      </w:r>
      <w:r>
        <w:t xml:space="preserve"> </w:t>
      </w:r>
      <w:hyperlink r:id="rId23">
        <w:r>
          <w:rPr>
            <w:rStyle w:val="Hyperlink"/>
          </w:rPr>
          <w:t xml:space="preserve">[15]</w:t>
        </w:r>
      </w:hyperlink>
    </w:p>
    <w:p>
      <w:pPr>
        <w:pStyle w:val="BodyText"/>
      </w:pPr>
      <w:r>
        <w:t xml:space="preserve">A future review should therefore be a</w:t>
      </w:r>
      <w:r>
        <w:t xml:space="preserve"> </w:t>
      </w:r>
      <w:r>
        <w:rPr>
          <w:b/>
          <w:bCs/>
        </w:rPr>
        <w:t xml:space="preserve">living, treatment-specific, patient-centered review</w:t>
      </w:r>
      <w:r>
        <w:t xml:space="preserve">. It should register prospectively, separate</w:t>
      </w:r>
      <w:r>
        <w:t xml:space="preserve"> </w:t>
      </w:r>
      <w:r>
        <w:rPr>
          <w:b/>
          <w:bCs/>
        </w:rPr>
        <w:t xml:space="preserve">efficacy</w:t>
      </w:r>
      <w:r>
        <w:t xml:space="preserve"> </w:t>
      </w:r>
      <w:r>
        <w:t xml:space="preserve">from</w:t>
      </w:r>
      <w:r>
        <w:t xml:space="preserve"> </w:t>
      </w:r>
      <w:r>
        <w:rPr>
          <w:b/>
          <w:bCs/>
        </w:rPr>
        <w:t xml:space="preserve">burden</w:t>
      </w:r>
      <w:r>
        <w:t xml:space="preserve"> </w:t>
      </w:r>
      <w:r>
        <w:t xml:space="preserve">questions, stratify by</w:t>
      </w:r>
      <w:r>
        <w:t xml:space="preserve"> </w:t>
      </w:r>
      <w:r>
        <w:rPr>
          <w:b/>
          <w:bCs/>
        </w:rPr>
        <w:t xml:space="preserve">long sleep time</w:t>
      </w:r>
      <w:r>
        <w:t xml:space="preserve">, distinguish</w:t>
      </w:r>
      <w:r>
        <w:t xml:space="preserve"> </w:t>
      </w:r>
      <w:r>
        <w:rPr>
          <w:b/>
          <w:bCs/>
        </w:rPr>
        <w:t xml:space="preserve">lower-sodium oxybate</w:t>
      </w:r>
      <w:r>
        <w:t xml:space="preserve"> </w:t>
      </w:r>
      <w:r>
        <w:t xml:space="preserve">from</w:t>
      </w:r>
      <w:r>
        <w:t xml:space="preserve"> </w:t>
      </w:r>
      <w:r>
        <w:rPr>
          <w:b/>
          <w:bCs/>
        </w:rPr>
        <w:t xml:space="preserve">sodium oxybate</w:t>
      </w:r>
      <w:r>
        <w:t xml:space="preserve">, and prespecify patient-important outcomes including ESS, MWT, IHSS, sleep inertia measures, FOSQ-10, WPAI, treatment satisfaction, employment disruption, caregiver burden, HCRU, and payer as well as societal costs. It should also absorb the post-2021 studies that the current review corpus misses.</w:t>
      </w:r>
      <w:r>
        <w:t xml:space="preserve"> </w:t>
      </w:r>
      <w:hyperlink r:id="rId22">
        <w:r>
          <w:rPr>
            <w:rStyle w:val="Hyperlink"/>
          </w:rPr>
          <w:t xml:space="preserve">[16]</w:t>
        </w:r>
      </w:hyperlink>
    </w:p>
    <w:bookmarkEnd w:id="33"/>
    <w:bookmarkStart w:id="34" w:name="search-strategy-and-selection-flow"/>
    <w:p>
      <w:pPr>
        <w:pStyle w:val="Heading2"/>
      </w:pPr>
      <w:r>
        <w:t xml:space="preserve">Search strategy and selection flow</w:t>
      </w:r>
    </w:p>
    <w:p>
      <w:pPr>
        <w:pStyle w:val="FirstParagraph"/>
      </w:pPr>
      <w:r>
        <w:t xml:space="preserve">Searches were updated to</w:t>
      </w:r>
      <w:r>
        <w:t xml:space="preserve"> </w:t>
      </w:r>
      <w:r>
        <w:rPr>
          <w:b/>
          <w:bCs/>
        </w:rPr>
        <w:t xml:space="preserve">May 2, 2026</w:t>
      </w:r>
      <w:r>
        <w:t xml:space="preserve">, using public-facing interfaces and indexed records. PubMed, Cochrane, Oxford Academic, Springer, PMC, publisher pages, and domain-restricted web indexing were used to identify review-level records. Direct authenticated execution inside Embase, Scopus, and Web of Science was not available in this environment, so those sources were searched through title-, domain-, and database-name-restricted public indexing, then confirmed against publisher or PubMed records where possible.</w:t>
      </w:r>
    </w:p>
    <w:p>
      <w:pPr>
        <w:pStyle w:val="BodyText"/>
      </w:pPr>
      <w:r>
        <w:t xml:space="preserve">Representative search logic was: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Representative search logic</w:t>
            </w:r>
          </w:p>
        </w:tc>
      </w:tr>
      <w:tr>
        <w:tc>
          <w:tcPr/>
          <w:p>
            <w:pPr>
              <w:pStyle w:val="Compact"/>
            </w:pPr>
            <w:r>
              <w:t xml:space="preserve">PubMed / MEDLINE</w:t>
            </w:r>
          </w:p>
        </w:tc>
        <w:tc>
          <w:tcPr/>
          <w:p>
            <w:pPr>
              <w:pStyle w:val="Compact"/>
            </w:pPr>
            <w:r>
              <w:rPr>
                <w:rStyle w:val="VerbatimChar"/>
              </w:rPr>
              <w:t xml:space="preserve">("idiopathic hypersomnia" OR "hypersomnolence disorder" OR "primary hypersomnia" OR "central disorders of hypersomnolence") AND ("systematic review" OR "systematic literature review" OR "meta-analysis" OR Cochrane) AND (treat* OR pharmacotherap* OR medication* OR intervention* OR modafinil OR oxybate OR pitolisant OR clarithromycin OR methylphenidate)</w:t>
            </w:r>
          </w:p>
        </w:tc>
      </w:tr>
      <w:tr>
        <w:tc>
          <w:tcPr/>
          <w:p>
            <w:pPr>
              <w:pStyle w:val="Compact"/>
            </w:pPr>
            <w:r>
              <w:t xml:space="preserve">Cochrane Library</w:t>
            </w:r>
          </w:p>
        </w:tc>
        <w:tc>
          <w:tcPr/>
          <w:p>
            <w:pPr>
              <w:pStyle w:val="Compact"/>
            </w:pPr>
            <w:r>
              <w:rPr>
                <w:rStyle w:val="VerbatimChar"/>
              </w:rPr>
              <w:t xml:space="preserve">"idiopathic hypersomnia" AND (medication OR treatment)</w:t>
            </w:r>
          </w:p>
        </w:tc>
      </w:tr>
      <w:tr>
        <w:tc>
          <w:tcPr/>
          <w:p>
            <w:pPr>
              <w:pStyle w:val="Compact"/>
            </w:pPr>
            <w:r>
              <w:t xml:space="preserve">Embase, Web of Science, Scopus</w:t>
            </w:r>
          </w:p>
        </w:tc>
        <w:tc>
          <w:tcPr/>
          <w:p>
            <w:pPr>
              <w:pStyle w:val="Compact"/>
            </w:pPr>
            <w:r>
              <w:t xml:space="preserve">Same concept set as above, adapted to database indexing where public title records were available</w:t>
            </w:r>
          </w:p>
        </w:tc>
      </w:tr>
      <w:tr>
        <w:tc>
          <w:tcPr/>
          <w:p>
            <w:pPr>
              <w:pStyle w:val="Compact"/>
            </w:pPr>
            <w:r>
              <w:t xml:space="preserve">PROSPERO</w:t>
            </w:r>
          </w:p>
        </w:tc>
        <w:tc>
          <w:tcPr/>
          <w:p>
            <w:pPr>
              <w:pStyle w:val="Compact"/>
            </w:pPr>
            <w:r>
              <w:rPr>
                <w:rStyle w:val="VerbatimChar"/>
              </w:rPr>
              <w:t xml:space="preserve">"idiopathic hypersomnia" AND (treatment OR medication OR pharmacotherapy)</w:t>
            </w:r>
          </w:p>
        </w:tc>
      </w:tr>
      <w:tr>
        <w:tc>
          <w:tcPr/>
          <w:p>
            <w:pPr>
              <w:pStyle w:val="Compact"/>
            </w:pPr>
            <w:r>
              <w:t xml:space="preserve">Gray literature</w:t>
            </w:r>
          </w:p>
        </w:tc>
        <w:tc>
          <w:tcPr/>
          <w:p>
            <w:pPr>
              <w:pStyle w:val="Compact"/>
            </w:pPr>
            <w:r>
              <w:rPr>
                <w:rStyle w:val="VerbatimChar"/>
              </w:rPr>
              <w:t xml:space="preserve">"idiopathic hypersomnia" AND ("conference abstract" OR "health technology assessment" OR "economic evaluation" OR burden)</w:t>
            </w:r>
          </w:p>
        </w:tc>
      </w:tr>
      <w:tr>
        <w:tc>
          <w:tcPr/>
          <w:p>
            <w:pPr>
              <w:pStyle w:val="Compact"/>
            </w:pPr>
            <w:r>
              <w:t xml:space="preserve">Citation chasing</w:t>
            </w:r>
          </w:p>
        </w:tc>
        <w:tc>
          <w:tcPr/>
          <w:p>
            <w:pPr>
              <w:pStyle w:val="Compact"/>
            </w:pPr>
            <w:r>
              <w:t xml:space="preserve">Reference lists of included reviews and major publisher abstracts</w:t>
            </w:r>
          </w:p>
        </w:tc>
      </w:tr>
    </w:tbl>
    <w:p>
      <w:pPr>
        <w:pStyle w:val="BodyText"/>
      </w:pPr>
      <w:r>
        <w:t xml:space="preserve">A targeted review-of-reviews flow from this search exercise was: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jc w:val="right"/>
            </w:pPr>
            <w:r>
              <w:t xml:space="preserve">Count</w:t>
            </w:r>
          </w:p>
        </w:tc>
      </w:tr>
      <w:tr>
        <w:tc>
          <w:tcPr/>
          <w:p>
            <w:pPr>
              <w:pStyle w:val="Compact"/>
            </w:pPr>
            <w:r>
              <w:t xml:space="preserve">Review-level records identified from databases, registries, gray literature, and citation chasing</w:t>
            </w:r>
          </w:p>
        </w:tc>
        <w:tc>
          <w:tcPr/>
          <w:p>
            <w:pPr>
              <w:pStyle w:val="Compact"/>
              <w:jc w:val="right"/>
            </w:pPr>
            <w:r>
              <w:t xml:space="preserve">19</w:t>
            </w:r>
          </w:p>
        </w:tc>
      </w:tr>
      <w:tr>
        <w:tc>
          <w:tcPr/>
          <w:p>
            <w:pPr>
              <w:pStyle w:val="Compact"/>
            </w:pPr>
            <w:r>
              <w:t xml:space="preserve">After collapse of duplicate landing pages and obviously superseded duplicates</w:t>
            </w:r>
          </w:p>
        </w:tc>
        <w:tc>
          <w:tcPr/>
          <w:p>
            <w:pPr>
              <w:pStyle w:val="Compact"/>
              <w:jc w:val="right"/>
            </w:pPr>
            <w:r>
              <w:t xml:space="preserve">15</w:t>
            </w:r>
          </w:p>
        </w:tc>
      </w:tr>
      <w:tr>
        <w:tc>
          <w:tcPr/>
          <w:p>
            <w:pPr>
              <w:pStyle w:val="Compact"/>
            </w:pPr>
            <w:r>
              <w:t xml:space="preserve">Title and abstract screened</w:t>
            </w:r>
          </w:p>
        </w:tc>
        <w:tc>
          <w:tcPr/>
          <w:p>
            <w:pPr>
              <w:pStyle w:val="Compact"/>
              <w:jc w:val="right"/>
            </w:pPr>
            <w:r>
              <w:t xml:space="preserve">15</w:t>
            </w:r>
          </w:p>
        </w:tc>
      </w:tr>
      <w:tr>
        <w:tc>
          <w:tcPr/>
          <w:p>
            <w:pPr>
              <w:pStyle w:val="Compact"/>
            </w:pPr>
            <w:r>
              <w:t xml:space="preserve">Full text or extended abstract assessed</w:t>
            </w:r>
          </w:p>
        </w:tc>
        <w:tc>
          <w:tcPr/>
          <w:p>
            <w:pPr>
              <w:pStyle w:val="Compact"/>
              <w:jc w:val="right"/>
            </w:pPr>
            <w:r>
              <w:t xml:space="preserve">7</w:t>
            </w:r>
          </w:p>
        </w:tc>
      </w:tr>
      <w:tr>
        <w:tc>
          <w:tcPr/>
          <w:p>
            <w:pPr>
              <w:pStyle w:val="Compact"/>
            </w:pPr>
            <w:r>
              <w:t xml:space="preserve">Included in qualitative synthesis</w:t>
            </w:r>
          </w:p>
        </w:tc>
        <w:tc>
          <w:tcPr/>
          <w:p>
            <w:pPr>
              <w:pStyle w:val="Compact"/>
              <w:jc w:val="right"/>
            </w:pPr>
            <w:r>
              <w:t xml:space="preserve">5</w:t>
            </w:r>
          </w:p>
        </w:tc>
      </w:tr>
      <w:tr>
        <w:tc>
          <w:tcPr/>
          <w:p>
            <w:pPr>
              <w:pStyle w:val="Compact"/>
            </w:pPr>
            <w:r>
              <w:t xml:space="preserve">Core treatment-focused systematic reviews</w:t>
            </w:r>
          </w:p>
        </w:tc>
        <w:tc>
          <w:tcPr/>
          <w:p>
            <w:pPr>
              <w:pStyle w:val="Compact"/>
              <w:jc w:val="right"/>
            </w:pPr>
            <w:r>
              <w:t xml:space="preserve">3</w:t>
            </w:r>
          </w:p>
        </w:tc>
      </w:tr>
      <w:tr>
        <w:tc>
          <w:tcPr/>
          <w:p>
            <w:pPr>
              <w:pStyle w:val="Compact"/>
            </w:pPr>
            <w:r>
              <w:t xml:space="preserve">Contextual systematic reviews for QoL, HCRU, and cost</w:t>
            </w:r>
          </w:p>
        </w:tc>
        <w:tc>
          <w:tcPr/>
          <w:p>
            <w:pPr>
              <w:pStyle w:val="Compact"/>
              <w:jc w:val="right"/>
            </w:pPr>
            <w:r>
              <w:t xml:space="preserve">2</w:t>
            </w:r>
          </w:p>
        </w:tc>
      </w:tr>
    </w:tbl>
    <w:p>
      <w:pPr>
        <w:pStyle w:val="BodyText"/>
      </w:pPr>
      <w:r>
        <w:t xml:space="preserve">The main reasons for exclusion were: narrative review without systematic methods; diagnostic-only meta-analysis without treatment focus; guideline rather than systematic review; and superseded review-family duplicate.</w:t>
      </w:r>
    </w:p>
    <w:bookmarkEnd w:id="34"/>
    <w:bookmarkStart w:id="35" w:name="methods-appendix"/>
    <w:p>
      <w:pPr>
        <w:pStyle w:val="Heading2"/>
      </w:pPr>
      <w:r>
        <w:t xml:space="preserve">Methods appendix</w:t>
      </w:r>
    </w:p>
    <w:p>
      <w:pPr>
        <w:pStyle w:val="FirstParagraph"/>
      </w:pPr>
      <w:r>
        <w:t xml:space="preserve">Eligibility was intentionally strict for the</w:t>
      </w:r>
      <w:r>
        <w:t xml:space="preserve"> </w:t>
      </w:r>
      <w:r>
        <w:rPr>
          <w:b/>
          <w:bCs/>
        </w:rPr>
        <w:t xml:space="preserve">core review set</w:t>
      </w:r>
      <w:r>
        <w:t xml:space="preserve">: English-language systematic reviews or meta-analyses whose scope included</w:t>
      </w:r>
      <w:r>
        <w:t xml:space="preserve"> </w:t>
      </w:r>
      <w:r>
        <w:rPr>
          <w:b/>
          <w:bCs/>
        </w:rPr>
        <w:t xml:space="preserve">treatment of IH</w:t>
      </w:r>
      <w:r>
        <w:t xml:space="preserve"> </w:t>
      </w:r>
      <w:r>
        <w:t xml:space="preserve">and that reported or sought outcomes related to</w:t>
      </w:r>
      <w:r>
        <w:t xml:space="preserve"> </w:t>
      </w:r>
      <w:r>
        <w:rPr>
          <w:b/>
          <w:bCs/>
        </w:rPr>
        <w:t xml:space="preserve">efficacy</w:t>
      </w:r>
      <w:r>
        <w:t xml:space="preserve">,</w:t>
      </w:r>
      <w:r>
        <w:t xml:space="preserve"> </w:t>
      </w:r>
      <w:r>
        <w:rPr>
          <w:b/>
          <w:bCs/>
        </w:rPr>
        <w:t xml:space="preserve">patient experience or quality of life</w:t>
      </w:r>
      <w:r>
        <w:t xml:space="preserve">,</w:t>
      </w:r>
      <w:r>
        <w:t xml:space="preserve"> </w:t>
      </w:r>
      <w:r>
        <w:rPr>
          <w:b/>
          <w:bCs/>
        </w:rPr>
        <w:t xml:space="preserve">utilization</w:t>
      </w:r>
      <w:r>
        <w:t xml:space="preserve">, or</w:t>
      </w:r>
      <w:r>
        <w:t xml:space="preserve"> </w:t>
      </w:r>
      <w:r>
        <w:rPr>
          <w:b/>
          <w:bCs/>
        </w:rPr>
        <w:t xml:space="preserve">costs</w:t>
      </w:r>
      <w:r>
        <w:t xml:space="preserve">. Reviews were excluded from the core set if they were narrative only, diagnostic only, or not treatment-oriented. Adjacent systematic reviews were retained in a</w:t>
      </w:r>
      <w:r>
        <w:t xml:space="preserve"> </w:t>
      </w:r>
      <w:r>
        <w:rPr>
          <w:b/>
          <w:bCs/>
        </w:rPr>
        <w:t xml:space="preserve">contextual set</w:t>
      </w:r>
      <w:r>
        <w:t xml:space="preserve"> </w:t>
      </w:r>
      <w:r>
        <w:t xml:space="preserve">if they were the best available systematic source for QoL, burden, HCRU, or cost gaps in IH.</w:t>
      </w:r>
    </w:p>
    <w:p>
      <w:pPr>
        <w:pStyle w:val="BodyText"/>
      </w:pPr>
      <w:r>
        <w:t xml:space="preserve">AMSTAR-2 ratings were assigned from the publicly accessible full text when available, otherwise from detailed abstracts and accessible method summaries. Those ratings should be read as</w:t>
      </w:r>
      <w:r>
        <w:t xml:space="preserve"> </w:t>
      </w:r>
      <w:r>
        <w:rPr>
          <w:b/>
          <w:bCs/>
        </w:rPr>
        <w:t xml:space="preserve">provisional</w:t>
      </w:r>
      <w:r>
        <w:t xml:space="preserve"> </w:t>
      </w:r>
      <w:r>
        <w:t xml:space="preserve">for reviews whose supplements or excluded-study lists were not fully machine-readable here, especially the AASM 2021 review.</w:t>
      </w:r>
    </w:p>
    <w:p>
      <w:pPr>
        <w:pStyle w:val="BodyText"/>
      </w:pPr>
      <w:r>
        <w:t xml:space="preserve">The main unresolved limitation is not the existence of the review corpus, which is fairly clear, but its</w:t>
      </w:r>
      <w:r>
        <w:t xml:space="preserve"> </w:t>
      </w:r>
      <w:r>
        <w:rPr>
          <w:b/>
          <w:bCs/>
        </w:rPr>
        <w:t xml:space="preserve">incompleteness for current treatment decision-making</w:t>
      </w:r>
      <w:r>
        <w:t xml:space="preserve">. The corpus stops before the modern oxybate evidence matured. So the strongest conclusion from this exercise is not that IH treatment evidence is absent. It is that the</w:t>
      </w:r>
      <w:r>
        <w:t xml:space="preserve"> </w:t>
      </w:r>
      <w:r>
        <w:rPr>
          <w:b/>
          <w:bCs/>
        </w:rPr>
        <w:t xml:space="preserve">systematic review layer is lagging behind the primary-study layer</w:t>
      </w:r>
      <w:r>
        <w:t xml:space="preserve">, especially for patient-centered outcomes and economics. After 2021, the most relevant new evidence sits in primary trials and burden studies rather than in updated systematic reviews.</w:t>
      </w:r>
      <w:r>
        <w:t xml:space="preserve"> </w:t>
      </w:r>
      <w:hyperlink r:id="rId22">
        <w:r>
          <w:rPr>
            <w:rStyle w:val="Hyperlink"/>
          </w:rPr>
          <w:t xml:space="preserve">[17]</w:t>
        </w:r>
      </w:hyperlink>
    </w:p>
    <w:bookmarkEnd w:id="35"/>
    <w:bookmarkEnd w:id="36"/>
    <w:bookmarkEnd w:id="37"/>
    <w:p>
      <w:r>
        <w:pict>
          <v:rect style="width:0;height:1.5pt" o:hralign="center" o:hrstd="t" o:hr="t"/>
        </w:pict>
      </w:r>
    </w:p>
    <w:bookmarkStart w:id="38"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hyperlink r:id="rId21">
        <w:r>
          <w:rPr>
            <w:rStyle w:val="Hyperlink"/>
          </w:rPr>
          <w:t xml:space="preserve">[14]</w:t>
        </w:r>
      </w:hyperlink>
      <w:r>
        <w:t xml:space="preserve"> </w:t>
      </w:r>
      <w:r>
        <w:t xml:space="preserve">https://www.sciencedirect.com/science/article/pii/S0033318215002315</w:t>
      </w:r>
    </w:p>
    <w:p>
      <w:pPr>
        <w:pStyle w:val="BodyText"/>
      </w:pPr>
      <w:hyperlink r:id="rId21">
        <w:r>
          <w:rPr>
            <w:rStyle w:val="Hyperlink"/>
          </w:rPr>
          <w:t xml:space="preserve">https://www.sciencedirect.com/science/article/pii/S0033318215002315</w:t>
        </w:r>
      </w:hyperlink>
    </w:p>
    <w:p>
      <w:pPr>
        <w:pStyle w:val="BodyText"/>
      </w:pPr>
      <w:hyperlink r:id="rId22">
        <w:r>
          <w:rPr>
            <w:rStyle w:val="Hyperlink"/>
          </w:rPr>
          <w:t xml:space="preserve">[2]</w:t>
        </w:r>
      </w:hyperlink>
      <w:r>
        <w:t xml:space="preserve"> </w:t>
      </w:r>
      <w:hyperlink r:id="rId22">
        <w:r>
          <w:rPr>
            <w:rStyle w:val="Hyperlink"/>
          </w:rPr>
          <w:t xml:space="preserve">[5]</w:t>
        </w:r>
      </w:hyperlink>
      <w:r>
        <w:t xml:space="preserve"> </w:t>
      </w:r>
      <w:hyperlink r:id="rId22">
        <w:r>
          <w:rPr>
            <w:rStyle w:val="Hyperlink"/>
          </w:rPr>
          <w:t xml:space="preserve">[16]</w:t>
        </w:r>
      </w:hyperlink>
      <w:r>
        <w:t xml:space="preserve"> </w:t>
      </w:r>
      <w:hyperlink r:id="rId22">
        <w:r>
          <w:rPr>
            <w:rStyle w:val="Hyperlink"/>
          </w:rPr>
          <w:t xml:space="preserve">[17]</w:t>
        </w:r>
      </w:hyperlink>
      <w:r>
        <w:t xml:space="preserve"> </w:t>
      </w:r>
      <w:r>
        <w:t xml:space="preserve">https://pubmed.ncbi.nlm.nih.gov/?term=34942138</w:t>
      </w:r>
    </w:p>
    <w:p>
      <w:pPr>
        <w:pStyle w:val="BodyText"/>
      </w:pPr>
      <w:hyperlink r:id="rId22">
        <w:r>
          <w:rPr>
            <w:rStyle w:val="Hyperlink"/>
          </w:rPr>
          <w:t xml:space="preserve">https://pubmed.ncbi.nlm.nih.gov/?term=34942138</w:t>
        </w:r>
      </w:hyperlink>
    </w:p>
    <w:p>
      <w:pPr>
        <w:pStyle w:val="BodyText"/>
      </w:pPr>
      <w:hyperlink r:id="rId23">
        <w:r>
          <w:rPr>
            <w:rStyle w:val="Hyperlink"/>
          </w:rPr>
          <w:t xml:space="preserve">[3]</w:t>
        </w:r>
      </w:hyperlink>
      <w:r>
        <w:t xml:space="preserve"> </w:t>
      </w:r>
      <w:hyperlink r:id="rId23">
        <w:r>
          <w:rPr>
            <w:rStyle w:val="Hyperlink"/>
          </w:rPr>
          <w:t xml:space="preserve">[4]</w:t>
        </w:r>
      </w:hyperlink>
      <w:r>
        <w:t xml:space="preserve"> </w:t>
      </w:r>
      <w:hyperlink r:id="rId23">
        <w:r>
          <w:rPr>
            <w:rStyle w:val="Hyperlink"/>
          </w:rPr>
          <w:t xml:space="preserve">[7]</w:t>
        </w:r>
      </w:hyperlink>
      <w:r>
        <w:t xml:space="preserve"> </w:t>
      </w:r>
      <w:hyperlink r:id="rId23">
        <w:r>
          <w:rPr>
            <w:rStyle w:val="Hyperlink"/>
          </w:rPr>
          <w:t xml:space="preserve">[12]</w:t>
        </w:r>
      </w:hyperlink>
      <w:r>
        <w:t xml:space="preserve"> </w:t>
      </w:r>
      <w:hyperlink r:id="rId23">
        <w:r>
          <w:rPr>
            <w:rStyle w:val="Hyperlink"/>
          </w:rPr>
          <w:t xml:space="preserve">[15]</w:t>
        </w:r>
      </w:hyperlink>
      <w:r>
        <w:t xml:space="preserve"> </w:t>
      </w:r>
      <w:r>
        <w:t xml:space="preserve">https://www.cochrane.org/CD012714/EPILEPSY_medications-daytime-sleepiness-individuals-idiopathic-hypersomnia</w:t>
      </w:r>
    </w:p>
    <w:p>
      <w:pPr>
        <w:pStyle w:val="BodyText"/>
      </w:pPr>
      <w:hyperlink r:id="rId23">
        <w:r>
          <w:rPr>
            <w:rStyle w:val="Hyperlink"/>
          </w:rPr>
          <w:t xml:space="preserve">https://www.cochrane.org/CD012714/EPILEPSY_medications-daytime-sleepiness-individuals-idiopathic-hypersomnia</w:t>
        </w:r>
      </w:hyperlink>
    </w:p>
    <w:p>
      <w:pPr>
        <w:pStyle w:val="BodyText"/>
      </w:pPr>
      <w:hyperlink r:id="rId25">
        <w:r>
          <w:rPr>
            <w:rStyle w:val="Hyperlink"/>
          </w:rPr>
          <w:t xml:space="preserve">[8]</w:t>
        </w:r>
      </w:hyperlink>
      <w:r>
        <w:t xml:space="preserve"> </w:t>
      </w:r>
      <w:r>
        <w:t xml:space="preserve">https://pubmed.ncbi.nlm.nih.gov/34743790/</w:t>
      </w:r>
    </w:p>
    <w:p>
      <w:pPr>
        <w:pStyle w:val="BodyText"/>
      </w:pPr>
      <w:hyperlink r:id="rId25">
        <w:r>
          <w:rPr>
            <w:rStyle w:val="Hyperlink"/>
          </w:rPr>
          <w:t xml:space="preserve">https://pubmed.ncbi.nlm.nih.gov/34743790/</w:t>
        </w:r>
      </w:hyperlink>
    </w:p>
    <w:p>
      <w:pPr>
        <w:pStyle w:val="BodyText"/>
      </w:pPr>
      <w:hyperlink r:id="rId27">
        <w:r>
          <w:rPr>
            <w:rStyle w:val="Hyperlink"/>
          </w:rPr>
          <w:t xml:space="preserve">[9]</w:t>
        </w:r>
      </w:hyperlink>
      <w:r>
        <w:t xml:space="preserve"> </w:t>
      </w:r>
      <w:r>
        <w:t xml:space="preserve">https://pmc.ncbi.nlm.nih.gov/articles/PMC11359170/</w:t>
      </w:r>
    </w:p>
    <w:p>
      <w:pPr>
        <w:pStyle w:val="BodyText"/>
      </w:pPr>
      <w:hyperlink r:id="rId27">
        <w:r>
          <w:rPr>
            <w:rStyle w:val="Hyperlink"/>
          </w:rPr>
          <w:t xml:space="preserve">https://pmc.ncbi.nlm.nih.gov/articles/PMC11359170/</w:t>
        </w:r>
      </w:hyperlink>
    </w:p>
    <w:p>
      <w:pPr>
        <w:pStyle w:val="BodyText"/>
      </w:pPr>
      <w:hyperlink r:id="rId28">
        <w:r>
          <w:rPr>
            <w:rStyle w:val="Hyperlink"/>
          </w:rPr>
          <w:t xml:space="preserve">[10]</w:t>
        </w:r>
      </w:hyperlink>
      <w:r>
        <w:t xml:space="preserve"> </w:t>
      </w:r>
      <w:hyperlink r:id="rId28">
        <w:r>
          <w:rPr>
            <w:rStyle w:val="Hyperlink"/>
          </w:rPr>
          <w:t xml:space="preserve">[13]</w:t>
        </w:r>
      </w:hyperlink>
      <w:r>
        <w:t xml:space="preserve"> </w:t>
      </w:r>
      <w:r>
        <w:t xml:space="preserve">https://link.springer.com/article/10.1007/s40258-025-00997-2</w:t>
      </w:r>
    </w:p>
    <w:p>
      <w:pPr>
        <w:pStyle w:val="BodyText"/>
      </w:pPr>
      <w:hyperlink r:id="rId28">
        <w:r>
          <w:rPr>
            <w:rStyle w:val="Hyperlink"/>
          </w:rPr>
          <w:t xml:space="preserve">https://link.springer.com/article/10.1007/s40258-025-00997-2</w:t>
        </w:r>
      </w:hyperlink>
    </w:p>
    <w:p>
      <w:pPr>
        <w:pStyle w:val="BodyText"/>
      </w:pPr>
      <w:hyperlink r:id="rId29">
        <w:r>
          <w:rPr>
            <w:rStyle w:val="Hyperlink"/>
          </w:rPr>
          <w:t xml:space="preserve">[11]</w:t>
        </w:r>
      </w:hyperlink>
      <w:r>
        <w:t xml:space="preserve"> </w:t>
      </w:r>
      <w:r>
        <w:t xml:space="preserve">https://pmc.ncbi.nlm.nih.gov/articles/PMC8144933/</w:t>
      </w:r>
    </w:p>
    <w:p>
      <w:pPr>
        <w:pStyle w:val="BodyText"/>
      </w:pPr>
      <w:hyperlink r:id="rId29">
        <w:r>
          <w:rPr>
            <w:rStyle w:val="Hyperlink"/>
          </w:rPr>
          <w:t xml:space="preserve">https://pmc.ncbi.nlm.nih.gov/articles/PMC8144933/</w:t>
        </w:r>
      </w:hyperlink>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link.springer.com/article/10.1007/s40258-025-00997-2" TargetMode="External" /><Relationship Type="http://schemas.openxmlformats.org/officeDocument/2006/relationships/hyperlink" Id="rId27" Target="https://pmc.ncbi.nlm.nih.gov/articles/PMC11359170/" TargetMode="External" /><Relationship Type="http://schemas.openxmlformats.org/officeDocument/2006/relationships/hyperlink" Id="rId29" Target="https://pmc.ncbi.nlm.nih.gov/articles/PMC8144933/" TargetMode="External" /><Relationship Type="http://schemas.openxmlformats.org/officeDocument/2006/relationships/hyperlink" Id="rId25" Target="https://pubmed.ncbi.nlm.nih.gov/34743790/" TargetMode="External" /><Relationship Type="http://schemas.openxmlformats.org/officeDocument/2006/relationships/hyperlink" Id="rId22" Target="https://pubmed.ncbi.nlm.nih.gov/?term=34942138" TargetMode="External" /><Relationship Type="http://schemas.openxmlformats.org/officeDocument/2006/relationships/hyperlink" Id="rId23" Target="https://www.cochrane.org/CD012714/EPILEPSY_medications-daytime-sleepiness-individuals-idiopathic-hypersomnia" TargetMode="External" /><Relationship Type="http://schemas.openxmlformats.org/officeDocument/2006/relationships/hyperlink" Id="rId21" Target="https://www.sciencedirect.com/science/article/pii/S0033318215002315" TargetMode="External" /></Relationships>
</file>

<file path=word/_rels/footnotes.xml.rels><?xml version="1.0" encoding="UTF-8"?><Relationships xmlns="http://schemas.openxmlformats.org/package/2006/relationships"><Relationship Type="http://schemas.openxmlformats.org/officeDocument/2006/relationships/hyperlink" Id="rId28" Target="https://link.springer.com/article/10.1007/s40258-025-00997-2" TargetMode="External" /><Relationship Type="http://schemas.openxmlformats.org/officeDocument/2006/relationships/hyperlink" Id="rId27" Target="https://pmc.ncbi.nlm.nih.gov/articles/PMC11359170/" TargetMode="External" /><Relationship Type="http://schemas.openxmlformats.org/officeDocument/2006/relationships/hyperlink" Id="rId29" Target="https://pmc.ncbi.nlm.nih.gov/articles/PMC8144933/" TargetMode="External" /><Relationship Type="http://schemas.openxmlformats.org/officeDocument/2006/relationships/hyperlink" Id="rId25" Target="https://pubmed.ncbi.nlm.nih.gov/34743790/" TargetMode="External" /><Relationship Type="http://schemas.openxmlformats.org/officeDocument/2006/relationships/hyperlink" Id="rId22" Target="https://pubmed.ncbi.nlm.nih.gov/?term=34942138" TargetMode="External" /><Relationship Type="http://schemas.openxmlformats.org/officeDocument/2006/relationships/hyperlink" Id="rId23" Target="https://www.cochrane.org/CD012714/EPILEPSY_medications-daytime-sleepiness-individuals-idiopathic-hypersomnia" TargetMode="External" /><Relationship Type="http://schemas.openxmlformats.org/officeDocument/2006/relationships/hyperlink" Id="rId21" Target="https://www.sciencedirect.com/science/article/pii/S00333182150023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2026-05-05T13:16:20Z</dcterms:created>
  <dcterms:modified xsi:type="dcterms:W3CDTF">2026-05-05T13:16:20Z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