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23A5E"/>
          <w:sz w:val="40"/>
        </w:rPr>
        <w:t>JUSTIN THOMAS</w:t>
      </w:r>
    </w:p>
    <w:p>
      <w:pPr>
        <w:spacing w:after="0"/>
        <w:jc w:val="center"/>
      </w:pPr>
      <w:r>
        <w:rPr>
          <w:b/>
          <w:sz w:val="22"/>
        </w:rPr>
        <w:t>Site Construction Head – Utility-Scale Renewable Power Projects  |  Solar · BESS · HV Balance of Plant</w:t>
      </w:r>
    </w:p>
    <w:p>
      <w:pPr>
        <w:jc w:val="center"/>
        <w:pBdr>
          <w:bottom w:val="single" w:sz="8" w:space="1" w:color="123A5E"/>
        </w:pBdr>
      </w:pPr>
      <w:r>
        <w:rPr>
          <w:color w:val="555555"/>
          <w:sz w:val="19"/>
        </w:rPr>
        <w:t>Hyderabad, India (open to relocation – Rajasthan / pan-India)  |  +91 94466 74610  |  justinthomas1992@gmail.com  |  linkedin.com/in/justinthomass</w:t>
      </w:r>
    </w:p>
    <w:p>
      <w:pPr>
        <w:spacing w:before="160" w:after="60"/>
        <w:pBdr>
          <w:bottom w:val="single" w:sz="8" w:space="1" w:color="123A5E"/>
        </w:pBdr>
      </w:pPr>
      <w:r>
        <w:rPr>
          <w:b/>
          <w:color w:val="123A5E"/>
          <w:sz w:val="22"/>
        </w:rPr>
        <w:t>PROFESSIONAL SUMMARY</w:t>
      </w:r>
    </w:p>
    <w:p>
      <w:pPr>
        <w:jc w:val="both"/>
      </w:pPr>
      <w:r>
        <w:t>Renewable-energy construction leader with 11+ years delivering utility-scale power assets – ~3.9 GW of solar and ~1 GWh of battery storage – through site execution, contractor management, QA/QC, EHS, testing, commissioning and handover. Has run civil, mechanical and electrical site packages, multi-contractor balance-of-plant (BOP) works and the 145 kV grid-evacuation interface that every wind farm shares. Brings recent Rajasthan site experience on the 1,034 MW Siyambar / Bandha programme in Jaisalmer district and 450 MWp in Bikaner, and has seen projects from all four sides of the contract – EPC contractor, Owner's Engineer, IPP / developer and government agency – so understands what the client, the Owner's Engineer and the contractor each need to close a milestone. Certified Lean Six Sigma Green Belt; known for building site systems that are safe, auditable and right first time.</w:t>
      </w:r>
    </w:p>
    <w:p>
      <w:pPr>
        <w:spacing w:before="160" w:after="60"/>
        <w:pBdr>
          <w:bottom w:val="single" w:sz="8" w:space="1" w:color="123A5E"/>
        </w:pBdr>
      </w:pPr>
      <w:r>
        <w:rPr>
          <w:b/>
          <w:color w:val="123A5E"/>
          <w:sz w:val="22"/>
        </w:rPr>
        <w:t>CORE COMPETENCIES – MAPPED TO THE ROLE</w:t>
      </w:r>
    </w:p>
    <w:p>
      <w:pPr>
        <w:pStyle w:val="ListBullet"/>
        <w:spacing w:after="20"/>
      </w:pPr>
      <w:r>
        <w:rPr>
          <w:b/>
        </w:rPr>
        <w:t xml:space="preserve">Site Construction Leadership: </w:t>
      </w:r>
      <w:r>
        <w:t>civil foundations, mechanical erection and electrical works on multi-package utility-scale sites</w:t>
      </w:r>
    </w:p>
    <w:p>
      <w:pPr>
        <w:pStyle w:val="ListBullet"/>
        <w:spacing w:after="20"/>
      </w:pPr>
      <w:r>
        <w:rPr>
          <w:b/>
        </w:rPr>
        <w:t xml:space="preserve">EHS &amp; Compliance: </w:t>
      </w:r>
      <w:r>
        <w:t>zero-incident focus, permit-to-work, HSE governance, monsoon / weather-readiness planning, IEC / IEEE standards</w:t>
      </w:r>
    </w:p>
    <w:p>
      <w:pPr>
        <w:pStyle w:val="ListBullet"/>
        <w:spacing w:after="20"/>
      </w:pPr>
      <w:r>
        <w:rPr>
          <w:b/>
        </w:rPr>
        <w:t xml:space="preserve">Contractor &amp; Vendor Management: </w:t>
      </w:r>
      <w:r>
        <w:t>EPC contractors, subcontractors and OEMs; drawing approvals, FAT / PDI, site acceptance, defect closure</w:t>
      </w:r>
    </w:p>
    <w:p>
      <w:pPr>
        <w:pStyle w:val="ListBullet"/>
        <w:spacing w:after="20"/>
      </w:pPr>
      <w:r>
        <w:rPr>
          <w:b/>
        </w:rPr>
        <w:t xml:space="preserve">Schedule &amp; Progress Control: </w:t>
      </w:r>
      <w:r>
        <w:t>MS Project scheduling, milestone verification, DPR / MIS reporting, punch-list closure to COD</w:t>
      </w:r>
    </w:p>
    <w:p>
      <w:pPr>
        <w:pStyle w:val="ListBullet"/>
        <w:spacing w:after="20"/>
      </w:pPr>
      <w:r>
        <w:rPr>
          <w:b/>
        </w:rPr>
        <w:t xml:space="preserve">Quality Assurance / Control: </w:t>
      </w:r>
      <w:r>
        <w:t>ISO 9001:2015, QAP / ITP, field quality plans, hold &amp; witness points, NCR / RCA / CAPA</w:t>
      </w:r>
    </w:p>
    <w:p>
      <w:pPr>
        <w:pStyle w:val="ListBullet"/>
        <w:spacing w:after="20"/>
      </w:pPr>
      <w:r>
        <w:rPr>
          <w:b/>
        </w:rPr>
        <w:t xml:space="preserve">Grid Connection &amp; BOP: </w:t>
      </w:r>
      <w:r>
        <w:t>pooling substations, 33 kV HT panels, power transformers, 145 kV switchyard and evacuation systems</w:t>
      </w:r>
    </w:p>
    <w:p>
      <w:pPr>
        <w:pStyle w:val="ListBullet"/>
        <w:spacing w:after="20"/>
      </w:pPr>
      <w:r>
        <w:rPr>
          <w:b/>
        </w:rPr>
        <w:t xml:space="preserve">Stakeholders &amp; Risk: </w:t>
      </w:r>
      <w:r>
        <w:t>client, Owner's Engineer, local authorities and community interface; technical, safety and schedule risk mitigation</w:t>
      </w:r>
    </w:p>
    <w:p>
      <w:pPr>
        <w:pStyle w:val="ListBullet"/>
        <w:spacing w:after="20"/>
      </w:pPr>
      <w:r>
        <w:rPr>
          <w:b/>
        </w:rPr>
        <w:t xml:space="preserve">People: </w:t>
      </w:r>
      <w:r>
        <w:t>site team leadership, training and capability building; English, Hindi, Malayalam, Tamil</w:t>
      </w:r>
    </w:p>
    <w:p>
      <w:pPr>
        <w:spacing w:before="160" w:after="60"/>
        <w:pBdr>
          <w:bottom w:val="single" w:sz="8" w:space="1" w:color="123A5E"/>
        </w:pBdr>
      </w:pPr>
      <w:r>
        <w:rPr>
          <w:b/>
          <w:color w:val="123A5E"/>
          <w:sz w:val="22"/>
        </w:rPr>
        <w:t>PROJECT PORTFOLIO – ~3.9 GW SOLAR | ~1 GWH BESS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8"/>
              </w:rPr>
              <w:t>Capacity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550"/>
          </w:tcPr>
          <w:p>
            <w:r/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JSW Renew Energy 38L – standalone LFP BESS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125 MW / 500 MWh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Kasaragod, Kerala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EPC Contractor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Khavda BESS + solar hybrid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500 MW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Khavda, Gujarat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Owner's Engineer / TPI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Siyambar / Bandha solar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1,034 MW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Jaisalmer, Rajasthan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Owner's Engineer / TPI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TP Solapur solar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450 MWp / 335 MW AC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Bikaner, Rajasthan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IPP / Developer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Dholera solar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300 MW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Dholera, Gujarat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IPP / Developer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Pavagada Solar Park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2,050 MW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Tumakuru, Karnataka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Implementing Agency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Lakshadweep island BESS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1.4 MWh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Lakshadweep, UT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Implementing Agency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Cochin International Airport solar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25.4 MW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Kochi, Kerala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8"/>
              </w:rPr>
              <w:t>Execution &amp; O&amp;M</w:t>
            </w:r>
          </w:p>
        </w:tc>
      </w:tr>
    </w:tbl>
    <w:p>
      <w:pPr>
        <w:spacing w:before="160" w:after="60"/>
        <w:pBdr>
          <w:bottom w:val="single" w:sz="8" w:space="1" w:color="123A5E"/>
        </w:pBdr>
      </w:pPr>
      <w:r>
        <w:rPr>
          <w:b/>
          <w:color w:val="123A5E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7"/>
        <w:gridCol w:w="2268"/>
      </w:tblGrid>
      <w:tr>
        <w:tc>
          <w:tcPr>
            <w:tcW w:type="dxa" w:w="7597"/>
          </w:tcPr>
          <w:p>
            <w:pPr>
              <w:spacing w:after="0"/>
            </w:pPr>
            <w:r>
              <w:rPr>
                <w:b/>
                <w:color w:val="123A5E"/>
              </w:rPr>
              <w:t>Manager – Electrical Projects</w:t>
            </w:r>
            <w:r>
              <w:rPr>
                <w:b/>
              </w:rPr>
              <w:t xml:space="preserve">  |  Amara Raja Infra Pvt. Ltd.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i/>
                <w:color w:val="555555"/>
              </w:rPr>
              <w:t>Aug 2025 – Present</w:t>
            </w:r>
          </w:p>
        </w:tc>
      </w:tr>
    </w:tbl>
    <w:p>
      <w:pPr>
        <w:spacing w:before="20"/>
      </w:pPr>
      <w:r>
        <w:rPr>
          <w:i/>
          <w:color w:val="555555"/>
          <w:sz w:val="19"/>
        </w:rPr>
        <w:t>JSW Renew Energy 38L – 125 MW / 500 MWh standalone LFP BESS, Kasaragod, Kerala · EPC scope · TCE as Owner's Engineer</w:t>
      </w:r>
    </w:p>
    <w:p>
      <w:pPr>
        <w:pStyle w:val="ListBullet"/>
        <w:spacing w:after="20"/>
      </w:pPr>
      <w:r>
        <w:t>Leads electrical project delivery and site QA/QC for one of India's largest storage assets under construction – containerised battery systems, PCS, MV / HV balance of plant and the 145 kV evacuation interface.</w:t>
      </w:r>
    </w:p>
    <w:p>
      <w:pPr>
        <w:pStyle w:val="ListBullet"/>
        <w:spacing w:after="20"/>
      </w:pPr>
      <w:r>
        <w:t>Coordinates the OEM and vendor interface across Gotion, Hopewind, Shilchar, Trisquare, CG Power, KEC, Smart Grid and Fuji Electric – drawing approvals, pre-dispatch inspection, site acceptance and defect closure.</w:t>
      </w:r>
    </w:p>
    <w:p>
      <w:pPr>
        <w:pStyle w:val="ListBullet"/>
        <w:spacing w:after="20"/>
      </w:pPr>
      <w:r>
        <w:t>Set up the site quality-control regime: RFI register with 278 entries tracked to closure, NCR / observation management, RCA and CAPA reporting, and post-pour foundation inspection checklists for civil works.</w:t>
      </w:r>
    </w:p>
    <w:p>
      <w:pPr>
        <w:pStyle w:val="ListBullet"/>
        <w:spacing w:after="20"/>
      </w:pPr>
      <w:r>
        <w:t>Keeps the site audit-ready for the Owner's Engineer and the client, with work sequenced across civil, mechanical and electrical packages.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7"/>
        <w:gridCol w:w="2268"/>
      </w:tblGrid>
      <w:tr>
        <w:tc>
          <w:tcPr>
            <w:tcW w:type="dxa" w:w="7597"/>
          </w:tcPr>
          <w:p>
            <w:pPr>
              <w:spacing w:after="0"/>
            </w:pPr>
            <w:r>
              <w:rPr>
                <w:b/>
                <w:color w:val="123A5E"/>
              </w:rPr>
              <w:t>Owner's Engineer – Quality &amp; Inspection</w:t>
            </w:r>
            <w:r>
              <w:rPr>
                <w:b/>
              </w:rPr>
              <w:t xml:space="preserve">  |  TQ Cert Services (Tata Projects Ltd.)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i/>
                <w:color w:val="555555"/>
              </w:rPr>
              <w:t>Aug 2023 – Aug 2025</w:t>
            </w:r>
          </w:p>
        </w:tc>
      </w:tr>
    </w:tbl>
    <w:p>
      <w:pPr>
        <w:spacing w:before="20"/>
      </w:pPr>
      <w:r>
        <w:rPr>
          <w:i/>
          <w:color w:val="555555"/>
          <w:sz w:val="19"/>
        </w:rPr>
        <w:t>500 MW BESS + solar hybrid, Khavda, Gujarat  |  1,034 MW Siyambar / Bandha solar, Jaisalmer, Rajasthan</w:t>
      </w:r>
    </w:p>
    <w:p>
      <w:pPr>
        <w:pStyle w:val="ListBullet"/>
        <w:spacing w:after="20"/>
      </w:pPr>
      <w:r>
        <w:t>Served as the client's technical and quality authority, overseeing EPC contractor performance on two of the country's largest renewable programmes, including the Jaisalmer site in western Rajasthan.</w:t>
      </w:r>
    </w:p>
    <w:p>
      <w:pPr>
        <w:pStyle w:val="ListBullet"/>
        <w:spacing w:after="20"/>
      </w:pPr>
      <w:r>
        <w:t>Reviewed and approved contractor QAPs, ITPs and field quality procedures; enforced hold and witness points so stage clearances were evidence-based rather than schedule-driven.</w:t>
      </w:r>
    </w:p>
    <w:p>
      <w:pPr>
        <w:pStyle w:val="ListBullet"/>
        <w:spacing w:after="20"/>
      </w:pPr>
      <w:r>
        <w:t>Carried out FAT / pre-dispatch inspection at OEM works for modules, inverters, transformers, switchgear and battery systems, stopping non-conforming equipment before it reached site.</w:t>
      </w:r>
    </w:p>
    <w:p>
      <w:pPr>
        <w:pStyle w:val="ListBullet"/>
        <w:spacing w:after="20"/>
      </w:pPr>
      <w:r>
        <w:t>Issued, tracked and closed NCRs, led quality audits, reviewed designs and drawings, and decided deviation and concession requests on technical merit.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7"/>
        <w:gridCol w:w="2268"/>
      </w:tblGrid>
      <w:tr>
        <w:tc>
          <w:tcPr>
            <w:tcW w:type="dxa" w:w="7597"/>
          </w:tcPr>
          <w:p>
            <w:pPr>
              <w:spacing w:after="0"/>
            </w:pPr>
            <w:r>
              <w:rPr>
                <w:b/>
                <w:color w:val="123A5E"/>
              </w:rPr>
              <w:t>Project Lead</w:t>
            </w:r>
            <w:r>
              <w:rPr>
                <w:b/>
              </w:rPr>
              <w:t xml:space="preserve">  |  Tata Power Renewable Energy Ltd.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i/>
                <w:color w:val="555555"/>
              </w:rPr>
              <w:t>Aug 2022 – Aug 2023</w:t>
            </w:r>
          </w:p>
        </w:tc>
      </w:tr>
    </w:tbl>
    <w:p>
      <w:pPr>
        <w:spacing w:before="20"/>
      </w:pPr>
      <w:r>
        <w:rPr>
          <w:i/>
          <w:color w:val="555555"/>
          <w:sz w:val="19"/>
        </w:rPr>
        <w:t>450 MWp / 335 MW AC solar, Bikaner, Rajasthan  |  300 MW solar, Dholera, Gujarat</w:t>
      </w:r>
    </w:p>
    <w:p>
      <w:pPr>
        <w:pStyle w:val="ListBullet"/>
        <w:spacing w:after="20"/>
      </w:pPr>
      <w:r>
        <w:t>Led developer-side site execution across ~750 MW in two states, holding EPC contractors to schedule, quality and safety commitments on behalf of the asset owner.</w:t>
      </w:r>
    </w:p>
    <w:p>
      <w:pPr>
        <w:pStyle w:val="ListBullet"/>
        <w:spacing w:after="20"/>
      </w:pPr>
      <w:r>
        <w:t>Tracked construction progress through site reviews, milestone verification and punch-list closure, taking contractors through to commissioning and COD readiness.</w:t>
      </w:r>
    </w:p>
    <w:p>
      <w:pPr>
        <w:pStyle w:val="ListBullet"/>
        <w:spacing w:after="20"/>
      </w:pPr>
      <w:r>
        <w:t>Coordinated engineering, procurement, contracts, HSE and O&amp;M to resolve interface issues and keep multi-package sites in sequence.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7"/>
        <w:gridCol w:w="2268"/>
      </w:tblGrid>
      <w:tr>
        <w:tc>
          <w:tcPr>
            <w:tcW w:type="dxa" w:w="7597"/>
          </w:tcPr>
          <w:p>
            <w:pPr>
              <w:spacing w:after="0"/>
            </w:pPr>
            <w:r>
              <w:rPr>
                <w:b/>
                <w:color w:val="123A5E"/>
              </w:rPr>
              <w:t>Project Engineer – Implementation</w:t>
            </w:r>
            <w:r>
              <w:rPr>
                <w:b/>
              </w:rPr>
              <w:t xml:space="preserve">  |  Solar Energy Corporation of India (SECI)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i/>
                <w:color w:val="555555"/>
              </w:rPr>
              <w:t>Oct 2020 – Aug 2022</w:t>
            </w:r>
          </w:p>
        </w:tc>
      </w:tr>
    </w:tbl>
    <w:p>
      <w:pPr>
        <w:spacing w:before="20"/>
      </w:pPr>
      <w:r>
        <w:rPr>
          <w:i/>
          <w:color w:val="555555"/>
          <w:sz w:val="19"/>
        </w:rPr>
        <w:t>2,050 MW Pavagada Solar Park, Karnataka  |  1.4 MWh island BESS, Lakshadweep</w:t>
      </w:r>
    </w:p>
    <w:p>
      <w:pPr>
        <w:pStyle w:val="ListBullet"/>
        <w:spacing w:after="20"/>
      </w:pPr>
      <w:r>
        <w:t>Monitored developer and contractor delivery against scheme milestones at one of the world's largest solar parks, on behalf of the central nodal agency.</w:t>
      </w:r>
    </w:p>
    <w:p>
      <w:pPr>
        <w:pStyle w:val="ListBullet"/>
        <w:spacing w:after="20"/>
      </w:pPr>
      <w:r>
        <w:t>Delivered a 1.4 MWh island BESS under logistically constrained conditions, which involved planning material, manpower and equipment around limited access.</w:t>
      </w:r>
    </w:p>
    <w:p>
      <w:pPr>
        <w:pStyle w:val="ListBullet"/>
        <w:spacing w:after="20"/>
      </w:pPr>
      <w:r>
        <w:t>Built the policy, tendering and authority-liaison experience behind contract-aware site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97"/>
        <w:gridCol w:w="2268"/>
      </w:tblGrid>
      <w:tr>
        <w:tc>
          <w:tcPr>
            <w:tcW w:type="dxa" w:w="7597"/>
          </w:tcPr>
          <w:p>
            <w:pPr>
              <w:spacing w:after="0"/>
            </w:pPr>
            <w:r>
              <w:rPr>
                <w:b/>
                <w:color w:val="123A5E"/>
              </w:rPr>
              <w:t>Electrical Engineer – Execution &amp; O&amp;M</w:t>
            </w:r>
            <w:r>
              <w:rPr>
                <w:b/>
              </w:rPr>
              <w:t xml:space="preserve">  |  KC Kopar Energy Solutions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i/>
                <w:color w:val="555555"/>
              </w:rPr>
              <w:t>Jun 2015 – Oct 2020</w:t>
            </w:r>
          </w:p>
        </w:tc>
      </w:tr>
    </w:tbl>
    <w:p>
      <w:pPr>
        <w:spacing w:before="20"/>
      </w:pPr>
      <w:r>
        <w:rPr>
          <w:i/>
          <w:color w:val="555555"/>
          <w:sz w:val="19"/>
        </w:rPr>
        <w:t>25.4 MW solar at Cochin International Airport (CIAL) – the world's first fully solar-powered airport</w:t>
      </w:r>
    </w:p>
    <w:p>
      <w:pPr>
        <w:pStyle w:val="ListBullet"/>
        <w:spacing w:after="20"/>
      </w:pPr>
      <w:r>
        <w:t>Executed installation, testing and commissioning of modules, inverters, LT / HT switchgear, transformers and evacuation infrastructure in a live, security-controlled airport environment.</w:t>
      </w:r>
    </w:p>
    <w:p>
      <w:pPr>
        <w:pStyle w:val="ListBullet"/>
        <w:spacing w:after="20"/>
      </w:pPr>
      <w:r>
        <w:t>Ran plant O&amp;M – preventive and breakdown maintenance, fault diagnosis and generation reporting – learning the failure modes that now guide construction QA/QC decisions.</w:t>
      </w:r>
    </w:p>
    <w:p>
      <w:pPr>
        <w:spacing w:before="160" w:after="60"/>
        <w:pBdr>
          <w:bottom w:val="single" w:sz="8" w:space="1" w:color="123A5E"/>
        </w:pBdr>
      </w:pPr>
      <w:r>
        <w:rPr>
          <w:b/>
          <w:color w:val="123A5E"/>
          <w:sz w:val="22"/>
        </w:rPr>
        <w:t>EDUCATION &amp; CERTIFICATION</w:t>
      </w:r>
    </w:p>
    <w:p>
      <w:pPr>
        <w:pStyle w:val="ListBullet"/>
        <w:spacing w:after="20"/>
      </w:pPr>
      <w:r>
        <w:rPr>
          <w:b/>
        </w:rPr>
        <w:t>B.Tech (Full-Time), Electrical &amp; Electronics Engineering –</w:t>
      </w:r>
      <w:r>
        <w:t xml:space="preserve"> SCMS School of Engineering &amp; Technology, Cochin (2011 – 2015)</w:t>
      </w:r>
    </w:p>
    <w:p>
      <w:pPr>
        <w:pStyle w:val="ListBullet"/>
        <w:spacing w:after="20"/>
      </w:pPr>
      <w:r>
        <w:rPr>
          <w:b/>
        </w:rPr>
        <w:t>Certified Lean Six Sigma Green Belt (CLSSGB)</w:t>
      </w:r>
      <w:r/>
    </w:p>
    <w:p>
      <w:pPr>
        <w:pStyle w:val="ListBullet"/>
        <w:spacing w:after="20"/>
      </w:pPr>
      <w:r>
        <w:rPr>
          <w:b/>
        </w:rPr>
        <w:t>Tools:</w:t>
      </w:r>
      <w:r>
        <w:t xml:space="preserve"> MS Project, AutoCAD, DPR / MIS reporting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