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Justin Casteel</w:t>
        <w:br w:type="textWrapping"/>
        <w:t xml:space="preserve">June 12, 2016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Project 2 - Written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UML Diagram - Attached as .gif image in a separate file.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 approach going into this project was to keep the interface as simple, readable, and understandable to the user as possible.  This also includes the error messages, I wanted the user to know right away without getting frustrated what was going on and what they needed to change to use the program successfully.  I documented each and every method and functions in my program through comments to easily be read by someone else looking at my code.  I kept my code readable and organized with good indentation practice so errors could be found easily and also made the code easy to read and understand.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learned a lot in this project that I didn’t know before, especially with action listeners and buttons.  It is great that the java developers have made such an easy to use system, having a separate action listener for each button in your program on what that button should do.  I also learned about types of error boxes and symbols you can use inside the popup boxes, it doesn’t just have to be the default settings, you can change it up a lot and really make your program stand out to the user.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Plan: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user interface presented to the user at program execution: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95650" cy="18859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error box shown to the user when trying to withdraw or deposit any amount that isn’t in increments of $20.00.  This same error message shows when trying to transfer funds from one account to the other and not using $20.00 increments.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48150" cy="1133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Shows the balance of the currently selected account: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62275" cy="11144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86075" cy="11144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user is able to type numbers in increments of 20 in the text field below, for example: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95650" cy="1885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Transferring from one account to another will have a success box as follows for each account, using this in $20.00 increments is not needed: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76700" cy="11144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76700" cy="11144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76700" cy="11144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76700" cy="11144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