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160"/>
        <w:jc w:val="center"/>
      </w:pPr>
      <w:r>
        <w:rPr>
          <w:rFonts w:ascii="Calibri" w:hAnsi="Calibri"/>
          <w:b/>
          <w:color w:val="17324D"/>
          <w:sz w:val="60"/>
        </w:rPr>
        <w:t>RentalApp</w:t>
      </w:r>
    </w:p>
    <w:p>
      <w:pPr>
        <w:spacing w:after="560"/>
        <w:jc w:val="center"/>
      </w:pPr>
      <w:r>
        <w:rPr>
          <w:rFonts w:ascii="Calibri" w:hAnsi="Calibri"/>
          <w:b w:val="0"/>
          <w:color w:val="1D7A8C"/>
          <w:sz w:val="32"/>
        </w:rPr>
        <w:t>Peer-to-Peer Library of Things</w:t>
      </w:r>
    </w:p>
    <w:p>
      <w:pPr>
        <w:spacing w:after="520"/>
        <w:jc w:val="center"/>
      </w:pPr>
      <w:r>
        <w:rPr>
          <w:rFonts w:ascii="Calibri" w:hAnsi="Calibri"/>
          <w:b/>
          <w:color w:val="52606D"/>
          <w:sz w:val="26"/>
        </w:rPr>
        <w:t>SET09102 - Software Engineering</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2500"/>
        <w:gridCol w:w="6860"/>
      </w:tblGrid>
      <w:tr>
        <w:trPr>
          <w:tblHeader w:val="true"/>
        </w:trPr>
        <w:tc>
          <w:tcPr>
            <w:tcW w:type="dxa" w:w="2500"/>
            <w:tcMar>
              <w:top w:w="80" w:type="dxa"/>
              <w:start w:w="120" w:type="dxa"/>
              <w:bottom w:w="80" w:type="dxa"/>
              <w:end w:w="120" w:type="dxa"/>
            </w:tcMar>
            <w:shd w:fill="F2F4F7"/>
            <w:vAlign w:val="center"/>
          </w:tcPr>
          <w:p>
            <w:pPr>
              <w:spacing w:after="0"/>
            </w:pPr>
            <w:r>
              <w:rPr>
                <w:rFonts w:ascii="Calibri" w:hAnsi="Calibri"/>
                <w:b/>
                <w:color w:val="17324D"/>
                <w:sz w:val="22"/>
              </w:rPr>
              <w:t>Report detail</w:t>
            </w:r>
          </w:p>
        </w:tc>
        <w:tc>
          <w:tcPr>
            <w:tcW w:type="dxa" w:w="6860"/>
            <w:tcMar>
              <w:top w:w="80" w:type="dxa"/>
              <w:start w:w="120" w:type="dxa"/>
              <w:bottom w:w="80" w:type="dxa"/>
              <w:end w:w="120" w:type="dxa"/>
            </w:tcMar>
            <w:shd w:fill="F2F4F7"/>
            <w:vAlign w:val="center"/>
          </w:tcPr>
          <w:p>
            <w:pPr>
              <w:spacing w:after="0"/>
            </w:pPr>
            <w:r>
              <w:rPr>
                <w:rFonts w:ascii="Calibri" w:hAnsi="Calibri"/>
                <w:b/>
                <w:color w:val="17324D"/>
                <w:sz w:val="22"/>
              </w:rPr>
              <w:t>Value</w:t>
            </w:r>
          </w:p>
        </w:tc>
      </w:tr>
      <w:tr>
        <w:tc>
          <w:tcPr>
            <w:tcW w:type="dxa" w:w="2500"/>
            <w:vAlign w:val="top"/>
          </w:tcPr>
          <w:p>
            <w:pPr>
              <w:spacing w:after="0"/>
            </w:pPr>
            <w:r>
              <w:rPr>
                <w:rFonts w:ascii="Calibri" w:hAnsi="Calibri"/>
                <w:color w:val="1E293B"/>
                <w:sz w:val="22"/>
              </w:rPr>
              <w:t>Student</w:t>
            </w:r>
          </w:p>
        </w:tc>
        <w:tc>
          <w:tcPr>
            <w:tcW w:type="dxa" w:w="6860"/>
            <w:vAlign w:val="top"/>
          </w:tcPr>
          <w:p>
            <w:pPr>
              <w:spacing w:after="0"/>
            </w:pPr>
            <w:r>
              <w:rPr>
                <w:rFonts w:ascii="Calibri" w:hAnsi="Calibri"/>
                <w:color w:val="1E293B"/>
                <w:sz w:val="22"/>
              </w:rPr>
              <w:t>Justin Wylie</w:t>
            </w:r>
          </w:p>
        </w:tc>
      </w:tr>
      <w:tr>
        <w:tc>
          <w:tcPr>
            <w:tcW w:type="dxa" w:w="2500"/>
            <w:vAlign w:val="top"/>
          </w:tcPr>
          <w:p>
            <w:pPr>
              <w:spacing w:after="0"/>
            </w:pPr>
            <w:r>
              <w:rPr>
                <w:rFonts w:ascii="Calibri" w:hAnsi="Calibri"/>
                <w:color w:val="1E293B"/>
                <w:sz w:val="22"/>
              </w:rPr>
              <w:t>Matriculation number</w:t>
            </w:r>
          </w:p>
        </w:tc>
        <w:tc>
          <w:tcPr>
            <w:tcW w:type="dxa" w:w="6860"/>
            <w:vAlign w:val="top"/>
          </w:tcPr>
          <w:p>
            <w:pPr>
              <w:spacing w:after="0"/>
            </w:pPr>
            <w:r>
              <w:rPr>
                <w:rFonts w:ascii="Calibri" w:hAnsi="Calibri"/>
                <w:color w:val="1E293B"/>
                <w:sz w:val="22"/>
              </w:rPr>
              <w:t>40535392</w:t>
            </w:r>
          </w:p>
        </w:tc>
      </w:tr>
      <w:tr>
        <w:tc>
          <w:tcPr>
            <w:tcW w:type="dxa" w:w="2500"/>
            <w:vAlign w:val="top"/>
          </w:tcPr>
          <w:p>
            <w:pPr>
              <w:spacing w:after="0"/>
            </w:pPr>
            <w:r>
              <w:rPr>
                <w:rFonts w:ascii="Calibri" w:hAnsi="Calibri"/>
                <w:color w:val="1E293B"/>
                <w:sz w:val="22"/>
              </w:rPr>
              <w:t>Target</w:t>
            </w:r>
          </w:p>
        </w:tc>
        <w:tc>
          <w:tcPr>
            <w:tcW w:type="dxa" w:w="6860"/>
            <w:vAlign w:val="top"/>
          </w:tcPr>
          <w:p>
            <w:pPr>
              <w:spacing w:after="0"/>
            </w:pPr>
            <w:r>
              <w:rPr>
                <w:rFonts w:ascii="Calibri" w:hAnsi="Calibri"/>
                <w:color w:val="1E293B"/>
                <w:sz w:val="22"/>
              </w:rPr>
              <w:t>70% band: complete Tier 1 and Tier 2 plus advanced State Pattern</w:t>
            </w:r>
          </w:p>
        </w:tc>
      </w:tr>
      <w:tr>
        <w:tc>
          <w:tcPr>
            <w:tcW w:type="dxa" w:w="2500"/>
            <w:vAlign w:val="top"/>
          </w:tcPr>
          <w:p>
            <w:pPr>
              <w:spacing w:after="0"/>
            </w:pPr>
            <w:r>
              <w:rPr>
                <w:rFonts w:ascii="Calibri" w:hAnsi="Calibri"/>
                <w:color w:val="1E293B"/>
                <w:sz w:val="22"/>
              </w:rPr>
              <w:t>Submission date</w:t>
            </w:r>
          </w:p>
        </w:tc>
        <w:tc>
          <w:tcPr>
            <w:tcW w:type="dxa" w:w="6860"/>
            <w:vAlign w:val="top"/>
            <w:shd w:fill="FFF4D6"/>
          </w:tcPr>
          <w:p>
            <w:pPr>
              <w:spacing w:after="0"/>
            </w:pPr>
            <w:r>
              <w:rPr>
                <w:rFonts w:ascii="Calibri" w:hAnsi="Calibri"/>
                <w:color w:val="1E293B"/>
                <w:sz w:val="22"/>
              </w:rPr>
              <w:t>26 July 2026</w:t>
            </w:r>
          </w:p>
        </w:tc>
      </w:tr>
      <w:tr>
        <w:tc>
          <w:tcPr>
            <w:tcW w:type="dxa" w:w="2500"/>
            <w:vAlign w:val="top"/>
          </w:tcPr>
          <w:p>
            <w:pPr>
              <w:spacing w:after="0"/>
            </w:pPr>
            <w:r>
              <w:rPr>
                <w:rFonts w:ascii="Calibri" w:hAnsi="Calibri"/>
                <w:color w:val="1E293B"/>
                <w:sz w:val="22"/>
              </w:rPr>
              <w:t>Public GitHub URL</w:t>
            </w:r>
          </w:p>
        </w:tc>
        <w:tc>
          <w:tcPr>
            <w:tcW w:type="dxa" w:w="6860"/>
            <w:vAlign w:val="top"/>
            <w:shd w:fill="FFF4D6"/>
          </w:tcPr>
          <w:p>
            <w:pPr>
              <w:spacing w:after="0"/>
            </w:pPr>
            <w:r>
              <w:rPr>
                <w:rFonts w:ascii="Calibri" w:hAnsi="Calibri"/>
                <w:color w:val="1E293B"/>
                <w:sz w:val="22"/>
              </w:rPr>
              <w:t>ADD PUBLIC URL BEFORE SUBMISSION</w:t>
            </w:r>
          </w:p>
        </w:tc>
      </w:tr>
    </w:tbl>
    <w:p/>
    <w:tbl>
      <w:tblPr>
        <w:tblW w:type="dxa" w:w="9360"/>
        <w:jc w:val="left"/>
        <w:tblLayout w:type="fixed"/>
        <w:tblLook w:firstColumn="1" w:firstRow="1" w:lastColumn="0" w:lastRow="0" w:noHBand="0" w:noVBand="1" w:val="04A0"/>
        <w:tblInd w:w="120" w:type="dxa"/>
        <w:tblBorders>
          <w:top w:val="single" w:sz="9" w:color="9A6700"/>
          <w:left w:val="single" w:sz="9" w:color="9A6700"/>
          <w:bottom w:val="single" w:sz="9" w:color="9A6700"/>
          <w:right w:val="single" w:sz="9" w:color="9A6700"/>
          <w:insideH w:val="single" w:sz="9" w:color="9A6700"/>
          <w:insideV w:val="single" w:sz="9" w:color="9A6700"/>
        </w:tblBorders>
      </w:tblPr>
      <w:tblGrid>
        <w:gridCol w:w="9360"/>
      </w:tblGrid>
      <w:tr>
        <w:tc>
          <w:tcPr>
            <w:tcW w:type="dxa" w:w="9360"/>
            <w:tcMar>
              <w:top w:w="80" w:type="dxa"/>
              <w:start w:w="120" w:type="dxa"/>
              <w:bottom w:w="80" w:type="dxa"/>
              <w:end w:w="120" w:type="dxa"/>
            </w:tcMar>
            <w:shd w:fill="FFF4D6"/>
          </w:tcPr>
          <w:p>
            <w:pPr>
              <w:spacing w:after="40"/>
            </w:pPr>
            <w:r>
              <w:rPr>
                <w:rFonts w:ascii="Calibri" w:hAnsi="Calibri"/>
                <w:b/>
                <w:color w:val="9A6700"/>
                <w:sz w:val="24"/>
              </w:rPr>
              <w:t>Evidence status</w:t>
            </w:r>
          </w:p>
          <w:p>
            <w:pPr>
              <w:spacing w:after="0"/>
            </w:pPr>
            <w:r>
              <w:rPr>
                <w:rFonts w:ascii="Calibri" w:hAnsi="Calibri"/>
                <w:color w:val="1E293B"/>
                <w:sz w:val="22"/>
              </w:rPr>
              <w:t>All source-based sections are populated and one real Near me screenshot is included. Before submission, add the public repository URL, seven remaining emulator captures, the coverage-report screenshot, and a green GitHub Actions run.</w:t>
            </w:r>
          </w:p>
        </w:tc>
      </w:tr>
    </w:tbl>
    <w:p>
      <w:pPr>
        <w:spacing w:after="0"/>
      </w:pPr>
    </w:p>
    <w:p>
      <w:r>
        <w:br w:type="page"/>
      </w:r>
    </w:p>
    <w:p>
      <w:pPr>
        <w:pStyle w:val="Heading1"/>
        <w:keepNext/>
      </w:pPr>
      <w:r>
        <w:t>1. Project overview</w:t>
      </w:r>
    </w:p>
    <w:p>
      <w:pPr>
        <w:spacing w:after="120"/>
      </w:pPr>
      <w:r>
        <w:rPr>
          <w:rFonts w:ascii="Calibri" w:hAnsi="Calibri"/>
          <w:b w:val="0"/>
          <w:i w:val="0"/>
          <w:color w:val="1E293B"/>
          <w:sz w:val="24"/>
        </w:rPr>
        <w:t>RentalApp is a compact Android marketplace in which community members list useful items, find nearby listings, request rentals, progress a controlled rental workflow, and leave verified reviews. The implementation deliberately completes the brief's Tier 1 and Tier 2 requirements and adds the State Pattern and automatic overdue detection from Tier 3.</w:t>
      </w:r>
    </w:p>
    <w:p>
      <w:pPr>
        <w:pStyle w:val="Heading2"/>
        <w:keepNext/>
      </w:pPr>
      <w:r>
        <w:t>Submission claim</w:t>
      </w:r>
    </w:p>
    <w:tbl>
      <w:tblPr>
        <w:tblW w:type="dxa" w:w="9360"/>
        <w:jc w:val="left"/>
        <w:tblLayout w:type="fixed"/>
        <w:tblLook w:firstColumn="1" w:firstRow="1" w:lastColumn="0" w:lastRow="0" w:noHBand="0" w:noVBand="1" w:val="04A0"/>
        <w:tblInd w:w="120" w:type="dxa"/>
        <w:tblBorders>
          <w:top w:val="single" w:sz="9" w:color="19734C"/>
          <w:left w:val="single" w:sz="9" w:color="19734C"/>
          <w:bottom w:val="single" w:sz="9" w:color="19734C"/>
          <w:right w:val="single" w:sz="9" w:color="19734C"/>
          <w:insideH w:val="single" w:sz="9" w:color="19734C"/>
          <w:insideV w:val="single" w:sz="9" w:color="19734C"/>
        </w:tblBorders>
      </w:tblPr>
      <w:tblGrid>
        <w:gridCol w:w="9360"/>
      </w:tblGrid>
      <w:tr>
        <w:tc>
          <w:tcPr>
            <w:tcW w:type="dxa" w:w="9360"/>
            <w:tcMar>
              <w:top w:w="80" w:type="dxa"/>
              <w:start w:w="120" w:type="dxa"/>
              <w:bottom w:w="80" w:type="dxa"/>
              <w:end w:w="120" w:type="dxa"/>
            </w:tcMar>
            <w:shd w:fill="E6F4EA"/>
          </w:tcPr>
          <w:p>
            <w:pPr>
              <w:spacing w:after="40"/>
            </w:pPr>
            <w:r>
              <w:rPr>
                <w:rFonts w:ascii="Calibri" w:hAnsi="Calibri"/>
                <w:b/>
                <w:color w:val="19734C"/>
                <w:sz w:val="24"/>
              </w:rPr>
              <w:t>Evidence-based position</w:t>
            </w:r>
          </w:p>
          <w:p>
            <w:pPr>
              <w:spacing w:after="0"/>
            </w:pPr>
            <w:r>
              <w:rPr>
                <w:rFonts w:ascii="Calibri" w:hAnsi="Calibri"/>
                <w:color w:val="1E293B"/>
                <w:sz w:val="22"/>
              </w:rPr>
              <w:t>The source is shaped for the 70% band, but a grade is not guaranteed by feature count. The presentation is worth 50% of the module and requires the student to explain and defend the design. The final verified 86.4% line coverage exceeds the brief's 80% distinction testing threshold.</w:t>
            </w:r>
          </w:p>
        </w:tc>
      </w:tr>
    </w:tbl>
    <w:p>
      <w:pPr>
        <w:spacing w:after="0"/>
      </w:pPr>
    </w:p>
    <w:p>
      <w:pPr>
        <w:pStyle w:val="Heading2"/>
        <w:keepNext/>
      </w:pPr>
      <w:r>
        <w:t>Technology stack</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1550"/>
        <w:gridCol w:w="2500"/>
        <w:gridCol w:w="5310"/>
      </w:tblGrid>
      <w:tr>
        <w:trPr>
          <w:tblHeader w:val="true"/>
        </w:trPr>
        <w:tc>
          <w:tcPr>
            <w:tcW w:type="dxa" w:w="1550"/>
            <w:tcMar>
              <w:top w:w="80" w:type="dxa"/>
              <w:start w:w="120" w:type="dxa"/>
              <w:bottom w:w="80" w:type="dxa"/>
              <w:end w:w="120" w:type="dxa"/>
            </w:tcMar>
            <w:shd w:fill="F2F4F7"/>
            <w:vAlign w:val="center"/>
          </w:tcPr>
          <w:p>
            <w:pPr>
              <w:spacing w:after="0"/>
            </w:pPr>
            <w:r>
              <w:rPr>
                <w:rFonts w:ascii="Calibri" w:hAnsi="Calibri"/>
                <w:b/>
                <w:color w:val="17324D"/>
                <w:sz w:val="19"/>
              </w:rPr>
              <w:t>Area</w:t>
            </w:r>
          </w:p>
        </w:tc>
        <w:tc>
          <w:tcPr>
            <w:tcW w:type="dxa" w:w="2500"/>
            <w:tcMar>
              <w:top w:w="80" w:type="dxa"/>
              <w:start w:w="120" w:type="dxa"/>
              <w:bottom w:w="80" w:type="dxa"/>
              <w:end w:w="120" w:type="dxa"/>
            </w:tcMar>
            <w:shd w:fill="F2F4F7"/>
            <w:vAlign w:val="center"/>
          </w:tcPr>
          <w:p>
            <w:pPr>
              <w:spacing w:after="0"/>
            </w:pPr>
            <w:r>
              <w:rPr>
                <w:rFonts w:ascii="Calibri" w:hAnsi="Calibri"/>
                <w:b/>
                <w:color w:val="17324D"/>
                <w:sz w:val="19"/>
              </w:rPr>
              <w:t>Technology</w:t>
            </w:r>
          </w:p>
        </w:tc>
        <w:tc>
          <w:tcPr>
            <w:tcW w:type="dxa" w:w="5310"/>
            <w:tcMar>
              <w:top w:w="80" w:type="dxa"/>
              <w:start w:w="120" w:type="dxa"/>
              <w:bottom w:w="80" w:type="dxa"/>
              <w:end w:w="120" w:type="dxa"/>
            </w:tcMar>
            <w:shd w:fill="F2F4F7"/>
            <w:vAlign w:val="center"/>
          </w:tcPr>
          <w:p>
            <w:pPr>
              <w:spacing w:after="0"/>
            </w:pPr>
            <w:r>
              <w:rPr>
                <w:rFonts w:ascii="Calibri" w:hAnsi="Calibri"/>
                <w:b/>
                <w:color w:val="17324D"/>
                <w:sz w:val="19"/>
              </w:rPr>
              <w:t>Evidence</w:t>
            </w:r>
          </w:p>
        </w:tc>
      </w:tr>
      <w:tr>
        <w:tc>
          <w:tcPr>
            <w:tcW w:type="dxa" w:w="1550"/>
            <w:vAlign w:val="top"/>
          </w:tcPr>
          <w:p>
            <w:pPr>
              <w:spacing w:after="0"/>
            </w:pPr>
            <w:r>
              <w:rPr>
                <w:rFonts w:ascii="Calibri" w:hAnsi="Calibri"/>
                <w:color w:val="1E293B"/>
                <w:sz w:val="19"/>
              </w:rPr>
              <w:t>Client</w:t>
            </w:r>
          </w:p>
        </w:tc>
        <w:tc>
          <w:tcPr>
            <w:tcW w:type="dxa" w:w="2500"/>
            <w:vAlign w:val="top"/>
          </w:tcPr>
          <w:p>
            <w:pPr>
              <w:spacing w:after="0"/>
            </w:pPr>
            <w:r>
              <w:rPr>
                <w:rFonts w:ascii="Calibri" w:hAnsi="Calibri"/>
                <w:color w:val="1E293B"/>
                <w:sz w:val="19"/>
              </w:rPr>
              <w:t>.NET 10 / .NET MAUI</w:t>
            </w:r>
          </w:p>
        </w:tc>
        <w:tc>
          <w:tcPr>
            <w:tcW w:type="dxa" w:w="5310"/>
            <w:vAlign w:val="top"/>
          </w:tcPr>
          <w:p>
            <w:pPr>
              <w:spacing w:after="0"/>
            </w:pPr>
            <w:r>
              <w:rPr>
                <w:rFonts w:ascii="Calibri" w:hAnsi="Calibri"/>
                <w:color w:val="1E293B"/>
                <w:sz w:val="19"/>
              </w:rPr>
              <w:t>Android XAML, Shell, Secure Storage, GPS, address geocoding</w:t>
            </w:r>
          </w:p>
        </w:tc>
      </w:tr>
      <w:tr>
        <w:tc>
          <w:tcPr>
            <w:tcW w:type="dxa" w:w="1550"/>
            <w:vAlign w:val="top"/>
          </w:tcPr>
          <w:p>
            <w:pPr>
              <w:spacing w:after="0"/>
            </w:pPr>
            <w:r>
              <w:rPr>
                <w:rFonts w:ascii="Calibri" w:hAnsi="Calibri"/>
                <w:color w:val="1E293B"/>
                <w:sz w:val="19"/>
              </w:rPr>
              <w:t>API</w:t>
            </w:r>
          </w:p>
        </w:tc>
        <w:tc>
          <w:tcPr>
            <w:tcW w:type="dxa" w:w="2500"/>
            <w:vAlign w:val="top"/>
          </w:tcPr>
          <w:p>
            <w:pPr>
              <w:spacing w:after="0"/>
            </w:pPr>
            <w:r>
              <w:rPr>
                <w:rFonts w:ascii="Calibri" w:hAnsi="Calibri"/>
                <w:color w:val="1E293B"/>
                <w:sz w:val="19"/>
              </w:rPr>
              <w:t>ASP.NET Core 10</w:t>
            </w:r>
          </w:p>
        </w:tc>
        <w:tc>
          <w:tcPr>
            <w:tcW w:type="dxa" w:w="5310"/>
            <w:vAlign w:val="top"/>
          </w:tcPr>
          <w:p>
            <w:pPr>
              <w:spacing w:after="0"/>
            </w:pPr>
            <w:r>
              <w:rPr>
                <w:rFonts w:ascii="Calibri" w:hAnsi="Calibri"/>
                <w:color w:val="1E293B"/>
                <w:sz w:val="19"/>
              </w:rPr>
              <w:t>Minimal API endpoints, JWT bearer authentication, Problem Details</w:t>
            </w:r>
          </w:p>
        </w:tc>
      </w:tr>
      <w:tr>
        <w:tc>
          <w:tcPr>
            <w:tcW w:type="dxa" w:w="1550"/>
            <w:vAlign w:val="top"/>
          </w:tcPr>
          <w:p>
            <w:pPr>
              <w:spacing w:after="0"/>
            </w:pPr>
            <w:r>
              <w:rPr>
                <w:rFonts w:ascii="Calibri" w:hAnsi="Calibri"/>
                <w:color w:val="1E293B"/>
                <w:sz w:val="19"/>
              </w:rPr>
              <w:t>Data</w:t>
            </w:r>
          </w:p>
        </w:tc>
        <w:tc>
          <w:tcPr>
            <w:tcW w:type="dxa" w:w="2500"/>
            <w:vAlign w:val="top"/>
          </w:tcPr>
          <w:p>
            <w:pPr>
              <w:spacing w:after="0"/>
            </w:pPr>
            <w:r>
              <w:rPr>
                <w:rFonts w:ascii="Calibri" w:hAnsi="Calibri"/>
                <w:color w:val="1E293B"/>
                <w:sz w:val="19"/>
              </w:rPr>
              <w:t>EF Core 10</w:t>
            </w:r>
          </w:p>
        </w:tc>
        <w:tc>
          <w:tcPr>
            <w:tcW w:type="dxa" w:w="5310"/>
            <w:vAlign w:val="top"/>
          </w:tcPr>
          <w:p>
            <w:pPr>
              <w:spacing w:after="0"/>
            </w:pPr>
            <w:r>
              <w:rPr>
                <w:rFonts w:ascii="Calibri" w:hAnsi="Calibri"/>
                <w:color w:val="1E293B"/>
                <w:sz w:val="19"/>
              </w:rPr>
              <w:t>DbContext, migrations, repositories, Unit of Work</w:t>
            </w:r>
          </w:p>
        </w:tc>
      </w:tr>
      <w:tr>
        <w:tc>
          <w:tcPr>
            <w:tcW w:type="dxa" w:w="1550"/>
            <w:vAlign w:val="top"/>
          </w:tcPr>
          <w:p>
            <w:pPr>
              <w:spacing w:after="0"/>
            </w:pPr>
            <w:r>
              <w:rPr>
                <w:rFonts w:ascii="Calibri" w:hAnsi="Calibri"/>
                <w:color w:val="1E293B"/>
                <w:sz w:val="19"/>
              </w:rPr>
              <w:t>Spatial</w:t>
            </w:r>
          </w:p>
        </w:tc>
        <w:tc>
          <w:tcPr>
            <w:tcW w:type="dxa" w:w="2500"/>
            <w:vAlign w:val="top"/>
          </w:tcPr>
          <w:p>
            <w:pPr>
              <w:spacing w:after="0"/>
            </w:pPr>
            <w:r>
              <w:rPr>
                <w:rFonts w:ascii="Calibri" w:hAnsi="Calibri"/>
                <w:color w:val="1E293B"/>
                <w:sz w:val="19"/>
              </w:rPr>
              <w:t>PostgreSQL 16 + PostGIS</w:t>
            </w:r>
          </w:p>
        </w:tc>
        <w:tc>
          <w:tcPr>
            <w:tcW w:type="dxa" w:w="5310"/>
            <w:vAlign w:val="top"/>
          </w:tcPr>
          <w:p>
            <w:pPr>
              <w:spacing w:after="0"/>
            </w:pPr>
            <w:r>
              <w:rPr>
                <w:rFonts w:ascii="Calibri" w:hAnsi="Calibri"/>
                <w:color w:val="1E293B"/>
                <w:sz w:val="19"/>
              </w:rPr>
              <w:t>Geography point, SRID 4326, GiST, radius query</w:t>
            </w:r>
          </w:p>
        </w:tc>
      </w:tr>
      <w:tr>
        <w:tc>
          <w:tcPr>
            <w:tcW w:type="dxa" w:w="1550"/>
            <w:vAlign w:val="top"/>
          </w:tcPr>
          <w:p>
            <w:pPr>
              <w:spacing w:after="0"/>
            </w:pPr>
            <w:r>
              <w:rPr>
                <w:rFonts w:ascii="Calibri" w:hAnsi="Calibri"/>
                <w:color w:val="1E293B"/>
                <w:sz w:val="19"/>
              </w:rPr>
              <w:t>Quality</w:t>
            </w:r>
          </w:p>
        </w:tc>
        <w:tc>
          <w:tcPr>
            <w:tcW w:type="dxa" w:w="2500"/>
            <w:vAlign w:val="top"/>
          </w:tcPr>
          <w:p>
            <w:pPr>
              <w:spacing w:after="0"/>
            </w:pPr>
            <w:r>
              <w:rPr>
                <w:rFonts w:ascii="Calibri" w:hAnsi="Calibri"/>
                <w:color w:val="1E293B"/>
                <w:sz w:val="19"/>
              </w:rPr>
              <w:t>xUnit + Coverlet</w:t>
            </w:r>
          </w:p>
        </w:tc>
        <w:tc>
          <w:tcPr>
            <w:tcW w:type="dxa" w:w="5310"/>
            <w:vAlign w:val="top"/>
          </w:tcPr>
          <w:p>
            <w:pPr>
              <w:spacing w:after="0"/>
            </w:pPr>
            <w:r>
              <w:rPr>
                <w:rFonts w:ascii="Calibri" w:hAnsi="Calibri"/>
                <w:color w:val="1E293B"/>
                <w:sz w:val="19"/>
              </w:rPr>
              <w:t>65/65 passing tests; 86.4% line coverage</w:t>
            </w:r>
          </w:p>
        </w:tc>
      </w:tr>
      <w:tr>
        <w:tc>
          <w:tcPr>
            <w:tcW w:type="dxa" w:w="1550"/>
            <w:vAlign w:val="top"/>
          </w:tcPr>
          <w:p>
            <w:pPr>
              <w:spacing w:after="0"/>
            </w:pPr>
            <w:r>
              <w:rPr>
                <w:rFonts w:ascii="Calibri" w:hAnsi="Calibri"/>
                <w:color w:val="1E293B"/>
                <w:sz w:val="19"/>
              </w:rPr>
              <w:t>DevOps</w:t>
            </w:r>
          </w:p>
        </w:tc>
        <w:tc>
          <w:tcPr>
            <w:tcW w:type="dxa" w:w="2500"/>
            <w:vAlign w:val="top"/>
          </w:tcPr>
          <w:p>
            <w:pPr>
              <w:spacing w:after="0"/>
            </w:pPr>
            <w:r>
              <w:rPr>
                <w:rFonts w:ascii="Calibri" w:hAnsi="Calibri"/>
                <w:color w:val="1E293B"/>
                <w:sz w:val="19"/>
              </w:rPr>
              <w:t>Docker Compose + GitHub Actions</w:t>
            </w:r>
          </w:p>
        </w:tc>
        <w:tc>
          <w:tcPr>
            <w:tcW w:type="dxa" w:w="5310"/>
            <w:vAlign w:val="top"/>
          </w:tcPr>
          <w:p>
            <w:pPr>
              <w:spacing w:after="0"/>
            </w:pPr>
            <w:r>
              <w:rPr>
                <w:rFonts w:ascii="Calibri" w:hAnsi="Calibri"/>
                <w:color w:val="1E293B"/>
                <w:sz w:val="19"/>
              </w:rPr>
              <w:t>Healthy local services, test/coverage job, signed APK job</w:t>
            </w:r>
          </w:p>
        </w:tc>
      </w:tr>
      <w:tr>
        <w:tc>
          <w:tcPr>
            <w:tcW w:type="dxa" w:w="1550"/>
            <w:vAlign w:val="top"/>
          </w:tcPr>
          <w:p>
            <w:pPr>
              <w:spacing w:after="0"/>
            </w:pPr>
            <w:r>
              <w:rPr>
                <w:rFonts w:ascii="Calibri" w:hAnsi="Calibri"/>
                <w:color w:val="1E293B"/>
                <w:sz w:val="19"/>
              </w:rPr>
              <w:t>Environment</w:t>
            </w:r>
          </w:p>
        </w:tc>
        <w:tc>
          <w:tcPr>
            <w:tcW w:type="dxa" w:w="2500"/>
            <w:vAlign w:val="top"/>
          </w:tcPr>
          <w:p>
            <w:pPr>
              <w:spacing w:after="0"/>
            </w:pPr>
            <w:r>
              <w:rPr>
                <w:rFonts w:ascii="Calibri" w:hAnsi="Calibri"/>
                <w:color w:val="1E293B"/>
                <w:sz w:val="19"/>
              </w:rPr>
              <w:t>VS Code Dev Container</w:t>
            </w:r>
          </w:p>
        </w:tc>
        <w:tc>
          <w:tcPr>
            <w:tcW w:type="dxa" w:w="5310"/>
            <w:vAlign w:val="top"/>
          </w:tcPr>
          <w:p>
            <w:pPr>
              <w:spacing w:after="0"/>
            </w:pPr>
            <w:r>
              <w:rPr>
                <w:rFonts w:ascii="Calibri" w:hAnsi="Calibri"/>
                <w:color w:val="1E293B"/>
                <w:sz w:val="19"/>
              </w:rPr>
              <w:t>.NET 10 Noble image and C# / Docker extensions</w:t>
            </w:r>
          </w:p>
        </w:tc>
      </w:tr>
    </w:tbl>
    <w:p>
      <w:pPr>
        <w:pStyle w:val="Heading2"/>
        <w:keepNext/>
      </w:pPr>
      <w:r>
        <w:t>Report map</w:t>
      </w:r>
    </w:p>
    <w:p>
      <w:pPr>
        <w:spacing w:after="120"/>
      </w:pPr>
      <w:r>
        <w:rPr>
          <w:rFonts w:ascii="Calibri" w:hAnsi="Calibri"/>
          <w:b w:val="0"/>
          <w:i w:val="0"/>
          <w:color w:val="1E293B"/>
          <w:sz w:val="24"/>
        </w:rPr>
        <w:t>Architecture 3-6 | Features 7-9 | Testing 10-11 | CI/CD 12 | Patterns 13-14 | AI use 15 | References and final gates 16</w:t>
      </w:r>
    </w:p>
    <w:p>
      <w:r>
        <w:br w:type="page"/>
      </w:r>
    </w:p>
    <w:p>
      <w:pPr>
        <w:pStyle w:val="Heading1"/>
        <w:keepNext/>
      </w:pPr>
      <w:r>
        <w:t>2. Architecture documentation</w:t>
      </w:r>
    </w:p>
    <w:p>
      <w:pPr>
        <w:pStyle w:val="Heading2"/>
        <w:keepNext/>
      </w:pPr>
      <w:r>
        <w:t>2.1 Component diagram</w:t>
      </w:r>
    </w:p>
    <w:p>
      <w:pPr>
        <w:spacing w:after="80"/>
        <w:jc w:val="center"/>
      </w:pPr>
      <w:r>
        <w:drawing>
          <wp:inline xmlns:a="http://schemas.openxmlformats.org/drawingml/2006/main" xmlns:pic="http://schemas.openxmlformats.org/drawingml/2006/picture">
            <wp:extent cx="5806440" cy="2903220"/>
            <wp:docPr id="1" name="Picture 1" descr="Figure 1. Component boundaries and dependency direction." title="Figure 1"/>
            <wp:cNvGraphicFramePr>
              <a:graphicFrameLocks noChangeAspect="1"/>
            </wp:cNvGraphicFramePr>
            <a:graphic>
              <a:graphicData uri="http://schemas.openxmlformats.org/drawingml/2006/picture">
                <pic:pic>
                  <pic:nvPicPr>
                    <pic:cNvPr id="0" name="component.png"/>
                    <pic:cNvPicPr/>
                  </pic:nvPicPr>
                  <pic:blipFill>
                    <a:blip r:embed="rId11"/>
                    <a:stretch>
                      <a:fillRect/>
                    </a:stretch>
                  </pic:blipFill>
                  <pic:spPr>
                    <a:xfrm>
                      <a:off x="0" y="0"/>
                      <a:ext cx="5806440" cy="2903220"/>
                    </a:xfrm>
                    <a:prstGeom prst="rect"/>
                  </pic:spPr>
                </pic:pic>
              </a:graphicData>
            </a:graphic>
          </wp:inline>
        </w:drawing>
      </w:r>
    </w:p>
    <w:p>
      <w:pPr>
        <w:spacing w:before="80" w:after="120"/>
        <w:jc w:val="center"/>
      </w:pPr>
      <w:r>
        <w:rPr>
          <w:rFonts w:ascii="Calibri" w:hAnsi="Calibri"/>
          <w:b w:val="0"/>
          <w:i/>
          <w:color w:val="52606D"/>
          <w:sz w:val="20"/>
        </w:rPr>
        <w:t>Figure 1. Component boundaries and dependency direction.</w:t>
      </w:r>
    </w:p>
    <w:p>
      <w:pPr>
        <w:spacing w:after="120"/>
      </w:pPr>
      <w:r>
        <w:rPr>
          <w:rFonts w:ascii="Calibri" w:hAnsi="Calibri"/>
          <w:b w:val="0"/>
          <w:i w:val="0"/>
          <w:color w:val="1E293B"/>
          <w:sz w:val="24"/>
        </w:rPr>
        <w:t>The mobile client never connects directly to PostgreSQL. Views bind to ViewModels, application services call the authenticated HTTP client, and the API owns security and business rules. EF Core repositories isolate persistence and spatial queries. This supports testability and a clear separation of concerns.</w:t>
      </w:r>
    </w:p>
    <w:tbl>
      <w:tblPr>
        <w:tblW w:type="dxa" w:w="9360"/>
        <w:jc w:val="left"/>
        <w:tblLayout w:type="fixed"/>
        <w:tblLook w:firstColumn="1" w:firstRow="1" w:lastColumn="0" w:lastRow="0" w:noHBand="0" w:noVBand="1" w:val="04A0"/>
        <w:tblInd w:w="120" w:type="dxa"/>
        <w:tblBorders>
          <w:top w:val="single" w:sz="9" w:color="17324D"/>
          <w:left w:val="single" w:sz="9" w:color="17324D"/>
          <w:bottom w:val="single" w:sz="9" w:color="17324D"/>
          <w:right w:val="single" w:sz="9" w:color="17324D"/>
          <w:insideH w:val="single" w:sz="9" w:color="17324D"/>
          <w:insideV w:val="single" w:sz="9" w:color="17324D"/>
        </w:tblBorders>
      </w:tblPr>
      <w:tblGrid>
        <w:gridCol w:w="9360"/>
      </w:tblGrid>
      <w:tr>
        <w:tc>
          <w:tcPr>
            <w:tcW w:type="dxa" w:w="9360"/>
            <w:tcMar>
              <w:top w:w="80" w:type="dxa"/>
              <w:start w:w="120" w:type="dxa"/>
              <w:bottom w:w="80" w:type="dxa"/>
              <w:end w:w="120" w:type="dxa"/>
            </w:tcMar>
            <w:shd w:fill="DDEBF7"/>
          </w:tcPr>
          <w:p>
            <w:pPr>
              <w:spacing w:after="40"/>
            </w:pPr>
            <w:r>
              <w:rPr>
                <w:rFonts w:ascii="Calibri" w:hAnsi="Calibri"/>
                <w:b/>
                <w:color w:val="17324D"/>
                <w:sz w:val="24"/>
              </w:rPr>
              <w:t>Design rationale</w:t>
            </w:r>
          </w:p>
          <w:p>
            <w:pPr>
              <w:spacing w:after="0"/>
            </w:pPr>
            <w:r>
              <w:rPr>
                <w:rFonts w:ascii="Calibri" w:hAnsi="Calibri"/>
                <w:color w:val="1E293B"/>
                <w:sz w:val="22"/>
              </w:rPr>
              <w:t>Interfaces keep Android concerns out of ViewModel tests, while the API remains the authoritative boundary even if a client bypasses the UI.</w:t>
            </w:r>
          </w:p>
        </w:tc>
      </w:tr>
    </w:tbl>
    <w:p>
      <w:pPr>
        <w:spacing w:after="0"/>
      </w:pPr>
    </w:p>
    <w:p>
      <w:r>
        <w:br w:type="page"/>
      </w:r>
    </w:p>
    <w:p>
      <w:pPr>
        <w:pStyle w:val="Heading2"/>
        <w:keepNext/>
      </w:pPr>
      <w:r>
        <w:t>2.2 Database schema</w:t>
      </w:r>
    </w:p>
    <w:p>
      <w:pPr>
        <w:spacing w:after="80"/>
        <w:jc w:val="center"/>
      </w:pPr>
      <w:r>
        <w:drawing>
          <wp:inline xmlns:a="http://schemas.openxmlformats.org/drawingml/2006/main" xmlns:pic="http://schemas.openxmlformats.org/drawingml/2006/picture">
            <wp:extent cx="5669280" cy="3464560"/>
            <wp:docPr id="2" name="Picture 2" descr="Figure 2. Core entities and integrity relationships." title="Figure 2"/>
            <wp:cNvGraphicFramePr>
              <a:graphicFrameLocks noChangeAspect="1"/>
            </wp:cNvGraphicFramePr>
            <a:graphic>
              <a:graphicData uri="http://schemas.openxmlformats.org/drawingml/2006/picture">
                <pic:pic>
                  <pic:nvPicPr>
                    <pic:cNvPr id="0" name="schema.png"/>
                    <pic:cNvPicPr/>
                  </pic:nvPicPr>
                  <pic:blipFill>
                    <a:blip r:embed="rId12"/>
                    <a:stretch>
                      <a:fillRect/>
                    </a:stretch>
                  </pic:blipFill>
                  <pic:spPr>
                    <a:xfrm>
                      <a:off x="0" y="0"/>
                      <a:ext cx="5669280" cy="3464560"/>
                    </a:xfrm>
                    <a:prstGeom prst="rect"/>
                  </pic:spPr>
                </pic:pic>
              </a:graphicData>
            </a:graphic>
          </wp:inline>
        </w:drawing>
      </w:r>
    </w:p>
    <w:p>
      <w:pPr>
        <w:spacing w:before="80" w:after="120"/>
        <w:jc w:val="center"/>
      </w:pPr>
      <w:r>
        <w:rPr>
          <w:rFonts w:ascii="Calibri" w:hAnsi="Calibri"/>
          <w:b w:val="0"/>
          <w:i/>
          <w:color w:val="52606D"/>
          <w:sz w:val="20"/>
        </w:rPr>
        <w:t>Figure 2. Core entities and integrity relationships.</w:t>
      </w:r>
    </w:p>
    <w:p>
      <w:pPr>
        <w:spacing w:after="120"/>
      </w:pPr>
      <w:r>
        <w:rPr>
          <w:rFonts w:ascii="Calibri" w:hAnsi="Calibri"/>
          <w:b w:val="0"/>
          <w:i w:val="0"/>
          <w:color w:val="1E293B"/>
          <w:sz w:val="24"/>
        </w:rPr>
        <w:t>Item.Address stores the readable collection address; the MAUI client forward-geocodes typed addresses or reverse-geocodes device GPS. Item.Location is mapped to geography (point, 4326), giving distance in metres. A GiST index supports the nearby predicate. Reviews have a unique RentalId and rating check constraint.</w:t>
      </w:r>
    </w:p>
    <w:p>
      <w:r>
        <w:br w:type="page"/>
      </w:r>
    </w:p>
    <w:p>
      <w:pPr>
        <w:pStyle w:val="Heading2"/>
        <w:keepNext/>
      </w:pPr>
      <w:r>
        <w:t>2.3 Rental request sequence</w:t>
      </w:r>
    </w:p>
    <w:p>
      <w:pPr>
        <w:spacing w:after="80"/>
        <w:jc w:val="center"/>
      </w:pPr>
      <w:r>
        <w:drawing>
          <wp:inline xmlns:a="http://schemas.openxmlformats.org/drawingml/2006/main" xmlns:pic="http://schemas.openxmlformats.org/drawingml/2006/picture">
            <wp:extent cx="5669280" cy="3527552"/>
            <wp:docPr id="3" name="Picture 3" descr="Figure 3. Successful rental request from the MAUI app to PostgreSQL." title="Fig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669280" cy="3527552"/>
                    </a:xfrm>
                    <a:prstGeom prst="rect"/>
                  </pic:spPr>
                </pic:pic>
              </a:graphicData>
            </a:graphic>
          </wp:inline>
        </w:drawing>
      </w:r>
    </w:p>
    <w:p>
      <w:pPr>
        <w:spacing w:before="80" w:after="120"/>
        <w:jc w:val="center"/>
      </w:pPr>
      <w:r>
        <w:rPr>
          <w:rFonts w:ascii="Calibri" w:hAnsi="Calibri"/>
          <w:b w:val="0"/>
          <w:i/>
          <w:color w:val="52606D"/>
          <w:sz w:val="20"/>
        </w:rPr>
        <w:t>Figure 3. Successful rental request from the MAUI app to PostgreSQL.</w:t>
      </w:r>
    </w:p>
    <w:p>
      <w:pPr>
        <w:spacing w:after="120"/>
      </w:pPr>
      <w:r>
        <w:rPr>
          <w:rFonts w:ascii="Calibri" w:hAnsi="Calibri"/>
          <w:b w:val="0"/>
          <w:i w:val="0"/>
          <w:color w:val="1E293B"/>
          <w:sz w:val="24"/>
        </w:rPr>
        <w:t>RentalWorkflowService validates future dates, availability, self-rental, and inclusive overlap before calculating price and committing. The response includes the Requested status and total price. Exceptions are converted to consistent API errors and displayed by the ViewModel.</w:t>
      </w:r>
    </w:p>
    <w:p>
      <w:r>
        <w:br w:type="page"/>
      </w:r>
    </w:p>
    <w:p>
      <w:pPr>
        <w:pStyle w:val="Heading2"/>
        <w:keepNext/>
      </w:pPr>
      <w:r>
        <w:t>2.4 Rental state diagram</w:t>
      </w:r>
    </w:p>
    <w:p>
      <w:pPr>
        <w:spacing w:after="80"/>
        <w:jc w:val="center"/>
      </w:pPr>
      <w:r>
        <w:drawing>
          <wp:inline xmlns:a="http://schemas.openxmlformats.org/drawingml/2006/main" xmlns:pic="http://schemas.openxmlformats.org/drawingml/2006/picture">
            <wp:extent cx="5715000" cy="3111500"/>
            <wp:docPr id="4" name="Picture 4" descr="Figure 4. Permitted workflow transitions implemented by state classes." title="Figure 4"/>
            <wp:cNvGraphicFramePr>
              <a:graphicFrameLocks noChangeAspect="1"/>
            </wp:cNvGraphicFramePr>
            <a:graphic>
              <a:graphicData uri="http://schemas.openxmlformats.org/drawingml/2006/picture">
                <pic:pic>
                  <pic:nvPicPr>
                    <pic:cNvPr id="0" name="state.png"/>
                    <pic:cNvPicPr/>
                  </pic:nvPicPr>
                  <pic:blipFill>
                    <a:blip r:embed="rId14"/>
                    <a:stretch>
                      <a:fillRect/>
                    </a:stretch>
                  </pic:blipFill>
                  <pic:spPr>
                    <a:xfrm>
                      <a:off x="0" y="0"/>
                      <a:ext cx="5715000" cy="3111500"/>
                    </a:xfrm>
                    <a:prstGeom prst="rect"/>
                  </pic:spPr>
                </pic:pic>
              </a:graphicData>
            </a:graphic>
          </wp:inline>
        </w:drawing>
      </w:r>
    </w:p>
    <w:p>
      <w:pPr>
        <w:spacing w:before="80" w:after="120"/>
        <w:jc w:val="center"/>
      </w:pPr>
      <w:r>
        <w:rPr>
          <w:rFonts w:ascii="Calibri" w:hAnsi="Calibri"/>
          <w:b w:val="0"/>
          <w:i/>
          <w:color w:val="52606D"/>
          <w:sz w:val="20"/>
        </w:rPr>
        <w:t>Figure 4. Permitted workflow transitions implemented by state classes.</w:t>
      </w:r>
    </w:p>
    <w:p>
      <w:pPr>
        <w:spacing w:after="120"/>
      </w:pPr>
      <w:r>
        <w:rPr>
          <w:rFonts w:ascii="Calibri" w:hAnsi="Calibri"/>
          <w:b w:val="0"/>
          <w:i w:val="0"/>
          <w:color w:val="1E293B"/>
          <w:sz w:val="24"/>
        </w:rPr>
        <w:t>Each state declares its permitted successors. Role authorisation is intentionally separate: owners approve, reject, start, and complete; borrowers return. The background overdue worker checks expired out-for-rent records and applies the same state machine.</w:t>
      </w:r>
    </w:p>
    <w:p>
      <w:r>
        <w:br w:type="page"/>
      </w:r>
    </w:p>
    <w:p>
      <w:pPr>
        <w:pStyle w:val="Heading1"/>
        <w:keepNext/>
      </w:pPr>
      <w:r>
        <w:t>3. Feature implementation checklist</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700"/>
        <w:gridCol w:w="2600"/>
        <w:gridCol w:w="6060"/>
      </w:tblGrid>
      <w:tr>
        <w:trPr>
          <w:tblHeader w:val="true"/>
        </w:trPr>
        <w:tc>
          <w:tcPr>
            <w:tcW w:type="dxa" w:w="700"/>
            <w:tcMar>
              <w:top w:w="80" w:type="dxa"/>
              <w:start w:w="120" w:type="dxa"/>
              <w:bottom w:w="80" w:type="dxa"/>
              <w:end w:w="120" w:type="dxa"/>
            </w:tcMar>
            <w:shd w:fill="F2F4F7"/>
            <w:vAlign w:val="center"/>
          </w:tcPr>
          <w:p>
            <w:pPr>
              <w:spacing w:after="0"/>
            </w:pPr>
            <w:r>
              <w:rPr>
                <w:rFonts w:ascii="Calibri" w:hAnsi="Calibri"/>
                <w:b/>
                <w:color w:val="17324D"/>
                <w:sz w:val="17"/>
              </w:rPr>
              <w:t>Done</w:t>
            </w:r>
          </w:p>
        </w:tc>
        <w:tc>
          <w:tcPr>
            <w:tcW w:type="dxa" w:w="2600"/>
            <w:tcMar>
              <w:top w:w="80" w:type="dxa"/>
              <w:start w:w="120" w:type="dxa"/>
              <w:bottom w:w="80" w:type="dxa"/>
              <w:end w:w="120" w:type="dxa"/>
            </w:tcMar>
            <w:shd w:fill="F2F4F7"/>
            <w:vAlign w:val="center"/>
          </w:tcPr>
          <w:p>
            <w:pPr>
              <w:spacing w:after="0"/>
            </w:pPr>
            <w:r>
              <w:rPr>
                <w:rFonts w:ascii="Calibri" w:hAnsi="Calibri"/>
                <w:b/>
                <w:color w:val="17324D"/>
                <w:sz w:val="17"/>
              </w:rPr>
              <w:t>Requirement</w:t>
            </w:r>
          </w:p>
        </w:tc>
        <w:tc>
          <w:tcPr>
            <w:tcW w:type="dxa" w:w="6060"/>
            <w:tcMar>
              <w:top w:w="80" w:type="dxa"/>
              <w:start w:w="120" w:type="dxa"/>
              <w:bottom w:w="80" w:type="dxa"/>
              <w:end w:w="120" w:type="dxa"/>
            </w:tcMar>
            <w:shd w:fill="F2F4F7"/>
            <w:vAlign w:val="center"/>
          </w:tcPr>
          <w:p>
            <w:pPr>
              <w:spacing w:after="0"/>
            </w:pPr>
            <w:r>
              <w:rPr>
                <w:rFonts w:ascii="Calibri" w:hAnsi="Calibri"/>
                <w:b/>
                <w:color w:val="17324D"/>
                <w:sz w:val="17"/>
              </w:rPr>
              <w:t>Implementation evidence</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Registration and sign-in</w:t>
            </w:r>
          </w:p>
        </w:tc>
        <w:tc>
          <w:tcPr>
            <w:tcW w:type="dxa" w:w="6060"/>
            <w:vAlign w:val="top"/>
          </w:tcPr>
          <w:p>
            <w:pPr>
              <w:spacing w:after="0"/>
            </w:pPr>
            <w:r>
              <w:rPr>
                <w:rFonts w:ascii="Calibri" w:hAnsi="Calibri"/>
                <w:color w:val="1E293B"/>
                <w:sz w:val="17"/>
              </w:rPr>
              <w:t>Password hashing, JWT access token, rotating hashed refresh token</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Authenticated client</w:t>
            </w:r>
          </w:p>
        </w:tc>
        <w:tc>
          <w:tcPr>
            <w:tcW w:type="dxa" w:w="6060"/>
            <w:vAlign w:val="top"/>
          </w:tcPr>
          <w:p>
            <w:pPr>
              <w:spacing w:after="0"/>
            </w:pPr>
            <w:r>
              <w:rPr>
                <w:rFonts w:ascii="Calibri" w:hAnsi="Calibri"/>
                <w:color w:val="1E293B"/>
                <w:sz w:val="17"/>
              </w:rPr>
              <w:t>Bearer injection, refresh flow, Secure Storage, sign-out</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Item catalogue</w:t>
            </w:r>
          </w:p>
        </w:tc>
        <w:tc>
          <w:tcPr>
            <w:tcW w:type="dxa" w:w="6060"/>
            <w:vAlign w:val="top"/>
          </w:tcPr>
          <w:p>
            <w:pPr>
              <w:spacing w:after="0"/>
            </w:pPr>
            <w:r>
              <w:rPr>
                <w:rFonts w:ascii="Calibri" w:hAnsi="Calibri"/>
                <w:color w:val="1E293B"/>
                <w:sz w:val="17"/>
              </w:rPr>
              <w:t>Address entry/geocoding, create, browse, detail, owner edit, availability</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Nearby discovery</w:t>
            </w:r>
          </w:p>
        </w:tc>
        <w:tc>
          <w:tcPr>
            <w:tcW w:type="dxa" w:w="6060"/>
            <w:vAlign w:val="top"/>
          </w:tcPr>
          <w:p>
            <w:pPr>
              <w:spacing w:after="0"/>
            </w:pPr>
            <w:r>
              <w:rPr>
                <w:rFonts w:ascii="Calibri" w:hAnsi="Calibri"/>
                <w:color w:val="1E293B"/>
                <w:sz w:val="17"/>
              </w:rPr>
              <w:t>Address or GPS position, category/radius filters, distance result</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PostGIS</w:t>
            </w:r>
          </w:p>
        </w:tc>
        <w:tc>
          <w:tcPr>
            <w:tcW w:type="dxa" w:w="6060"/>
            <w:vAlign w:val="top"/>
          </w:tcPr>
          <w:p>
            <w:pPr>
              <w:spacing w:after="0"/>
            </w:pPr>
            <w:r>
              <w:rPr>
                <w:rFonts w:ascii="Calibri" w:hAnsi="Calibri"/>
                <w:color w:val="1E293B"/>
                <w:sz w:val="17"/>
              </w:rPr>
              <w:t>Geography point, GiST index, IsWithinDistance query</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Rental request</w:t>
            </w:r>
          </w:p>
        </w:tc>
        <w:tc>
          <w:tcPr>
            <w:tcW w:type="dxa" w:w="6060"/>
            <w:vAlign w:val="top"/>
          </w:tcPr>
          <w:p>
            <w:pPr>
              <w:spacing w:after="0"/>
            </w:pPr>
            <w:r>
              <w:rPr>
                <w:rFonts w:ascii="Calibri" w:hAnsi="Calibri"/>
                <w:color w:val="1E293B"/>
                <w:sz w:val="17"/>
              </w:rPr>
              <w:t>Future dates, inclusive price, self-rental and overlap prevention</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Rental workflow</w:t>
            </w:r>
          </w:p>
        </w:tc>
        <w:tc>
          <w:tcPr>
            <w:tcW w:type="dxa" w:w="6060"/>
            <w:vAlign w:val="top"/>
          </w:tcPr>
          <w:p>
            <w:pPr>
              <w:spacing w:after="0"/>
            </w:pPr>
            <w:r>
              <w:rPr>
                <w:rFonts w:ascii="Calibri" w:hAnsi="Calibri"/>
                <w:color w:val="1E293B"/>
                <w:sz w:val="17"/>
              </w:rPr>
              <w:t>Incoming/outgoing lists and role-aware actions</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Verified reviews</w:t>
            </w:r>
          </w:p>
        </w:tc>
        <w:tc>
          <w:tcPr>
            <w:tcW w:type="dxa" w:w="6060"/>
            <w:vAlign w:val="top"/>
          </w:tcPr>
          <w:p>
            <w:pPr>
              <w:spacing w:after="0"/>
            </w:pPr>
            <w:r>
              <w:rPr>
                <w:rFonts w:ascii="Calibri" w:hAnsi="Calibri"/>
                <w:color w:val="1E293B"/>
                <w:sz w:val="17"/>
              </w:rPr>
              <w:t>Borrower only, completed rental only, one review per rental</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MVVM</w:t>
            </w:r>
          </w:p>
        </w:tc>
        <w:tc>
          <w:tcPr>
            <w:tcW w:type="dxa" w:w="6060"/>
            <w:vAlign w:val="top"/>
          </w:tcPr>
          <w:p>
            <w:pPr>
              <w:spacing w:after="0"/>
            </w:pPr>
            <w:r>
              <w:rPr>
                <w:rFonts w:ascii="Calibri" w:hAnsi="Calibri"/>
                <w:color w:val="1E293B"/>
                <w:sz w:val="17"/>
              </w:rPr>
              <w:t>Observable ViewModels, RelayCommand, binding-first XAML</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Repository / Unit of Work</w:t>
            </w:r>
          </w:p>
        </w:tc>
        <w:tc>
          <w:tcPr>
            <w:tcW w:type="dxa" w:w="6060"/>
            <w:vAlign w:val="top"/>
          </w:tcPr>
          <w:p>
            <w:pPr>
              <w:spacing w:after="0"/>
            </w:pPr>
            <w:r>
              <w:rPr>
                <w:rFonts w:ascii="Calibri" w:hAnsi="Calibri"/>
                <w:color w:val="1E293B"/>
                <w:sz w:val="17"/>
              </w:rPr>
              <w:t>Generic plus item, rental, and review repositories</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Service Layer</w:t>
            </w:r>
          </w:p>
        </w:tc>
        <w:tc>
          <w:tcPr>
            <w:tcW w:type="dxa" w:w="6060"/>
            <w:vAlign w:val="top"/>
          </w:tcPr>
          <w:p>
            <w:pPr>
              <w:spacing w:after="0"/>
            </w:pPr>
            <w:r>
              <w:rPr>
                <w:rFonts w:ascii="Calibri" w:hAnsi="Calibri"/>
                <w:color w:val="1E293B"/>
                <w:sz w:val="17"/>
              </w:rPr>
              <w:t>Client services and API business services</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State Pattern</w:t>
            </w:r>
          </w:p>
        </w:tc>
        <w:tc>
          <w:tcPr>
            <w:tcW w:type="dxa" w:w="6060"/>
            <w:vAlign w:val="top"/>
          </w:tcPr>
          <w:p>
            <w:pPr>
              <w:spacing w:after="0"/>
            </w:pPr>
            <w:r>
              <w:rPr>
                <w:rFonts w:ascii="Calibri" w:hAnsi="Calibri"/>
                <w:color w:val="1E293B"/>
                <w:sz w:val="17"/>
              </w:rPr>
              <w:t>Seven state classes with parameterised transition tests</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Overdue detection</w:t>
            </w:r>
          </w:p>
        </w:tc>
        <w:tc>
          <w:tcPr>
            <w:tcW w:type="dxa" w:w="6060"/>
            <w:vAlign w:val="top"/>
          </w:tcPr>
          <w:p>
            <w:pPr>
              <w:spacing w:after="0"/>
            </w:pPr>
            <w:r>
              <w:rPr>
                <w:rFonts w:ascii="Calibri" w:hAnsi="Calibri"/>
                <w:color w:val="1E293B"/>
                <w:sz w:val="17"/>
              </w:rPr>
              <w:t>Hosted worker moves expired records to Overdue</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Testing</w:t>
            </w:r>
          </w:p>
        </w:tc>
        <w:tc>
          <w:tcPr>
            <w:tcW w:type="dxa" w:w="6060"/>
            <w:vAlign w:val="top"/>
          </w:tcPr>
          <w:p>
            <w:pPr>
              <w:spacing w:after="0"/>
            </w:pPr>
            <w:r>
              <w:rPr>
                <w:rFonts w:ascii="Calibri" w:hAnsi="Calibri"/>
                <w:color w:val="1E293B"/>
                <w:sz w:val="17"/>
              </w:rPr>
              <w:t>65/65 tests and 86.4% line coverage, including HTTP/PostGIS integration</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CI/CD source</w:t>
            </w:r>
          </w:p>
        </w:tc>
        <w:tc>
          <w:tcPr>
            <w:tcW w:type="dxa" w:w="6060"/>
            <w:vAlign w:val="top"/>
          </w:tcPr>
          <w:p>
            <w:pPr>
              <w:spacing w:after="0"/>
            </w:pPr>
            <w:r>
              <w:rPr>
                <w:rFonts w:ascii="Calibri" w:hAnsi="Calibri"/>
                <w:color w:val="1E293B"/>
                <w:sz w:val="17"/>
              </w:rPr>
              <w:t>PR/push pipeline, PostGIS service, coverage artifact, signed APK</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Docker / Dev Container</w:t>
            </w:r>
          </w:p>
        </w:tc>
        <w:tc>
          <w:tcPr>
            <w:tcW w:type="dxa" w:w="6060"/>
            <w:vAlign w:val="top"/>
          </w:tcPr>
          <w:p>
            <w:pPr>
              <w:spacing w:after="0"/>
            </w:pPr>
            <w:r>
              <w:rPr>
                <w:rFonts w:ascii="Calibri" w:hAnsi="Calibri"/>
                <w:color w:val="1E293B"/>
                <w:sz w:val="17"/>
              </w:rPr>
              <w:t>Compose health checks and .NET 10 Noble environment</w:t>
            </w:r>
          </w:p>
        </w:tc>
      </w:tr>
      <w:tr>
        <w:tc>
          <w:tcPr>
            <w:tcW w:type="dxa" w:w="700"/>
            <w:vAlign w:val="top"/>
          </w:tcPr>
          <w:p>
            <w:pPr>
              <w:spacing w:after="0"/>
            </w:pPr>
            <w:r>
              <w:rPr>
                <w:rFonts w:ascii="Calibri" w:hAnsi="Calibri"/>
                <w:color w:val="1E293B"/>
                <w:sz w:val="17"/>
              </w:rPr>
              <w:t>YES</w:t>
            </w:r>
          </w:p>
        </w:tc>
        <w:tc>
          <w:tcPr>
            <w:tcW w:type="dxa" w:w="2600"/>
            <w:vAlign w:val="top"/>
          </w:tcPr>
          <w:p>
            <w:pPr>
              <w:spacing w:after="0"/>
            </w:pPr>
            <w:r>
              <w:rPr>
                <w:rFonts w:ascii="Calibri" w:hAnsi="Calibri"/>
                <w:color w:val="1E293B"/>
                <w:sz w:val="17"/>
              </w:rPr>
              <w:t>Code documentation</w:t>
            </w:r>
          </w:p>
        </w:tc>
        <w:tc>
          <w:tcPr>
            <w:tcW w:type="dxa" w:w="6060"/>
            <w:vAlign w:val="top"/>
          </w:tcPr>
          <w:p>
            <w:pPr>
              <w:spacing w:after="0"/>
            </w:pPr>
            <w:r>
              <w:rPr>
                <w:rFonts w:ascii="Calibri" w:hAnsi="Calibri"/>
                <w:color w:val="1E293B"/>
                <w:sz w:val="17"/>
              </w:rPr>
              <w:t>XML summaries on key public contracts and 29 presentation-point comments</w:t>
            </w:r>
          </w:p>
        </w:tc>
      </w:tr>
      <w:tr>
        <w:tc>
          <w:tcPr>
            <w:tcW w:type="dxa" w:w="700"/>
            <w:vAlign w:val="top"/>
          </w:tcPr>
          <w:p>
            <w:pPr>
              <w:spacing w:after="0"/>
            </w:pPr>
            <w:r>
              <w:rPr>
                <w:rFonts w:ascii="Calibri" w:hAnsi="Calibri"/>
                <w:color w:val="1E293B"/>
                <w:sz w:val="17"/>
              </w:rPr>
              <w:t>NO</w:t>
            </w:r>
          </w:p>
        </w:tc>
        <w:tc>
          <w:tcPr>
            <w:tcW w:type="dxa" w:w="2600"/>
            <w:vAlign w:val="top"/>
          </w:tcPr>
          <w:p>
            <w:pPr>
              <w:spacing w:after="0"/>
            </w:pPr>
            <w:r>
              <w:rPr>
                <w:rFonts w:ascii="Calibri" w:hAnsi="Calibri"/>
                <w:color w:val="1E293B"/>
                <w:sz w:val="17"/>
              </w:rPr>
              <w:t>MediatR / CQRS Lite</w:t>
            </w:r>
          </w:p>
        </w:tc>
        <w:tc>
          <w:tcPr>
            <w:tcW w:type="dxa" w:w="6060"/>
            <w:vAlign w:val="top"/>
          </w:tcPr>
          <w:p>
            <w:pPr>
              <w:spacing w:after="0"/>
            </w:pPr>
            <w:r>
              <w:rPr>
                <w:rFonts w:ascii="Calibri" w:hAnsi="Calibri"/>
                <w:color w:val="1E293B"/>
                <w:sz w:val="17"/>
              </w:rPr>
              <w:t>Optional; excluded to keep the system compact and explainable</w:t>
            </w:r>
          </w:p>
        </w:tc>
      </w:tr>
      <w:tr>
        <w:tc>
          <w:tcPr>
            <w:tcW w:type="dxa" w:w="700"/>
            <w:vAlign w:val="top"/>
          </w:tcPr>
          <w:p>
            <w:pPr>
              <w:spacing w:after="0"/>
            </w:pPr>
            <w:r>
              <w:rPr>
                <w:rFonts w:ascii="Calibri" w:hAnsi="Calibri"/>
                <w:color w:val="1E293B"/>
                <w:sz w:val="17"/>
              </w:rPr>
              <w:t>NO</w:t>
            </w:r>
          </w:p>
        </w:tc>
        <w:tc>
          <w:tcPr>
            <w:tcW w:type="dxa" w:w="2600"/>
            <w:vAlign w:val="top"/>
          </w:tcPr>
          <w:p>
            <w:pPr>
              <w:spacing w:after="0"/>
            </w:pPr>
            <w:r>
              <w:rPr>
                <w:rFonts w:ascii="Calibri" w:hAnsi="Calibri"/>
                <w:color w:val="1E293B"/>
                <w:sz w:val="17"/>
              </w:rPr>
              <w:t>SonarCloud</w:t>
            </w:r>
          </w:p>
        </w:tc>
        <w:tc>
          <w:tcPr>
            <w:tcW w:type="dxa" w:w="6060"/>
            <w:vAlign w:val="top"/>
          </w:tcPr>
          <w:p>
            <w:pPr>
              <w:spacing w:after="0"/>
            </w:pPr>
            <w:r>
              <w:rPr>
                <w:rFonts w:ascii="Calibri" w:hAnsi="Calibri"/>
                <w:color w:val="1E293B"/>
                <w:sz w:val="17"/>
              </w:rPr>
              <w:t>Optional; coverage artifacts are implemented instead</w:t>
            </w:r>
          </w:p>
        </w:tc>
      </w:tr>
    </w:tbl>
    <w:p>
      <w:pPr>
        <w:spacing w:after="0"/>
      </w:pPr>
      <w:r>
        <w:rPr>
          <w:rFonts w:ascii="Calibri" w:hAnsi="Calibri"/>
          <w:b w:val="0"/>
          <w:i w:val="0"/>
          <w:color w:val="1E293B"/>
          <w:sz w:val="24"/>
        </w:rPr>
        <w:t>Scope decision: the brief makes MediatR and SonarCloud optional. The implementation invests in a fully explained State Pattern, PostGIS integration test, mobile workflow, and reproducible deployment instead of adding optional infrastructure without evidence.</w:t>
      </w:r>
    </w:p>
    <w:p>
      <w:r>
        <w:br w:type="page"/>
      </w:r>
    </w:p>
    <w:p>
      <w:pPr>
        <w:pStyle w:val="Heading2"/>
        <w:keepNext/>
      </w:pPr>
      <w:r>
        <w:t>3.1 Feature screenshots - authentication and catalogue</w:t>
      </w:r>
    </w:p>
    <w:p>
      <w:pPr>
        <w:spacing w:after="120"/>
      </w:pPr>
      <w:r>
        <w:rPr>
          <w:rFonts w:ascii="Calibri" w:hAnsi="Calibri"/>
          <w:b w:val="0"/>
          <w:i w:val="0"/>
          <w:color w:val="1E293B"/>
          <w:sz w:val="24"/>
        </w:rPr>
        <w:t>Replace each marked evidence slot with a cropped emulator screenshot. Keep the caption and ensure user data contains no private credentials.</w:t>
      </w:r>
    </w:p>
    <w:tbl>
      <w:tblPr>
        <w:tblW w:type="dxa" w:w="9360"/>
        <w:jc w:val="left"/>
        <w:tblLayout w:type="fixed"/>
        <w:tblLook w:firstColumn="1" w:firstRow="1" w:lastColumn="0" w:lastRow="0" w:noHBand="0" w:noVBand="1" w:val="04A0"/>
        <w:tblInd w:w="0" w:type="dxa"/>
        <w:tblBorders>
          <w:top w:val="single" w:sz="8" w:color="C8D2DC"/>
          <w:left w:val="single" w:sz="8" w:color="C8D2DC"/>
          <w:bottom w:val="single" w:sz="8" w:color="C8D2DC"/>
          <w:right w:val="single" w:sz="8" w:color="C8D2DC"/>
          <w:insideH w:val="single" w:sz="8" w:color="C8D2DC"/>
          <w:insideV w:val="single" w:sz="8" w:color="C8D2DC"/>
        </w:tblBorders>
      </w:tblPr>
      <w:tblGrid>
        <w:gridCol w:w="4680"/>
        <w:gridCol w:w="4680"/>
      </w:tblGrid>
      <w:tr>
        <w:trPr/>
        <w:tc>
          <w:tcPr>
            <w:tcW w:type="dxa" w:w="4680"/>
            <w:tcMar>
              <w:top w:w="80" w:type="dxa"/>
              <w:start w:w="120" w:type="dxa"/>
              <w:bottom w:w="80" w:type="dxa"/>
              <w:end w:w="120" w:type="dxa"/>
            </w:tcMar>
            <w:vAlign w:val="center"/>
            <w:shd w:fill="F7FAFC"/>
          </w:tcPr>
          <w:p>
            <w:pPr>
              <w:spacing w:after="200"/>
              <w:jc w:val="center"/>
            </w:pPr>
            <w:r>
              <w:rPr>
                <w:rFonts w:ascii="Calibri" w:hAnsi="Calibri"/>
                <w:b/>
                <w:color w:val="17324D"/>
                <w:sz w:val="24"/>
              </w:rPr>
              <w:t>A. Login / registration</w:t>
            </w:r>
          </w:p>
          <w:p>
            <w:pPr>
              <w:spacing w:after="120"/>
              <w:jc w:val="center"/>
            </w:pPr>
            <w:r>
              <w:rPr>
                <w:rFonts w:ascii="Calibri" w:hAnsi="Calibri"/>
                <w:b/>
                <w:color w:val="9A6700"/>
                <w:sz w:val="20"/>
              </w:rPr>
              <w:t>INSERT RUNNING-APP SCREENSHOT</w:t>
            </w:r>
          </w:p>
          <w:p>
            <w:pPr>
              <w:spacing w:after="0"/>
              <w:jc w:val="center"/>
            </w:pPr>
            <w:r>
              <w:rPr>
                <w:rFonts w:ascii="Calibri" w:hAnsi="Calibri"/>
                <w:b w:val="0"/>
                <w:i/>
                <w:color w:val="52606D"/>
                <w:sz w:val="18"/>
              </w:rPr>
              <w:t>Show both actions and validation feedback.</w:t>
            </w:r>
          </w:p>
        </w:tc>
        <w:tc>
          <w:tcPr>
            <w:tcW w:type="dxa" w:w="4680"/>
            <w:tcMar>
              <w:top w:w="80" w:type="dxa"/>
              <w:start w:w="120" w:type="dxa"/>
              <w:bottom w:w="80" w:type="dxa"/>
              <w:end w:w="120" w:type="dxa"/>
            </w:tcMar>
            <w:vAlign w:val="center"/>
            <w:shd w:fill="F7FAFC"/>
          </w:tcPr>
          <w:p>
            <w:pPr>
              <w:spacing w:after="200"/>
              <w:jc w:val="center"/>
            </w:pPr>
            <w:r>
              <w:rPr>
                <w:rFonts w:ascii="Calibri" w:hAnsi="Calibri"/>
                <w:b/>
                <w:color w:val="17324D"/>
                <w:sz w:val="24"/>
              </w:rPr>
              <w:t>B. Browse items</w:t>
            </w:r>
          </w:p>
          <w:p>
            <w:pPr>
              <w:spacing w:after="120"/>
              <w:jc w:val="center"/>
            </w:pPr>
            <w:r>
              <w:rPr>
                <w:rFonts w:ascii="Calibri" w:hAnsi="Calibri"/>
                <w:b/>
                <w:color w:val="9A6700"/>
                <w:sz w:val="20"/>
              </w:rPr>
              <w:t>INSERT RUNNING-APP SCREENSHOT</w:t>
            </w:r>
          </w:p>
          <w:p>
            <w:pPr>
              <w:spacing w:after="0"/>
              <w:jc w:val="center"/>
            </w:pPr>
            <w:r>
              <w:rPr>
                <w:rFonts w:ascii="Calibri" w:hAnsi="Calibri"/>
                <w:b w:val="0"/>
                <w:i/>
                <w:color w:val="52606D"/>
                <w:sz w:val="18"/>
              </w:rPr>
              <w:t>Show seeded catalogue and category filter.</w:t>
            </w:r>
          </w:p>
        </w:tc>
      </w:tr>
      <w:tr>
        <w:trPr/>
        <w:tc>
          <w:tcPr>
            <w:tcW w:type="dxa" w:w="4680"/>
            <w:tcMar>
              <w:top w:w="80" w:type="dxa"/>
              <w:start w:w="120" w:type="dxa"/>
              <w:bottom w:w="80" w:type="dxa"/>
              <w:end w:w="120" w:type="dxa"/>
            </w:tcMar>
            <w:vAlign w:val="center"/>
            <w:shd w:fill="F7FAFC"/>
          </w:tcPr>
          <w:p>
            <w:pPr>
              <w:spacing w:after="200"/>
              <w:jc w:val="center"/>
            </w:pPr>
            <w:r>
              <w:rPr>
                <w:rFonts w:ascii="Calibri" w:hAnsi="Calibri"/>
                <w:b/>
                <w:color w:val="17324D"/>
                <w:sz w:val="24"/>
              </w:rPr>
              <w:t>C. Item detail / request</w:t>
            </w:r>
          </w:p>
          <w:p>
            <w:pPr>
              <w:spacing w:after="120"/>
              <w:jc w:val="center"/>
            </w:pPr>
            <w:r>
              <w:rPr>
                <w:rFonts w:ascii="Calibri" w:hAnsi="Calibri"/>
                <w:b/>
                <w:color w:val="9A6700"/>
                <w:sz w:val="20"/>
              </w:rPr>
              <w:t>INSERT RUNNING-APP SCREENSHOT</w:t>
            </w:r>
          </w:p>
          <w:p>
            <w:pPr>
              <w:spacing w:after="0"/>
              <w:jc w:val="center"/>
            </w:pPr>
            <w:r>
              <w:rPr>
                <w:rFonts w:ascii="Calibri" w:hAnsi="Calibri"/>
                <w:b w:val="0"/>
                <w:i/>
                <w:color w:val="52606D"/>
                <w:sz w:val="18"/>
              </w:rPr>
              <w:t>Show rate, owner, reviews, and date selection.</w:t>
            </w:r>
          </w:p>
        </w:tc>
        <w:tc>
          <w:tcPr>
            <w:tcW w:type="dxa" w:w="4680"/>
            <w:tcMar>
              <w:top w:w="80" w:type="dxa"/>
              <w:start w:w="120" w:type="dxa"/>
              <w:bottom w:w="80" w:type="dxa"/>
              <w:end w:w="120" w:type="dxa"/>
            </w:tcMar>
            <w:vAlign w:val="center"/>
            <w:shd w:fill="F7FAFC"/>
          </w:tcPr>
          <w:p>
            <w:pPr>
              <w:spacing w:after="200"/>
              <w:jc w:val="center"/>
            </w:pPr>
            <w:r>
              <w:rPr>
                <w:rFonts w:ascii="Calibri" w:hAnsi="Calibri"/>
                <w:b/>
                <w:color w:val="17324D"/>
                <w:sz w:val="24"/>
              </w:rPr>
              <w:t>D. Owner edit</w:t>
            </w:r>
          </w:p>
          <w:p>
            <w:pPr>
              <w:spacing w:after="120"/>
              <w:jc w:val="center"/>
            </w:pPr>
            <w:r>
              <w:rPr>
                <w:rFonts w:ascii="Calibri" w:hAnsi="Calibri"/>
                <w:b/>
                <w:color w:val="9A6700"/>
                <w:sz w:val="20"/>
              </w:rPr>
              <w:t>INSERT RUNNING-APP SCREENSHOT</w:t>
            </w:r>
          </w:p>
          <w:p>
            <w:pPr>
              <w:spacing w:after="0"/>
              <w:jc w:val="center"/>
            </w:pPr>
            <w:r>
              <w:rPr>
                <w:rFonts w:ascii="Calibri" w:hAnsi="Calibri"/>
                <w:b w:val="0"/>
                <w:i/>
                <w:color w:val="52606D"/>
                <w:sz w:val="18"/>
              </w:rPr>
              <w:t>Show owner-only fields and availability control.</w:t>
            </w:r>
          </w:p>
        </w:tc>
      </w:tr>
    </w:tbl>
    <w:p>
      <w:r>
        <w:br w:type="page"/>
      </w:r>
    </w:p>
    <w:p>
      <w:pPr>
        <w:pStyle w:val="Heading2"/>
        <w:keepNext/>
      </w:pPr>
      <w:r>
        <w:t>3.2 Feature screenshots - spatial, workflow, and review</w:t>
      </w:r>
    </w:p>
    <w:tbl>
      <w:tblPr>
        <w:tblW w:type="dxa" w:w="9360"/>
        <w:jc w:val="left"/>
        <w:tblLayout w:type="fixed"/>
        <w:tblLook w:firstColumn="1" w:firstRow="1" w:lastColumn="0" w:lastRow="0" w:noHBand="0" w:noVBand="1" w:val="04A0"/>
        <w:tblInd w:w="0" w:type="dxa"/>
        <w:tblBorders>
          <w:top w:val="single" w:sz="8" w:color="C8D2DC"/>
          <w:left w:val="single" w:sz="8" w:color="C8D2DC"/>
          <w:bottom w:val="single" w:sz="8" w:color="C8D2DC"/>
          <w:right w:val="single" w:sz="8" w:color="C8D2DC"/>
          <w:insideH w:val="single" w:sz="8" w:color="C8D2DC"/>
          <w:insideV w:val="single" w:sz="8" w:color="C8D2DC"/>
        </w:tblBorders>
      </w:tblPr>
      <w:tblGrid>
        <w:gridCol w:w="4680"/>
        <w:gridCol w:w="4680"/>
      </w:tblGrid>
      <w:tr>
        <w:trPr/>
        <w:tc>
          <w:tcPr>
            <w:tcW w:type="dxa" w:w="4680"/>
            <w:tcMar>
              <w:top w:w="80" w:type="dxa"/>
              <w:start w:w="120" w:type="dxa"/>
              <w:bottom w:w="80" w:type="dxa"/>
              <w:end w:w="120" w:type="dxa"/>
            </w:tcMar>
            <w:vAlign w:val="center"/>
            <w:shd w:fill="F7FAFC"/>
          </w:tcPr>
          <w:p>
            <w:pPr>
              <w:spacing w:after="200"/>
              <w:jc w:val="center"/>
            </w:pPr>
            <w:r>
              <w:rPr>
                <w:rFonts w:ascii="Calibri" w:hAnsi="Calibri"/>
                <w:b/>
                <w:color w:val="17324D"/>
                <w:sz w:val="24"/>
              </w:rPr>
              <w:t>E. Create item</w:t>
            </w:r>
          </w:p>
          <w:p>
            <w:pPr>
              <w:spacing w:after="120"/>
              <w:jc w:val="center"/>
            </w:pPr>
            <w:r>
              <w:rPr>
                <w:rFonts w:ascii="Calibri" w:hAnsi="Calibri"/>
                <w:b/>
                <w:color w:val="9A6700"/>
                <w:sz w:val="20"/>
              </w:rPr>
              <w:t>INSERT RUNNING-APP SCREENSHOT</w:t>
            </w:r>
          </w:p>
          <w:p>
            <w:pPr>
              <w:spacing w:after="0"/>
              <w:jc w:val="center"/>
            </w:pPr>
            <w:r>
              <w:rPr>
                <w:rFonts w:ascii="Calibri" w:hAnsi="Calibri"/>
                <w:b w:val="0"/>
                <w:i/>
                <w:color w:val="52606D"/>
                <w:sz w:val="18"/>
              </w:rPr>
              <w:t>Show category, daily rate, address lookup, and confirmation.</w:t>
            </w:r>
          </w:p>
        </w:tc>
        <w:tc>
          <w:tcPr>
            <w:tcW w:type="dxa" w:w="4680"/>
            <w:tcMar>
              <w:top w:w="80" w:type="dxa"/>
              <w:start w:w="120" w:type="dxa"/>
              <w:bottom w:w="80" w:type="dxa"/>
              <w:end w:w="120" w:type="dxa"/>
            </w:tcMar>
            <w:vAlign w:val="center"/>
            <w:shd w:fill="F7FAFC"/>
          </w:tcPr>
          <w:p>
            <w:pPr>
              <w:spacing w:after="200"/>
              <w:jc w:val="center"/>
            </w:pPr>
            <w:r>
              <w:rPr>
                <w:rFonts w:ascii="Calibri" w:hAnsi="Calibri"/>
                <w:b/>
                <w:color w:val="17324D"/>
                <w:sz w:val="24"/>
              </w:rPr>
              <w:t>F. Near me</w:t>
            </w:r>
          </w:p>
          <w:p>
            <w:pPr>
              <w:spacing w:after="120"/>
              <w:jc w:val="center"/>
            </w:pPr>
            <w:r>
              <w:drawing>
                <wp:inline xmlns:a="http://schemas.openxmlformats.org/drawingml/2006/main" xmlns:pic="http://schemas.openxmlformats.org/drawingml/2006/picture">
                  <wp:extent cx="1874519" cy="2067975"/>
                  <wp:docPr id="5" name="Picture 5" descr="Running RentalApp screenshot: F. Near me" title="F. Near me"/>
                  <wp:cNvGraphicFramePr>
                    <a:graphicFrameLocks noChangeAspect="1"/>
                  </wp:cNvGraphicFramePr>
                  <a:graphic>
                    <a:graphicData uri="http://schemas.openxmlformats.org/drawingml/2006/picture">
                      <pic:pic>
                        <pic:nvPicPr>
                          <pic:cNvPr id="0" name="near-me-evidence.png"/>
                          <pic:cNvPicPr/>
                        </pic:nvPicPr>
                        <pic:blipFill>
                          <a:blip r:embed="rId15"/>
                          <a:stretch>
                            <a:fillRect/>
                          </a:stretch>
                        </pic:blipFill>
                        <pic:spPr>
                          <a:xfrm>
                            <a:off x="0" y="0"/>
                            <a:ext cx="1874519" cy="2067975"/>
                          </a:xfrm>
                          <a:prstGeom prst="rect"/>
                        </pic:spPr>
                      </pic:pic>
                    </a:graphicData>
                  </a:graphic>
                </wp:inline>
              </w:drawing>
            </w:r>
          </w:p>
          <w:p>
            <w:pPr>
              <w:spacing w:after="0"/>
              <w:jc w:val="center"/>
            </w:pPr>
            <w:r>
              <w:rPr>
                <w:rFonts w:ascii="Calibri" w:hAnsi="Calibri"/>
                <w:b w:val="0"/>
                <w:i/>
                <w:color w:val="52606D"/>
                <w:sz w:val="18"/>
              </w:rPr>
              <w:t>Real emulator capture showing radius/category controls and device coordinates.</w:t>
            </w:r>
          </w:p>
        </w:tc>
      </w:tr>
      <w:tr>
        <w:trPr/>
        <w:tc>
          <w:tcPr>
            <w:tcW w:type="dxa" w:w="4680"/>
            <w:tcMar>
              <w:top w:w="80" w:type="dxa"/>
              <w:start w:w="120" w:type="dxa"/>
              <w:bottom w:w="80" w:type="dxa"/>
              <w:end w:w="120" w:type="dxa"/>
            </w:tcMar>
            <w:vAlign w:val="center"/>
            <w:shd w:fill="F7FAFC"/>
          </w:tcPr>
          <w:p>
            <w:pPr>
              <w:spacing w:after="200"/>
              <w:jc w:val="center"/>
            </w:pPr>
            <w:r>
              <w:rPr>
                <w:rFonts w:ascii="Calibri" w:hAnsi="Calibri"/>
                <w:b/>
                <w:color w:val="17324D"/>
                <w:sz w:val="24"/>
              </w:rPr>
              <w:t>G. Rental workflow</w:t>
            </w:r>
          </w:p>
          <w:p>
            <w:pPr>
              <w:spacing w:after="120"/>
              <w:jc w:val="center"/>
            </w:pPr>
            <w:r>
              <w:rPr>
                <w:rFonts w:ascii="Calibri" w:hAnsi="Calibri"/>
                <w:b/>
                <w:color w:val="9A6700"/>
                <w:sz w:val="20"/>
              </w:rPr>
              <w:t>INSERT RUNNING-APP SCREENSHOT</w:t>
            </w:r>
          </w:p>
          <w:p>
            <w:pPr>
              <w:spacing w:after="0"/>
              <w:jc w:val="center"/>
            </w:pPr>
            <w:r>
              <w:rPr>
                <w:rFonts w:ascii="Calibri" w:hAnsi="Calibri"/>
                <w:b w:val="0"/>
                <w:i/>
                <w:color w:val="52606D"/>
                <w:sz w:val="18"/>
              </w:rPr>
              <w:t>Show incoming/outgoing status and valid action buttons.</w:t>
            </w:r>
          </w:p>
        </w:tc>
        <w:tc>
          <w:tcPr>
            <w:tcW w:type="dxa" w:w="4680"/>
            <w:tcMar>
              <w:top w:w="80" w:type="dxa"/>
              <w:start w:w="120" w:type="dxa"/>
              <w:bottom w:w="80" w:type="dxa"/>
              <w:end w:w="120" w:type="dxa"/>
            </w:tcMar>
            <w:vAlign w:val="center"/>
            <w:shd w:fill="F7FAFC"/>
          </w:tcPr>
          <w:p>
            <w:pPr>
              <w:spacing w:after="200"/>
              <w:jc w:val="center"/>
            </w:pPr>
            <w:r>
              <w:rPr>
                <w:rFonts w:ascii="Calibri" w:hAnsi="Calibri"/>
                <w:b/>
                <w:color w:val="17324D"/>
                <w:sz w:val="24"/>
              </w:rPr>
              <w:t>H. Verified review / profile</w:t>
            </w:r>
          </w:p>
          <w:p>
            <w:pPr>
              <w:spacing w:after="120"/>
              <w:jc w:val="center"/>
            </w:pPr>
            <w:r>
              <w:rPr>
                <w:rFonts w:ascii="Calibri" w:hAnsi="Calibri"/>
                <w:b/>
                <w:color w:val="9A6700"/>
                <w:sz w:val="20"/>
              </w:rPr>
              <w:t>INSERT RUNNING-APP SCREENSHOT</w:t>
            </w:r>
          </w:p>
          <w:p>
            <w:pPr>
              <w:spacing w:after="0"/>
              <w:jc w:val="center"/>
            </w:pPr>
            <w:r>
              <w:rPr>
                <w:rFonts w:ascii="Calibri" w:hAnsi="Calibri"/>
                <w:b w:val="0"/>
                <w:i/>
                <w:color w:val="52606D"/>
                <w:sz w:val="18"/>
              </w:rPr>
              <w:t>Show completed-rental picker and profile summary.</w:t>
            </w:r>
          </w:p>
        </w:tc>
      </w:tr>
    </w:tbl>
    <w:tbl>
      <w:tblPr>
        <w:tblW w:type="dxa" w:w="9360"/>
        <w:jc w:val="left"/>
        <w:tblLayout w:type="fixed"/>
        <w:tblLook w:firstColumn="1" w:firstRow="1" w:lastColumn="0" w:lastRow="0" w:noHBand="0" w:noVBand="1" w:val="04A0"/>
        <w:tblInd w:w="120" w:type="dxa"/>
        <w:tblBorders>
          <w:top w:val="single" w:sz="9" w:color="19734C"/>
          <w:left w:val="single" w:sz="9" w:color="19734C"/>
          <w:bottom w:val="single" w:sz="9" w:color="19734C"/>
          <w:right w:val="single" w:sz="9" w:color="19734C"/>
          <w:insideH w:val="single" w:sz="9" w:color="19734C"/>
          <w:insideV w:val="single" w:sz="9" w:color="19734C"/>
        </w:tblBorders>
      </w:tblPr>
      <w:tblGrid>
        <w:gridCol w:w="9360"/>
      </w:tblGrid>
      <w:tr>
        <w:tc>
          <w:tcPr>
            <w:tcW w:type="dxa" w:w="9360"/>
            <w:tcMar>
              <w:top w:w="80" w:type="dxa"/>
              <w:start w:w="120" w:type="dxa"/>
              <w:bottom w:w="80" w:type="dxa"/>
              <w:end w:w="120" w:type="dxa"/>
            </w:tcMar>
            <w:shd w:fill="E6F4EA"/>
          </w:tcPr>
          <w:p>
            <w:pPr>
              <w:spacing w:after="40"/>
            </w:pPr>
            <w:r>
              <w:rPr>
                <w:rFonts w:ascii="Calibri" w:hAnsi="Calibri"/>
                <w:b/>
                <w:color w:val="19734C"/>
                <w:sz w:val="24"/>
              </w:rPr>
              <w:t>High-value demonstration</w:t>
            </w:r>
          </w:p>
          <w:p>
            <w:pPr>
              <w:spacing w:after="0"/>
            </w:pPr>
            <w:r>
              <w:rPr>
                <w:rFonts w:ascii="Calibri" w:hAnsi="Calibri"/>
                <w:color w:val="1E293B"/>
                <w:sz w:val="22"/>
              </w:rPr>
              <w:t>Use Mike to request, Sarah to approve/start, Mike to return/review, and Sarah to complete. This proves role-based actions and the state workflow rather than only static screens.</w:t>
            </w:r>
          </w:p>
        </w:tc>
      </w:tr>
    </w:tbl>
    <w:p>
      <w:pPr>
        <w:spacing w:after="0"/>
      </w:pPr>
    </w:p>
    <w:p>
      <w:r>
        <w:br w:type="page"/>
      </w:r>
    </w:p>
    <w:p>
      <w:pPr>
        <w:pStyle w:val="Heading1"/>
        <w:keepNext/>
      </w:pPr>
      <w:r>
        <w:t>4. Testing documentation</w:t>
      </w:r>
    </w:p>
    <w:p>
      <w:pPr>
        <w:pStyle w:val="Heading2"/>
        <w:keepNext/>
      </w:pPr>
      <w:r>
        <w:t>4.1 Verified result and coverage</w:t>
      </w:r>
    </w:p>
    <w:tbl>
      <w:tblPr>
        <w:tblW w:type="dxa" w:w="9360"/>
        <w:jc w:val="left"/>
        <w:tblLayout w:type="fixed"/>
        <w:tblLook w:firstColumn="1" w:firstRow="1" w:lastColumn="0" w:lastRow="0" w:noHBand="0" w:noVBand="1" w:val="04A0"/>
        <w:tblInd w:w="120" w:type="dxa"/>
        <w:tblBorders>
          <w:top w:val="single" w:sz="9" w:color="19734C"/>
          <w:left w:val="single" w:sz="9" w:color="19734C"/>
          <w:bottom w:val="single" w:sz="9" w:color="19734C"/>
          <w:right w:val="single" w:sz="9" w:color="19734C"/>
          <w:insideH w:val="single" w:sz="9" w:color="19734C"/>
          <w:insideV w:val="single" w:sz="9" w:color="19734C"/>
        </w:tblBorders>
      </w:tblPr>
      <w:tblGrid>
        <w:gridCol w:w="9360"/>
      </w:tblGrid>
      <w:tr>
        <w:tc>
          <w:tcPr>
            <w:tcW w:type="dxa" w:w="9360"/>
            <w:tcMar>
              <w:top w:w="80" w:type="dxa"/>
              <w:start w:w="120" w:type="dxa"/>
              <w:bottom w:w="80" w:type="dxa"/>
              <w:end w:w="120" w:type="dxa"/>
            </w:tcMar>
            <w:shd w:fill="E6F4EA"/>
          </w:tcPr>
          <w:p>
            <w:pPr>
              <w:spacing w:after="40"/>
            </w:pPr>
            <w:r>
              <w:rPr>
                <w:rFonts w:ascii="Calibri" w:hAnsi="Calibri"/>
                <w:b/>
                <w:color w:val="19734C"/>
                <w:sz w:val="24"/>
              </w:rPr>
              <w:t>Verified Docker test run - 26 July 2026</w:t>
            </w:r>
          </w:p>
          <w:p>
            <w:pPr>
              <w:spacing w:after="0"/>
            </w:pPr>
            <w:r>
              <w:rPr>
                <w:rFonts w:ascii="Calibri" w:hAnsi="Calibri"/>
                <w:color w:val="1E293B"/>
                <w:sz w:val="22"/>
              </w:rPr>
              <w:t>65 total | 65 passed | 0 failed | 0 skipped | 16 seconds. Cobertura line coverage: 86.4%.</w:t>
            </w:r>
          </w:p>
        </w:tc>
      </w:tr>
    </w:tbl>
    <w:p>
      <w:pPr>
        <w:spacing w:after="0"/>
      </w:pPr>
    </w:p>
    <w:tbl>
      <w:tblPr>
        <w:tblW w:type="dxa" w:w="9360"/>
        <w:jc w:val="left"/>
        <w:tblLayout w:type="fixed"/>
        <w:tblLook w:firstColumn="1" w:firstRow="1" w:lastColumn="0" w:lastRow="0" w:noHBand="0" w:noVBand="1" w:val="04A0"/>
        <w:tblInd w:w="120" w:type="dxa"/>
        <w:tblBorders>
          <w:top w:val="single" w:sz="9" w:color="19734C"/>
          <w:left w:val="single" w:sz="9" w:color="19734C"/>
          <w:bottom w:val="single" w:sz="9" w:color="19734C"/>
          <w:right w:val="single" w:sz="9" w:color="19734C"/>
          <w:insideH w:val="single" w:sz="9" w:color="19734C"/>
          <w:insideV w:val="single" w:sz="9" w:color="19734C"/>
        </w:tblBorders>
      </w:tblPr>
      <w:tblGrid>
        <w:gridCol w:w="9360"/>
      </w:tblGrid>
      <w:tr>
        <w:tc>
          <w:tcPr>
            <w:tcW w:type="dxa" w:w="9360"/>
            <w:tcMar>
              <w:top w:w="80" w:type="dxa"/>
              <w:start w:w="120" w:type="dxa"/>
              <w:bottom w:w="80" w:type="dxa"/>
              <w:end w:w="120" w:type="dxa"/>
            </w:tcMar>
            <w:shd w:fill="E6F4EA"/>
          </w:tcPr>
          <w:p>
            <w:pPr>
              <w:spacing w:after="40"/>
            </w:pPr>
            <w:r>
              <w:rPr>
                <w:rFonts w:ascii="Calibri" w:hAnsi="Calibri"/>
                <w:b/>
                <w:color w:val="19734C"/>
                <w:sz w:val="24"/>
              </w:rPr>
              <w:t>Distinction testing threshold met</w:t>
            </w:r>
          </w:p>
          <w:p>
            <w:pPr>
              <w:spacing w:after="0"/>
            </w:pPr>
            <w:r>
              <w:rPr>
                <w:rFonts w:ascii="Calibri" w:hAnsi="Calibri"/>
                <w:color w:val="1E293B"/>
                <w:sz w:val="22"/>
              </w:rPr>
              <w:t>The final build's measured 86.4% line rate exceeds the brief's 80% distinction threshold. Insert a screenshot/export of the Cobertura or generated HTML report as visual evidence.</w:t>
            </w:r>
          </w:p>
        </w:tc>
      </w:tr>
    </w:tbl>
    <w:p>
      <w:pPr>
        <w:spacing w:after="0"/>
      </w:pP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3350"/>
        <w:gridCol w:w="900"/>
        <w:gridCol w:w="5110"/>
      </w:tblGrid>
      <w:tr>
        <w:trPr>
          <w:tblHeader w:val="true"/>
        </w:trPr>
        <w:tc>
          <w:tcPr>
            <w:tcW w:type="dxa" w:w="3350"/>
            <w:tcMar>
              <w:top w:w="80" w:type="dxa"/>
              <w:start w:w="120" w:type="dxa"/>
              <w:bottom w:w="80" w:type="dxa"/>
              <w:end w:w="120" w:type="dxa"/>
            </w:tcMar>
            <w:shd w:fill="F2F4F7"/>
            <w:vAlign w:val="center"/>
          </w:tcPr>
          <w:p>
            <w:pPr>
              <w:spacing w:after="0"/>
            </w:pPr>
            <w:r>
              <w:rPr>
                <w:rFonts w:ascii="Calibri" w:hAnsi="Calibri"/>
                <w:b/>
                <w:color w:val="17324D"/>
                <w:sz w:val="18"/>
              </w:rPr>
              <w:t>Test group</w:t>
            </w:r>
          </w:p>
        </w:tc>
        <w:tc>
          <w:tcPr>
            <w:tcW w:type="dxa" w:w="900"/>
            <w:tcMar>
              <w:top w:w="80" w:type="dxa"/>
              <w:start w:w="120" w:type="dxa"/>
              <w:bottom w:w="80" w:type="dxa"/>
              <w:end w:w="120" w:type="dxa"/>
            </w:tcMar>
            <w:shd w:fill="F2F4F7"/>
            <w:vAlign w:val="center"/>
          </w:tcPr>
          <w:p>
            <w:pPr>
              <w:spacing w:after="0"/>
            </w:pPr>
            <w:r>
              <w:rPr>
                <w:rFonts w:ascii="Calibri" w:hAnsi="Calibri"/>
                <w:b/>
                <w:color w:val="17324D"/>
                <w:sz w:val="18"/>
              </w:rPr>
              <w:t>Cases</w:t>
            </w:r>
          </w:p>
        </w:tc>
        <w:tc>
          <w:tcPr>
            <w:tcW w:type="dxa" w:w="5110"/>
            <w:tcMar>
              <w:top w:w="80" w:type="dxa"/>
              <w:start w:w="120" w:type="dxa"/>
              <w:bottom w:w="80" w:type="dxa"/>
              <w:end w:w="120" w:type="dxa"/>
            </w:tcMar>
            <w:shd w:fill="F2F4F7"/>
            <w:vAlign w:val="center"/>
          </w:tcPr>
          <w:p>
            <w:pPr>
              <w:spacing w:after="0"/>
            </w:pPr>
            <w:r>
              <w:rPr>
                <w:rFonts w:ascii="Calibri" w:hAnsi="Calibri"/>
                <w:b/>
                <w:color w:val="17324D"/>
                <w:sz w:val="18"/>
              </w:rPr>
              <w:t>Primary concern</w:t>
            </w:r>
          </w:p>
        </w:tc>
      </w:tr>
      <w:tr>
        <w:tc>
          <w:tcPr>
            <w:tcW w:type="dxa" w:w="3350"/>
            <w:vAlign w:val="top"/>
          </w:tcPr>
          <w:p>
            <w:pPr>
              <w:spacing w:after="0"/>
            </w:pPr>
            <w:r>
              <w:rPr>
                <w:rFonts w:ascii="Calibri" w:hAnsi="Calibri"/>
                <w:color w:val="1E293B"/>
                <w:sz w:val="18"/>
              </w:rPr>
              <w:t>RentalApiTests</w:t>
            </w:r>
          </w:p>
        </w:tc>
        <w:tc>
          <w:tcPr>
            <w:tcW w:type="dxa" w:w="900"/>
            <w:vAlign w:val="top"/>
          </w:tcPr>
          <w:p>
            <w:pPr>
              <w:spacing w:after="0"/>
            </w:pPr>
            <w:r>
              <w:rPr>
                <w:rFonts w:ascii="Calibri" w:hAnsi="Calibri"/>
                <w:color w:val="1E293B"/>
                <w:sz w:val="18"/>
              </w:rPr>
              <w:t>3</w:t>
            </w:r>
          </w:p>
        </w:tc>
        <w:tc>
          <w:tcPr>
            <w:tcW w:type="dxa" w:w="5110"/>
            <w:vAlign w:val="top"/>
          </w:tcPr>
          <w:p>
            <w:pPr>
              <w:spacing w:after="0"/>
            </w:pPr>
            <w:r>
              <w:rPr>
                <w:rFonts w:ascii="Calibri" w:hAnsi="Calibri"/>
                <w:color w:val="1E293B"/>
                <w:sz w:val="18"/>
              </w:rPr>
              <w:t>Full authenticated HTTP workflows against PostGIS</w:t>
            </w:r>
          </w:p>
        </w:tc>
      </w:tr>
      <w:tr>
        <w:tc>
          <w:tcPr>
            <w:tcW w:type="dxa" w:w="3350"/>
            <w:vAlign w:val="top"/>
          </w:tcPr>
          <w:p>
            <w:pPr>
              <w:spacing w:after="0"/>
            </w:pPr>
            <w:r>
              <w:rPr>
                <w:rFonts w:ascii="Calibri" w:hAnsi="Calibri"/>
                <w:color w:val="1E293B"/>
                <w:sz w:val="18"/>
              </w:rPr>
              <w:t>ItemRepositoryTests</w:t>
            </w:r>
          </w:p>
        </w:tc>
        <w:tc>
          <w:tcPr>
            <w:tcW w:type="dxa" w:w="900"/>
            <w:vAlign w:val="top"/>
          </w:tcPr>
          <w:p>
            <w:pPr>
              <w:spacing w:after="0"/>
            </w:pPr>
            <w:r>
              <w:rPr>
                <w:rFonts w:ascii="Calibri" w:hAnsi="Calibri"/>
                <w:color w:val="1E293B"/>
                <w:sz w:val="18"/>
              </w:rPr>
              <w:t>1</w:t>
            </w:r>
          </w:p>
        </w:tc>
        <w:tc>
          <w:tcPr>
            <w:tcW w:type="dxa" w:w="5110"/>
            <w:vAlign w:val="top"/>
          </w:tcPr>
          <w:p>
            <w:pPr>
              <w:spacing w:after="0"/>
            </w:pPr>
            <w:r>
              <w:rPr>
                <w:rFonts w:ascii="Calibri" w:hAnsi="Calibri"/>
                <w:color w:val="1E293B"/>
                <w:sz w:val="18"/>
              </w:rPr>
              <w:t>Real PostgreSQL/PostGIS radius integration</w:t>
            </w:r>
          </w:p>
        </w:tc>
      </w:tr>
      <w:tr>
        <w:tc>
          <w:tcPr>
            <w:tcW w:type="dxa" w:w="3350"/>
            <w:vAlign w:val="top"/>
          </w:tcPr>
          <w:p>
            <w:pPr>
              <w:spacing w:after="0"/>
            </w:pPr>
            <w:r>
              <w:rPr>
                <w:rFonts w:ascii="Calibri" w:hAnsi="Calibri"/>
                <w:color w:val="1E293B"/>
                <w:sz w:val="18"/>
              </w:rPr>
              <w:t>API client + client services</w:t>
            </w:r>
          </w:p>
        </w:tc>
        <w:tc>
          <w:tcPr>
            <w:tcW w:type="dxa" w:w="900"/>
            <w:vAlign w:val="top"/>
          </w:tcPr>
          <w:p>
            <w:pPr>
              <w:spacing w:after="0"/>
            </w:pPr>
            <w:r>
              <w:rPr>
                <w:rFonts w:ascii="Calibri" w:hAnsi="Calibri"/>
                <w:color w:val="1E293B"/>
                <w:sz w:val="18"/>
              </w:rPr>
              <w:t>11</w:t>
            </w:r>
          </w:p>
        </w:tc>
        <w:tc>
          <w:tcPr>
            <w:tcW w:type="dxa" w:w="5110"/>
            <w:vAlign w:val="top"/>
          </w:tcPr>
          <w:p>
            <w:pPr>
              <w:spacing w:after="0"/>
            </w:pPr>
            <w:r>
              <w:rPr>
                <w:rFonts w:ascii="Calibri" w:hAnsi="Calibri"/>
                <w:color w:val="1E293B"/>
                <w:sz w:val="18"/>
              </w:rPr>
              <w:t>HTTP, refresh, auth, item, rental, and review routes</w:t>
            </w:r>
          </w:p>
        </w:tc>
      </w:tr>
      <w:tr>
        <w:tc>
          <w:tcPr>
            <w:tcW w:type="dxa" w:w="3350"/>
            <w:vAlign w:val="top"/>
          </w:tcPr>
          <w:p>
            <w:pPr>
              <w:spacing w:after="0"/>
            </w:pPr>
            <w:r>
              <w:rPr>
                <w:rFonts w:ascii="Calibri" w:hAnsi="Calibri"/>
                <w:color w:val="1E293B"/>
                <w:sz w:val="18"/>
              </w:rPr>
              <w:t>API application services</w:t>
            </w:r>
          </w:p>
        </w:tc>
        <w:tc>
          <w:tcPr>
            <w:tcW w:type="dxa" w:w="900"/>
            <w:vAlign w:val="top"/>
          </w:tcPr>
          <w:p>
            <w:pPr>
              <w:spacing w:after="0"/>
            </w:pPr>
            <w:r>
              <w:rPr>
                <w:rFonts w:ascii="Calibri" w:hAnsi="Calibri"/>
                <w:color w:val="1E293B"/>
                <w:sz w:val="18"/>
              </w:rPr>
              <w:t>19</w:t>
            </w:r>
          </w:p>
        </w:tc>
        <w:tc>
          <w:tcPr>
            <w:tcW w:type="dxa" w:w="5110"/>
            <w:vAlign w:val="top"/>
          </w:tcPr>
          <w:p>
            <w:pPr>
              <w:spacing w:after="0"/>
            </w:pPr>
            <w:r>
              <w:rPr>
                <w:rFonts w:ascii="Calibri" w:hAnsi="Calibri"/>
                <w:color w:val="1E293B"/>
                <w:sz w:val="18"/>
              </w:rPr>
              <w:t>Validation, ownership, price, overlap, review, JWT, overdue</w:t>
            </w:r>
          </w:p>
        </w:tc>
      </w:tr>
      <w:tr>
        <w:tc>
          <w:tcPr>
            <w:tcW w:type="dxa" w:w="3350"/>
            <w:vAlign w:val="top"/>
          </w:tcPr>
          <w:p>
            <w:pPr>
              <w:spacing w:after="0"/>
            </w:pPr>
            <w:r>
              <w:rPr>
                <w:rFonts w:ascii="Calibri" w:hAnsi="Calibri"/>
                <w:color w:val="1E293B"/>
                <w:sz w:val="18"/>
              </w:rPr>
              <w:t>RentalStateMachineTests</w:t>
            </w:r>
          </w:p>
        </w:tc>
        <w:tc>
          <w:tcPr>
            <w:tcW w:type="dxa" w:w="900"/>
            <w:vAlign w:val="top"/>
          </w:tcPr>
          <w:p>
            <w:pPr>
              <w:spacing w:after="0"/>
            </w:pPr>
            <w:r>
              <w:rPr>
                <w:rFonts w:ascii="Calibri" w:hAnsi="Calibri"/>
                <w:color w:val="1E293B"/>
                <w:sz w:val="18"/>
              </w:rPr>
              <w:t>11</w:t>
            </w:r>
          </w:p>
        </w:tc>
        <w:tc>
          <w:tcPr>
            <w:tcW w:type="dxa" w:w="5110"/>
            <w:vAlign w:val="top"/>
          </w:tcPr>
          <w:p>
            <w:pPr>
              <w:spacing w:after="0"/>
            </w:pPr>
            <w:r>
              <w:rPr>
                <w:rFonts w:ascii="Calibri" w:hAnsi="Calibri"/>
                <w:color w:val="1E293B"/>
                <w:sz w:val="18"/>
              </w:rPr>
              <w:t>7 valid + 4 invalid transition cases</w:t>
            </w:r>
          </w:p>
        </w:tc>
      </w:tr>
      <w:tr>
        <w:tc>
          <w:tcPr>
            <w:tcW w:type="dxa" w:w="3350"/>
            <w:vAlign w:val="top"/>
          </w:tcPr>
          <w:p>
            <w:pPr>
              <w:spacing w:after="0"/>
            </w:pPr>
            <w:r>
              <w:rPr>
                <w:rFonts w:ascii="Calibri" w:hAnsi="Calibri"/>
                <w:color w:val="1E293B"/>
                <w:sz w:val="18"/>
              </w:rPr>
              <w:t>ViewModel tests (8 classes)</w:t>
            </w:r>
          </w:p>
        </w:tc>
        <w:tc>
          <w:tcPr>
            <w:tcW w:type="dxa" w:w="900"/>
            <w:vAlign w:val="top"/>
          </w:tcPr>
          <w:p>
            <w:pPr>
              <w:spacing w:after="0"/>
            </w:pPr>
            <w:r>
              <w:rPr>
                <w:rFonts w:ascii="Calibri" w:hAnsi="Calibri"/>
                <w:color w:val="1E293B"/>
                <w:sz w:val="18"/>
              </w:rPr>
              <w:t>20</w:t>
            </w:r>
          </w:p>
        </w:tc>
        <w:tc>
          <w:tcPr>
            <w:tcW w:type="dxa" w:w="5110"/>
            <w:vAlign w:val="top"/>
          </w:tcPr>
          <w:p>
            <w:pPr>
              <w:spacing w:after="0"/>
            </w:pPr>
            <w:r>
              <w:rPr>
                <w:rFonts w:ascii="Calibri" w:hAnsi="Calibri"/>
                <w:color w:val="1E293B"/>
                <w:sz w:val="18"/>
              </w:rPr>
              <w:t>Busy/error state, role-aware commands, navigation, reviews, profile</w:t>
            </w:r>
          </w:p>
        </w:tc>
      </w:tr>
    </w:tbl>
    <w:p>
      <w:pPr>
        <w:spacing w:after="0"/>
      </w:pPr>
      <w:r>
        <w:rPr>
          <w:rFonts w:ascii="Calibri" w:hAnsi="Calibri"/>
          <w:b w:val="0"/>
          <w:i w:val="0"/>
          <w:color w:val="1E293B"/>
          <w:sz w:val="24"/>
        </w:rPr>
        <w:t>Total: 65 cases across 19 test classes. Theory and InlineData cases are counted as executed xUnit cases.</w:t>
      </w:r>
    </w:p>
    <w:p>
      <w:r>
        <w:br w:type="page"/>
      </w:r>
    </w:p>
    <w:p>
      <w:pPr>
        <w:pStyle w:val="Heading2"/>
        <w:keepNext/>
      </w:pPr>
      <w:r>
        <w:t>4.2 Representative test excerpts</w:t>
      </w:r>
    </w:p>
    <w:p>
      <w:pPr>
        <w:spacing w:before="80" w:after="60"/>
      </w:pPr>
      <w:r>
        <w:rPr>
          <w:rFonts w:ascii="Calibri" w:hAnsi="Calibri"/>
          <w:b/>
          <w:color w:val="52606D"/>
          <w:sz w:val="20"/>
        </w:rPr>
        <w:t>Example 1 - parameterised State Pattern test</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[Theory]</w:t>
              <w:br/>
              <w:t>[InlineData(RentalStatus.Requested, RentalStatus.Approved)]</w:t>
              <w:br/>
              <w:t>[InlineData(RentalStatus.OutForRent, RentalStatus.Overdue)]</w:t>
              <w:br/>
              <w:t>[InlineData(RentalStatus.Returned, RentalStatus.Completed)]</w:t>
              <w:br/>
              <w:t>public void EnsureValidTransition_AllowedTransition_DoesNotThrow(</w:t>
              <w:br/>
              <w:t xml:space="preserve">    RentalStatus current, RentalStatus next)</w:t>
              <w:br/>
              <w:t>{</w:t>
              <w:br/>
              <w:t xml:space="preserve">    var exception = Record.Exception(</w:t>
              <w:br/>
              <w:t xml:space="preserve">        () =&gt; _machine.EnsureValidTransition(current, next));</w:t>
              <w:br/>
              <w:t xml:space="preserve">    Assert.Null(exception);</w:t>
              <w:br/>
              <w:t>}</w:t>
            </w:r>
          </w:p>
        </w:tc>
      </w:tr>
    </w:tbl>
    <w:p>
      <w:pPr>
        <w:spacing w:before="80" w:after="60"/>
      </w:pPr>
      <w:r>
        <w:rPr>
          <w:rFonts w:ascii="Calibri" w:hAnsi="Calibri"/>
          <w:b/>
          <w:color w:val="52606D"/>
          <w:sz w:val="20"/>
        </w:rPr>
        <w:t>Example 2 - business rule test</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[Fact]</w:t>
              <w:br/>
              <w:t>public async Task RequestAsync_OverlappingDates_RejectsSecondRequest()</w:t>
              <w:br/>
              <w:t>{</w:t>
              <w:br/>
              <w:t xml:space="preserve">    var data = await SeedUsersAndItemAsync(context);</w:t>
              <w:br/>
              <w:t xml:space="preserve">    var start = DateTimeOffset.UtcNow.Date.AddDays(4);</w:t>
              <w:br/>
              <w:t xml:space="preserve">    await service.RequestAsync(data.Borrower.Id,</w:t>
              <w:br/>
              <w:t xml:space="preserve">        new(data.Item.Id, start, start.AddDays(2)));</w:t>
              <w:br/>
              <w:br/>
              <w:t xml:space="preserve">    await Assert.ThrowsAsync&lt;BusinessRuleException&gt;(() =&gt;</w:t>
              <w:br/>
              <w:t xml:space="preserve">        service.RequestAsync(data.SecondBorrower.Id,</w:t>
              <w:br/>
              <w:t xml:space="preserve">            new(data.Item.Id, start.AddDays(1), start.AddDays(3))));</w:t>
              <w:br/>
              <w:t>}</w:t>
            </w:r>
          </w:p>
        </w:tc>
      </w:tr>
    </w:tbl>
    <w:p>
      <w:pPr>
        <w:spacing w:before="80" w:after="60"/>
      </w:pPr>
      <w:r>
        <w:rPr>
          <w:rFonts w:ascii="Calibri" w:hAnsi="Calibri"/>
          <w:b/>
          <w:color w:val="52606D"/>
          <w:sz w:val="20"/>
        </w:rPr>
        <w:t>Example 3 - real PostGIS integration test</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[Fact]</w:t>
              <w:br/>
              <w:t>public async Task GetNearbyAsync_ItemsInsideAndOutsideRadius_ReturnsOnlyNearbyItem()</w:t>
              <w:br/>
              <w:t>{</w:t>
              <w:br/>
              <w:t xml:space="preserve">    var results = await repository.GetNearbyAsync(</w:t>
              <w:br/>
              <w:t xml:space="preserve">        55.9533, -3.1883, 2, ItemCategory.Tools);</w:t>
              <w:br/>
              <w:br/>
              <w:t xml:space="preserve">    Assert.Contains(results, x =&gt; x.Item.Id == nearby.Id);</w:t>
              <w:br/>
              <w:t xml:space="preserve">    Assert.DoesNotContain(results, x =&gt; x.Item.Id == distant.Id);</w:t>
              <w:br/>
              <w:t xml:space="preserve">    Assert.All(results, x =&gt; Assert.InRange(x.DistanceMetres, 0, 2_000));</w:t>
              <w:br/>
              <w:t>}</w:t>
            </w:r>
          </w:p>
        </w:tc>
      </w:tr>
    </w:tbl>
    <w:p>
      <w:pPr>
        <w:spacing w:after="120"/>
      </w:pPr>
      <w:r>
        <w:rPr>
          <w:rFonts w:ascii="Calibri" w:hAnsi="Calibri"/>
          <w:b w:val="0"/>
          <w:i w:val="0"/>
          <w:color w:val="1E293B"/>
          <w:sz w:val="24"/>
        </w:rPr>
        <w:t>The tests follow Arrange-Act-Assert, use descriptive names, and combine fast in-memory/mocked tests with one real spatial database fixture where an in-memory substitute would not prove translation to PostGIS.</w:t>
      </w:r>
    </w:p>
    <w:p>
      <w:r>
        <w:br w:type="page"/>
      </w:r>
    </w:p>
    <w:p>
      <w:pPr>
        <w:pStyle w:val="Heading1"/>
        <w:keepNext/>
      </w:pPr>
      <w:r>
        <w:t>5. CI/CD evidence</w:t>
      </w:r>
    </w:p>
    <w:p>
      <w:pPr>
        <w:spacing w:after="120"/>
      </w:pPr>
      <w:r>
        <w:rPr>
          <w:rFonts w:ascii="Calibri" w:hAnsi="Calibri"/>
          <w:b w:val="0"/>
          <w:i w:val="0"/>
          <w:color w:val="1E293B"/>
          <w:sz w:val="24"/>
        </w:rPr>
        <w:t>The workflow runs on pushes and pull requests to main. The backend job starts PostgreSQL 16 with PostGIS, restores, builds, executes tests, creates HTML/Cobertura/text coverage, and uploads evidence. A separate Android job installs Java and the MAUI workload, creates an ephemeral coursework signing key, publishes a signed Release APK, and uploads it.</w:t>
      </w:r>
    </w:p>
    <w:p>
      <w:pPr>
        <w:spacing w:before="80" w:after="60"/>
      </w:pPr>
      <w:r>
        <w:rPr>
          <w:rFonts w:ascii="Calibri" w:hAnsi="Calibri"/>
          <w:b/>
          <w:color w:val="52606D"/>
          <w:sz w:val="20"/>
        </w:rPr>
        <w:t>.github/workflows/build.yml (abridged)</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on:</w:t>
              <w:br/>
              <w:t xml:space="preserve">  push:</w:t>
              <w:br/>
              <w:t xml:space="preserve">    branches: [main]</w:t>
              <w:br/>
              <w:t xml:space="preserve">  pull_request:</w:t>
              <w:br/>
              <w:t xml:space="preserve">    branches: [main]</w:t>
              <w:br/>
              <w:br/>
              <w:t>jobs:</w:t>
              <w:br/>
              <w:t xml:space="preserve">  backend-tests:</w:t>
              <w:br/>
              <w:t xml:space="preserve">    services:</w:t>
              <w:br/>
              <w:t xml:space="preserve">      postgres:</w:t>
              <w:br/>
              <w:t xml:space="preserve">        image: postgis/postgis:16-3.5-alpine</w:t>
              <w:br/>
              <w:t xml:space="preserve">    steps:</w:t>
              <w:br/>
              <w:t xml:space="preserve">      - run: dotnet test RentalApp.Test/RentalApp.Test.csproj</w:t>
              <w:br/>
              <w:t xml:space="preserve">          -c Release --no-build --collect:"XPlat Code Coverage"</w:t>
              <w:br/>
              <w:t xml:space="preserve">      - uses: actions/upload-artifact@v4</w:t>
              <w:br/>
              <w:br/>
              <w:t xml:space="preserve">  android-build:</w:t>
              <w:br/>
              <w:t xml:space="preserve">    steps:</w:t>
              <w:br/>
              <w:t xml:space="preserve">      - run: dotnet workload install maui-android</w:t>
              <w:br/>
              <w:t xml:space="preserve">      - run: dotnet publish RentalApp/RentalApp.csproj</w:t>
              <w:br/>
              <w:t xml:space="preserve">          -c Release -f net10.0-android</w:t>
              <w:br/>
              <w:t xml:space="preserve">      - uses: actions/upload-artifact@v4</w:t>
            </w:r>
          </w:p>
        </w:tc>
      </w:tr>
    </w:tbl>
    <w:tbl>
      <w:tblPr>
        <w:tblW w:type="dxa" w:w="9360"/>
        <w:jc w:val="left"/>
        <w:tblLayout w:type="fixed"/>
        <w:tblLook w:firstColumn="1" w:firstRow="1" w:lastColumn="0" w:lastRow="0" w:noHBand="0" w:noVBand="1" w:val="04A0"/>
        <w:tblInd w:w="120" w:type="dxa"/>
        <w:tblBorders>
          <w:top w:val="single" w:sz="9" w:color="9A6700"/>
          <w:left w:val="single" w:sz="9" w:color="9A6700"/>
          <w:bottom w:val="single" w:sz="9" w:color="9A6700"/>
          <w:right w:val="single" w:sz="9" w:color="9A6700"/>
          <w:insideH w:val="single" w:sz="9" w:color="9A6700"/>
          <w:insideV w:val="single" w:sz="9" w:color="9A6700"/>
        </w:tblBorders>
      </w:tblPr>
      <w:tblGrid>
        <w:gridCol w:w="9360"/>
      </w:tblGrid>
      <w:tr>
        <w:tc>
          <w:tcPr>
            <w:tcW w:type="dxa" w:w="9360"/>
            <w:tcMar>
              <w:top w:w="80" w:type="dxa"/>
              <w:start w:w="120" w:type="dxa"/>
              <w:bottom w:w="80" w:type="dxa"/>
              <w:end w:w="120" w:type="dxa"/>
            </w:tcMar>
            <w:shd w:fill="FFF4D6"/>
          </w:tcPr>
          <w:p>
            <w:pPr>
              <w:spacing w:after="40"/>
            </w:pPr>
            <w:r>
              <w:rPr>
                <w:rFonts w:ascii="Calibri" w:hAnsi="Calibri"/>
                <w:b/>
                <w:color w:val="9A6700"/>
                <w:sz w:val="24"/>
              </w:rPr>
              <w:t>INSERT GREEN WORKFLOW SCREENSHOT</w:t>
            </w:r>
          </w:p>
          <w:p>
            <w:pPr>
              <w:spacing w:after="0"/>
            </w:pPr>
            <w:r>
              <w:rPr>
                <w:rFonts w:ascii="Calibri" w:hAnsi="Calibri"/>
                <w:color w:val="1E293B"/>
                <w:sz w:val="22"/>
              </w:rPr>
              <w:t>Capture the GitHub Actions run showing both backend-tests and android-build green. Also download the test-results-and-coverage and rentalapp-android artifacts. A workflow file alone earns only half of the CI/CD report evidence marks.</w:t>
            </w:r>
          </w:p>
        </w:tc>
      </w:tr>
    </w:tbl>
    <w:p>
      <w:pPr>
        <w:spacing w:after="0"/>
      </w:pPr>
    </w:p>
    <w:p>
      <w:r>
        <w:br w:type="page"/>
      </w:r>
    </w:p>
    <w:p>
      <w:pPr>
        <w:pStyle w:val="Heading1"/>
        <w:keepNext/>
      </w:pPr>
      <w:r>
        <w:t>6. Design patterns implementation</w:t>
      </w:r>
    </w:p>
    <w:p>
      <w:pPr>
        <w:pStyle w:val="Heading2"/>
        <w:keepNext/>
      </w:pPr>
      <w:r>
        <w:t>6.1 MVVM</w:t>
      </w:r>
    </w:p>
    <w:p>
      <w:pPr>
        <w:spacing w:after="120"/>
      </w:pPr>
      <w:r>
        <w:rPr>
          <w:rFonts w:ascii="Calibri" w:hAnsi="Calibri"/>
          <w:b w:val="0"/>
          <w:i w:val="0"/>
          <w:color w:val="1E293B"/>
          <w:sz w:val="24"/>
        </w:rPr>
        <w:t>Views define layout and bind to observable state. ViewModels expose commands and depend on abstractions, so catalogue behaviour can be tested without a page or emulator. Generated ObservableProperty and RelayCommand members reduce repetitive notification code.</w:t>
      </w:r>
    </w:p>
    <w:p>
      <w:pPr>
        <w:spacing w:before="80" w:after="60"/>
      </w:pPr>
      <w:r>
        <w:rPr>
          <w:rFonts w:ascii="Calibri" w:hAnsi="Calibri"/>
          <w:b/>
          <w:color w:val="52606D"/>
          <w:sz w:val="20"/>
        </w:rPr>
        <w:t>MVVM example - ItemsListViewModel</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public partial class ItemsListViewModel(</w:t>
              <w:br/>
              <w:t xml:space="preserve">    IItemService items, INavigationService navigation) : ViewModelBase</w:t>
              <w:br/>
              <w:t>{</w:t>
              <w:br/>
              <w:t xml:space="preserve">    public ObservableCollection&lt;ItemSummaryDto&gt; Items { get; } = [];</w:t>
              <w:br/>
              <w:br/>
              <w:t xml:space="preserve">    [RelayCommand]</w:t>
              <w:br/>
              <w:t xml:space="preserve">    private Task LoadAsync() =&gt; RunBusyAsync(async () =&gt;</w:t>
              <w:br/>
              <w:t xml:space="preserve">    {</w:t>
              <w:br/>
              <w:t xml:space="preserve">        var results = await items.GetAllAsync(category);</w:t>
              <w:br/>
              <w:t xml:space="preserve">        Items.Clear();</w:t>
              <w:br/>
              <w:t xml:space="preserve">        foreach (var item in results) Items.Add(item);</w:t>
              <w:br/>
              <w:t xml:space="preserve">    });</w:t>
              <w:br/>
              <w:t>}</w:t>
            </w:r>
          </w:p>
        </w:tc>
      </w:tr>
    </w:tbl>
    <w:p>
      <w:pPr>
        <w:pStyle w:val="Heading2"/>
        <w:keepNext/>
      </w:pPr>
      <w:r>
        <w:t>6.2 Repository and Unit of Work</w:t>
      </w:r>
    </w:p>
    <w:p>
      <w:pPr>
        <w:spacing w:after="120"/>
      </w:pPr>
      <w:r>
        <w:rPr>
          <w:rFonts w:ascii="Calibri" w:hAnsi="Calibri"/>
          <w:b w:val="0"/>
          <w:i w:val="0"/>
          <w:color w:val="1E293B"/>
          <w:sz w:val="24"/>
        </w:rPr>
        <w:t>Repositories centralise EF Core expressions and eager-loading choices. The Item repository is the only layer that knows the spatial predicate. Unit of Work provides one explicit SaveChanges boundary for service operations.</w:t>
      </w:r>
    </w:p>
    <w:p>
      <w:pPr>
        <w:spacing w:before="80" w:after="60"/>
      </w:pPr>
      <w:r>
        <w:rPr>
          <w:rFonts w:ascii="Calibri" w:hAnsi="Calibri"/>
          <w:b/>
          <w:color w:val="52606D"/>
          <w:sz w:val="20"/>
        </w:rPr>
        <w:t>Repository example - PostGIS radius query</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var origin = new Point(longitude, latitude) { SRID = 4326 };</w:t>
              <w:br/>
              <w:t>var radiusMetres = radiusKilometres * 1_000;</w:t>
              <w:br/>
              <w:br/>
              <w:t>var results = await Context.Items</w:t>
              <w:br/>
              <w:t xml:space="preserve">    .AsNoTracking()</w:t>
              <w:br/>
              <w:t xml:space="preserve">    .Where(item =&gt; item.IsAvailable &amp;&amp;</w:t>
              <w:br/>
              <w:t xml:space="preserve">        item.Location.IsWithinDistance(origin, radiusMetres))</w:t>
              <w:br/>
              <w:t xml:space="preserve">    .Select(item =&gt; new {</w:t>
              <w:br/>
              <w:t xml:space="preserve">        Item = item,</w:t>
              <w:br/>
              <w:t xml:space="preserve">        DistanceMetres = item.Location.Distance(origin)</w:t>
              <w:br/>
              <w:t xml:space="preserve">    })</w:t>
              <w:br/>
              <w:t xml:space="preserve">    .OrderBy(result =&gt; result.DistanceMetres)</w:t>
              <w:br/>
              <w:t xml:space="preserve">    .ToListAsync(cancellationToken);</w:t>
            </w:r>
          </w:p>
        </w:tc>
      </w:tr>
    </w:tbl>
    <w:p>
      <w:r>
        <w:br w:type="page"/>
      </w:r>
    </w:p>
    <w:p>
      <w:pPr>
        <w:pStyle w:val="Heading2"/>
        <w:keepNext/>
      </w:pPr>
      <w:r>
        <w:t>6.3 Service Layer</w:t>
      </w:r>
    </w:p>
    <w:p>
      <w:pPr>
        <w:spacing w:after="120"/>
      </w:pPr>
      <w:r>
        <w:rPr>
          <w:rFonts w:ascii="Calibri" w:hAnsi="Calibri"/>
          <w:b w:val="0"/>
          <w:i w:val="0"/>
          <w:color w:val="1E293B"/>
          <w:sz w:val="24"/>
        </w:rPr>
        <w:t>RentalWorkflowService is the authoritative use-case layer. It coordinates repositories, validates rules, calculates inclusive price, checks actor permissions, invokes the state machine, and commits. Endpoints remain thin and ViewModels cannot bypass these rules.</w:t>
      </w:r>
    </w:p>
    <w:p>
      <w:pPr>
        <w:spacing w:before="80" w:after="60"/>
      </w:pPr>
      <w:r>
        <w:rPr>
          <w:rFonts w:ascii="Calibri" w:hAnsi="Calibri"/>
          <w:b/>
          <w:color w:val="52606D"/>
          <w:sz w:val="20"/>
        </w:rPr>
        <w:t>Service example - validation and inclusive pricing</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if (item.OwnerId == borrowerId)</w:t>
              <w:br/>
              <w:t xml:space="preserve">    throw new BusinessRuleException("You cannot rent your own item.");</w:t>
              <w:br/>
              <w:br/>
              <w:t>if (await rentals.HasDateOverlapAsync(item.Id, start, end, cancellationToken))</w:t>
              <w:br/>
              <w:t xml:space="preserve">    throw new BusinessRuleException("The item is already booked for those dates.");</w:t>
              <w:br/>
              <w:br/>
              <w:t>var numberOfDays = (end.Date - start.Date).Days + 1;</w:t>
              <w:br/>
              <w:t>var rental = new Rental {</w:t>
              <w:br/>
              <w:t xml:space="preserve">    ItemId = item.Id,</w:t>
              <w:br/>
              <w:t xml:space="preserve">    BorrowerId = borrowerId,</w:t>
              <w:br/>
              <w:t xml:space="preserve">    StartDateUtc = start,</w:t>
              <w:br/>
              <w:t xml:space="preserve">    EndDateUtc = end,</w:t>
              <w:br/>
              <w:t xml:space="preserve">    TotalPrice = item.DailyRate * numberOfDays</w:t>
              <w:br/>
              <w:t>};</w:t>
            </w:r>
          </w:p>
        </w:tc>
      </w:tr>
    </w:tbl>
    <w:p>
      <w:pPr>
        <w:pStyle w:val="Heading2"/>
        <w:keepNext/>
      </w:pPr>
      <w:r>
        <w:t>6.4 State Pattern (advanced)</w:t>
      </w:r>
    </w:p>
    <w:p>
      <w:pPr>
        <w:spacing w:after="120"/>
      </w:pPr>
      <w:r>
        <w:rPr>
          <w:rFonts w:ascii="Calibri" w:hAnsi="Calibri"/>
          <w:b w:val="0"/>
          <w:i w:val="0"/>
          <w:color w:val="1E293B"/>
          <w:sz w:val="24"/>
        </w:rPr>
        <w:t>A state object owns the allowed outgoing transitions for one RentalStatus. Adding a state or transition is localised instead of extending a large conditional. RentalWorkflowService separately checks roles, preserving single responsibility.</w:t>
      </w:r>
    </w:p>
    <w:p>
      <w:pPr>
        <w:spacing w:before="80" w:after="60"/>
      </w:pPr>
      <w:r>
        <w:rPr>
          <w:rFonts w:ascii="Calibri" w:hAnsi="Calibri"/>
          <w:b/>
          <w:color w:val="52606D"/>
          <w:sz w:val="20"/>
        </w:rPr>
        <w:t>Advanced pattern example - explicit state classes</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public abstract class RentalState : IRentalState</w:t>
              <w:br/>
              <w:t>{</w:t>
              <w:br/>
              <w:t xml:space="preserve">    private readonly HashSet&lt;RentalStatus&gt; _allowed;</w:t>
              <w:br/>
              <w:br/>
              <w:t xml:space="preserve">    protected RentalState(params RentalStatus[] allowed)</w:t>
              <w:br/>
              <w:t xml:space="preserve">    {</w:t>
              <w:br/>
              <w:t xml:space="preserve">        _allowed = new HashSet&lt;RentalStatus&gt;(allowed);</w:t>
              <w:br/>
              <w:t xml:space="preserve">    }</w:t>
              <w:br/>
              <w:br/>
              <w:t xml:space="preserve">    public abstract RentalStatus Status { get; }</w:t>
              <w:br/>
              <w:t xml:space="preserve">    public bool CanTransitionTo(RentalStatus next)</w:t>
              <w:br/>
              <w:t xml:space="preserve">    {</w:t>
              <w:br/>
              <w:t xml:space="preserve">        return _allowed.Contains(next);</w:t>
              <w:br/>
              <w:t xml:space="preserve">    }</w:t>
              <w:br/>
              <w:t>}</w:t>
              <w:br/>
              <w:br/>
              <w:t>public sealed class OutForRentState : RentalState</w:t>
              <w:br/>
              <w:t>{</w:t>
              <w:br/>
              <w:t xml:space="preserve">    public OutForRentState()</w:t>
              <w:br/>
              <w:t xml:space="preserve">        : base(RentalStatus.Overdue, RentalStatus.Returned) { }</w:t>
              <w:br/>
              <w:br/>
              <w:t xml:space="preserve">    public override RentalStatus Status =&gt; RentalStatus.OutForRent;</w:t>
              <w:br/>
              <w:t>}</w:t>
            </w:r>
          </w:p>
        </w:tc>
      </w:tr>
    </w:tbl>
    <w:p>
      <w:r>
        <w:br w:type="page"/>
      </w:r>
    </w:p>
    <w:p>
      <w:pPr>
        <w:pStyle w:val="Heading1"/>
        <w:keepNext/>
      </w:pPr>
      <w:r>
        <w:t>7. AI tool usage</w:t>
      </w:r>
    </w:p>
    <w:p>
      <w:pPr>
        <w:spacing w:after="120"/>
      </w:pPr>
      <w:r>
        <w:rPr>
          <w:rFonts w:ascii="Calibri" w:hAnsi="Calibri"/>
          <w:b w:val="0"/>
          <w:i w:val="0"/>
          <w:color w:val="1E293B"/>
          <w:sz w:val="24"/>
        </w:rPr>
        <w:t>Tools used: ChatGPT Codex for architecture, implementation support, refactoring, test design, debugging, and documentation review; Visual Studio Code C# Dev Kit for compiler diagnostics, navigation, and debugging.</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1400"/>
        <w:gridCol w:w="2500"/>
        <w:gridCol w:w="3100"/>
        <w:gridCol w:w="2360"/>
      </w:tblGrid>
      <w:tr>
        <w:trPr>
          <w:tblHeader w:val="true"/>
        </w:trPr>
        <w:tc>
          <w:tcPr>
            <w:tcW w:type="dxa" w:w="1400"/>
            <w:tcMar>
              <w:top w:w="80" w:type="dxa"/>
              <w:start w:w="120" w:type="dxa"/>
              <w:bottom w:w="80" w:type="dxa"/>
              <w:end w:w="120" w:type="dxa"/>
            </w:tcMar>
            <w:shd w:fill="F2F4F7"/>
            <w:vAlign w:val="center"/>
          </w:tcPr>
          <w:p>
            <w:pPr>
              <w:spacing w:after="0"/>
            </w:pPr>
            <w:r>
              <w:rPr>
                <w:rFonts w:ascii="Calibri" w:hAnsi="Calibri"/>
                <w:b/>
                <w:color w:val="17324D"/>
                <w:sz w:val="16"/>
              </w:rPr>
              <w:t>Interaction</w:t>
            </w:r>
          </w:p>
        </w:tc>
        <w:tc>
          <w:tcPr>
            <w:tcW w:type="dxa" w:w="2500"/>
            <w:tcMar>
              <w:top w:w="80" w:type="dxa"/>
              <w:start w:w="120" w:type="dxa"/>
              <w:bottom w:w="80" w:type="dxa"/>
              <w:end w:w="120" w:type="dxa"/>
            </w:tcMar>
            <w:shd w:fill="F2F4F7"/>
            <w:vAlign w:val="center"/>
          </w:tcPr>
          <w:p>
            <w:pPr>
              <w:spacing w:after="0"/>
            </w:pPr>
            <w:r>
              <w:rPr>
                <w:rFonts w:ascii="Calibri" w:hAnsi="Calibri"/>
                <w:b/>
                <w:color w:val="17324D"/>
                <w:sz w:val="16"/>
              </w:rPr>
              <w:t>Suggestion</w:t>
            </w:r>
          </w:p>
        </w:tc>
        <w:tc>
          <w:tcPr>
            <w:tcW w:type="dxa" w:w="3100"/>
            <w:tcMar>
              <w:top w:w="80" w:type="dxa"/>
              <w:start w:w="120" w:type="dxa"/>
              <w:bottom w:w="80" w:type="dxa"/>
              <w:end w:w="120" w:type="dxa"/>
            </w:tcMar>
            <w:shd w:fill="F2F4F7"/>
            <w:vAlign w:val="center"/>
          </w:tcPr>
          <w:p>
            <w:pPr>
              <w:spacing w:after="0"/>
            </w:pPr>
            <w:r>
              <w:rPr>
                <w:rFonts w:ascii="Calibri" w:hAnsi="Calibri"/>
                <w:b/>
                <w:color w:val="17324D"/>
                <w:sz w:val="16"/>
              </w:rPr>
              <w:t>Evaluation / modification</w:t>
            </w:r>
          </w:p>
        </w:tc>
        <w:tc>
          <w:tcPr>
            <w:tcW w:type="dxa" w:w="2360"/>
            <w:tcMar>
              <w:top w:w="80" w:type="dxa"/>
              <w:start w:w="120" w:type="dxa"/>
              <w:bottom w:w="80" w:type="dxa"/>
              <w:end w:w="120" w:type="dxa"/>
            </w:tcMar>
            <w:shd w:fill="F2F4F7"/>
            <w:vAlign w:val="center"/>
          </w:tcPr>
          <w:p>
            <w:pPr>
              <w:spacing w:after="0"/>
            </w:pPr>
            <w:r>
              <w:rPr>
                <w:rFonts w:ascii="Calibri" w:hAnsi="Calibri"/>
                <w:b/>
                <w:color w:val="17324D"/>
                <w:sz w:val="16"/>
              </w:rPr>
              <w:t>Validation</w:t>
            </w:r>
          </w:p>
        </w:tc>
      </w:tr>
      <w:tr>
        <w:tc>
          <w:tcPr>
            <w:tcW w:type="dxa" w:w="1400"/>
            <w:vAlign w:val="top"/>
          </w:tcPr>
          <w:p>
            <w:pPr>
              <w:spacing w:after="0"/>
            </w:pPr>
            <w:r>
              <w:rPr>
                <w:rFonts w:ascii="Calibri" w:hAnsi="Calibri"/>
                <w:color w:val="1E293B"/>
                <w:sz w:val="16"/>
              </w:rPr>
              <w:t>Architecture</w:t>
            </w:r>
          </w:p>
        </w:tc>
        <w:tc>
          <w:tcPr>
            <w:tcW w:type="dxa" w:w="2500"/>
            <w:vAlign w:val="top"/>
          </w:tcPr>
          <w:p>
            <w:pPr>
              <w:spacing w:after="0"/>
            </w:pPr>
            <w:r>
              <w:rPr>
                <w:rFonts w:ascii="Calibri" w:hAnsi="Calibri"/>
                <w:color w:val="1E293B"/>
                <w:sz w:val="16"/>
              </w:rPr>
              <w:t>Separate MAUI, application, API, data, migrations, and test projects.</w:t>
            </w:r>
          </w:p>
        </w:tc>
        <w:tc>
          <w:tcPr>
            <w:tcW w:type="dxa" w:w="3100"/>
            <w:vAlign w:val="top"/>
          </w:tcPr>
          <w:p>
            <w:pPr>
              <w:spacing w:after="0"/>
            </w:pPr>
            <w:r>
              <w:rPr>
                <w:rFonts w:ascii="Calibri" w:hAnsi="Calibri"/>
                <w:color w:val="1E293B"/>
                <w:sz w:val="16"/>
              </w:rPr>
              <w:t>Accepted for testability and security. Rejected optional MediatR/SonarCloud to control scope.</w:t>
            </w:r>
          </w:p>
        </w:tc>
        <w:tc>
          <w:tcPr>
            <w:tcW w:type="dxa" w:w="2360"/>
            <w:vAlign w:val="top"/>
          </w:tcPr>
          <w:p>
            <w:pPr>
              <w:spacing w:after="0"/>
            </w:pPr>
            <w:r>
              <w:rPr>
                <w:rFonts w:ascii="Calibri" w:hAnsi="Calibri"/>
                <w:color w:val="1E293B"/>
                <w:sz w:val="16"/>
              </w:rPr>
              <w:t>Build, dependency, service, and integration tests.</w:t>
            </w:r>
          </w:p>
        </w:tc>
      </w:tr>
      <w:tr>
        <w:tc>
          <w:tcPr>
            <w:tcW w:type="dxa" w:w="1400"/>
            <w:vAlign w:val="top"/>
          </w:tcPr>
          <w:p>
            <w:pPr>
              <w:spacing w:after="0"/>
            </w:pPr>
            <w:r>
              <w:rPr>
                <w:rFonts w:ascii="Calibri" w:hAnsi="Calibri"/>
                <w:color w:val="1E293B"/>
                <w:sz w:val="16"/>
              </w:rPr>
              <w:t>Spatial search</w:t>
            </w:r>
          </w:p>
        </w:tc>
        <w:tc>
          <w:tcPr>
            <w:tcW w:type="dxa" w:w="2500"/>
            <w:vAlign w:val="top"/>
          </w:tcPr>
          <w:p>
            <w:pPr>
              <w:spacing w:after="0"/>
            </w:pPr>
            <w:r>
              <w:rPr>
                <w:rFonts w:ascii="Calibri" w:hAnsi="Calibri"/>
                <w:color w:val="1E293B"/>
                <w:sz w:val="16"/>
              </w:rPr>
              <w:t>Use SRID 4326 Point, geography column, GiST, and IsWithinDistance.</w:t>
            </w:r>
          </w:p>
        </w:tc>
        <w:tc>
          <w:tcPr>
            <w:tcW w:type="dxa" w:w="3100"/>
            <w:vAlign w:val="top"/>
          </w:tcPr>
          <w:p>
            <w:pPr>
              <w:spacing w:after="0"/>
            </w:pPr>
            <w:r>
              <w:rPr>
                <w:rFonts w:ascii="Calibri" w:hAnsi="Calibri"/>
                <w:color w:val="1E293B"/>
                <w:sz w:val="16"/>
              </w:rPr>
              <w:t>Checked X=longitude, Y=latitude; validated coordinate/radius bounds.</w:t>
            </w:r>
          </w:p>
        </w:tc>
        <w:tc>
          <w:tcPr>
            <w:tcW w:type="dxa" w:w="2360"/>
            <w:vAlign w:val="top"/>
          </w:tcPr>
          <w:p>
            <w:pPr>
              <w:spacing w:after="0"/>
            </w:pPr>
            <w:r>
              <w:rPr>
                <w:rFonts w:ascii="Calibri" w:hAnsi="Calibri"/>
                <w:color w:val="1E293B"/>
                <w:sz w:val="16"/>
              </w:rPr>
              <w:t>Real PostGIS fixture returns near item only.</w:t>
            </w:r>
          </w:p>
        </w:tc>
      </w:tr>
      <w:tr>
        <w:tc>
          <w:tcPr>
            <w:tcW w:type="dxa" w:w="1400"/>
            <w:vAlign w:val="top"/>
          </w:tcPr>
          <w:p>
            <w:pPr>
              <w:spacing w:after="0"/>
            </w:pPr>
            <w:r>
              <w:rPr>
                <w:rFonts w:ascii="Calibri" w:hAnsi="Calibri"/>
                <w:color w:val="1E293B"/>
                <w:sz w:val="16"/>
              </w:rPr>
              <w:t>Rental workflow</w:t>
            </w:r>
          </w:p>
        </w:tc>
        <w:tc>
          <w:tcPr>
            <w:tcW w:type="dxa" w:w="2500"/>
            <w:vAlign w:val="top"/>
          </w:tcPr>
          <w:p>
            <w:pPr>
              <w:spacing w:after="0"/>
            </w:pPr>
            <w:r>
              <w:rPr>
                <w:rFonts w:ascii="Calibri" w:hAnsi="Calibri"/>
                <w:color w:val="1E293B"/>
                <w:sz w:val="16"/>
              </w:rPr>
              <w:t>One class per state; keep role checks in the service.</w:t>
            </w:r>
          </w:p>
        </w:tc>
        <w:tc>
          <w:tcPr>
            <w:tcW w:type="dxa" w:w="3100"/>
            <w:vAlign w:val="top"/>
          </w:tcPr>
          <w:p>
            <w:pPr>
              <w:spacing w:after="0"/>
            </w:pPr>
            <w:r>
              <w:rPr>
                <w:rFonts w:ascii="Calibri" w:hAnsi="Calibri"/>
                <w:color w:val="1E293B"/>
                <w:sz w:val="16"/>
              </w:rPr>
              <w:t>Accepted to demonstrate Open/Closed design; overlap and inclusive-price rules retained.</w:t>
            </w:r>
          </w:p>
        </w:tc>
        <w:tc>
          <w:tcPr>
            <w:tcW w:type="dxa" w:w="2360"/>
            <w:vAlign w:val="top"/>
          </w:tcPr>
          <w:p>
            <w:pPr>
              <w:spacing w:after="0"/>
            </w:pPr>
            <w:r>
              <w:rPr>
                <w:rFonts w:ascii="Calibri" w:hAnsi="Calibri"/>
                <w:color w:val="1E293B"/>
                <w:sz w:val="16"/>
              </w:rPr>
              <w:t>Theory tests plus price, overlap, role, and overdue tests.</w:t>
            </w:r>
          </w:p>
        </w:tc>
      </w:tr>
      <w:tr>
        <w:tc>
          <w:tcPr>
            <w:tcW w:type="dxa" w:w="1400"/>
            <w:vAlign w:val="top"/>
          </w:tcPr>
          <w:p>
            <w:pPr>
              <w:spacing w:after="0"/>
            </w:pPr>
            <w:r>
              <w:rPr>
                <w:rFonts w:ascii="Calibri" w:hAnsi="Calibri"/>
                <w:color w:val="1E293B"/>
                <w:sz w:val="16"/>
              </w:rPr>
              <w:t>Android debugging</w:t>
            </w:r>
          </w:p>
        </w:tc>
        <w:tc>
          <w:tcPr>
            <w:tcW w:type="dxa" w:w="2500"/>
            <w:vAlign w:val="top"/>
          </w:tcPr>
          <w:p>
            <w:pPr>
              <w:spacing w:after="0"/>
            </w:pPr>
            <w:r>
              <w:rPr>
                <w:rFonts w:ascii="Calibri" w:hAnsi="Calibri"/>
                <w:color w:val="1E293B"/>
                <w:sz w:val="16"/>
              </w:rPr>
              <w:t>Use Logcat to diagnose splash exit and details crash.</w:t>
            </w:r>
          </w:p>
        </w:tc>
        <w:tc>
          <w:tcPr>
            <w:tcW w:type="dxa" w:w="3100"/>
            <w:vAlign w:val="top"/>
          </w:tcPr>
          <w:p>
            <w:pPr>
              <w:spacing w:after="0"/>
            </w:pPr>
            <w:r>
              <w:rPr>
                <w:rFonts w:ascii="Calibri" w:hAnsi="Calibri"/>
                <w:color w:val="1E293B"/>
                <w:sz w:val="16"/>
              </w:rPr>
              <w:t>Changes tied to observed stack traces: embed assemblies, correct App initialisation, harden route.</w:t>
            </w:r>
          </w:p>
        </w:tc>
        <w:tc>
          <w:tcPr>
            <w:tcW w:type="dxa" w:w="2360"/>
            <w:vAlign w:val="top"/>
          </w:tcPr>
          <w:p>
            <w:pPr>
              <w:spacing w:after="0"/>
            </w:pPr>
            <w:r>
              <w:rPr>
                <w:rFonts w:ascii="Calibri" w:hAnsi="Calibri"/>
                <w:color w:val="1E293B"/>
                <w:sz w:val="16"/>
              </w:rPr>
              <w:t>Clean rebuild/install and focused ViewModel tests.</w:t>
            </w:r>
          </w:p>
        </w:tc>
      </w:tr>
      <w:tr>
        <w:tc>
          <w:tcPr>
            <w:tcW w:type="dxa" w:w="1400"/>
            <w:vAlign w:val="top"/>
          </w:tcPr>
          <w:p>
            <w:pPr>
              <w:spacing w:after="0"/>
            </w:pPr>
            <w:r>
              <w:rPr>
                <w:rFonts w:ascii="Calibri" w:hAnsi="Calibri"/>
                <w:color w:val="1E293B"/>
                <w:sz w:val="16"/>
              </w:rPr>
              <w:t>Address entry</w:t>
            </w:r>
          </w:p>
        </w:tc>
        <w:tc>
          <w:tcPr>
            <w:tcW w:type="dxa" w:w="2500"/>
            <w:vAlign w:val="top"/>
          </w:tcPr>
          <w:p>
            <w:pPr>
              <w:spacing w:after="0"/>
            </w:pPr>
            <w:r>
              <w:rPr>
                <w:rFonts w:ascii="Calibri" w:hAnsi="Calibri"/>
                <w:color w:val="1E293B"/>
                <w:sz w:val="16"/>
              </w:rPr>
              <w:t>Forward-geocode typed addresses and reverse-geocode GPS.</w:t>
            </w:r>
          </w:p>
        </w:tc>
        <w:tc>
          <w:tcPr>
            <w:tcW w:type="dxa" w:w="3100"/>
            <w:vAlign w:val="top"/>
          </w:tcPr>
          <w:p>
            <w:pPr>
              <w:spacing w:after="0"/>
            </w:pPr>
            <w:r>
              <w:rPr>
                <w:rFonts w:ascii="Calibri" w:hAnsi="Calibri"/>
                <w:color w:val="1E293B"/>
                <w:sz w:val="16"/>
              </w:rPr>
              <w:t>Store readable address plus validated PostGIS point; remove raw coordinate fields from UI.</w:t>
            </w:r>
          </w:p>
        </w:tc>
        <w:tc>
          <w:tcPr>
            <w:tcW w:type="dxa" w:w="2360"/>
            <w:vAlign w:val="top"/>
          </w:tcPr>
          <w:p>
            <w:pPr>
              <w:spacing w:after="0"/>
            </w:pPr>
            <w:r>
              <w:rPr>
                <w:rFonts w:ascii="Calibri" w:hAnsi="Calibri"/>
                <w:color w:val="1E293B"/>
                <w:sz w:val="16"/>
              </w:rPr>
              <w:t>ViewModel and authenticated API workflow tests.</w:t>
            </w:r>
          </w:p>
        </w:tc>
      </w:tr>
      <w:tr>
        <w:tc>
          <w:tcPr>
            <w:tcW w:type="dxa" w:w="1400"/>
            <w:vAlign w:val="top"/>
          </w:tcPr>
          <w:p>
            <w:pPr>
              <w:spacing w:after="0"/>
            </w:pPr>
            <w:r>
              <w:rPr>
                <w:rFonts w:ascii="Calibri" w:hAnsi="Calibri"/>
                <w:color w:val="1E293B"/>
                <w:sz w:val="16"/>
              </w:rPr>
              <w:t>Unified accounts and review UX</w:t>
            </w:r>
          </w:p>
        </w:tc>
        <w:tc>
          <w:tcPr>
            <w:tcW w:type="dxa" w:w="2500"/>
            <w:vAlign w:val="top"/>
          </w:tcPr>
          <w:p>
            <w:pPr>
              <w:spacing w:after="0"/>
            </w:pPr>
            <w:r>
              <w:rPr>
                <w:rFonts w:ascii="Calibri" w:hAnsi="Calibri"/>
                <w:color w:val="1E293B"/>
                <w:sz w:val="16"/>
              </w:rPr>
              <w:t>Derive actions from listing-creator/requester relationships and carry review counts through DTOs.</w:t>
            </w:r>
          </w:p>
        </w:tc>
        <w:tc>
          <w:tcPr>
            <w:tcW w:type="dxa" w:w="3100"/>
            <w:vAlign w:val="top"/>
          </w:tcPr>
          <w:p>
            <w:pPr>
              <w:spacing w:after="0"/>
            </w:pPr>
            <w:r>
              <w:rPr>
                <w:rFonts w:ascii="Calibri" w:hAnsi="Calibri"/>
                <w:color w:val="1E293B"/>
                <w:sz w:val="16"/>
              </w:rPr>
              <w:t>Kept every API ownership and requester check; the UI is helpful but is not the security boundary.</w:t>
            </w:r>
          </w:p>
        </w:tc>
        <w:tc>
          <w:tcPr>
            <w:tcW w:type="dxa" w:w="2360"/>
            <w:vAlign w:val="top"/>
          </w:tcPr>
          <w:p>
            <w:pPr>
              <w:spacing w:after="0"/>
            </w:pPr>
            <w:r>
              <w:rPr>
                <w:rFonts w:ascii="Calibri" w:hAnsi="Calibri"/>
                <w:color w:val="1E293B"/>
                <w:sz w:val="16"/>
              </w:rPr>
              <w:t>Final regression: 65/65 tests and 86.4% coverage.</w:t>
            </w:r>
          </w:p>
        </w:tc>
      </w:tr>
    </w:tbl>
    <w:p>
      <w:pPr>
        <w:pStyle w:val="Heading2"/>
        <w:keepNext/>
      </w:pPr>
      <w:r>
        <w:t>Reflection</w:t>
      </w:r>
    </w:p>
    <w:p>
      <w:pPr>
        <w:spacing w:after="120"/>
      </w:pPr>
      <w:r>
        <w:rPr>
          <w:rFonts w:ascii="Calibri" w:hAnsi="Calibri"/>
          <w:b w:val="0"/>
          <w:i w:val="0"/>
          <w:color w:val="1E293B"/>
          <w:sz w:val="24"/>
        </w:rPr>
        <w:t>AI accelerated repetitive implementation and exposed alternatives, but it did not replace engineering judgement. Suggestions were narrowed to an explainable scope, compiled with warnings as errors, and tested at the appropriate boundary. Database and Android defects were diagnosed from evidence instead of accepting speculative changes. In the presentation, the student must explain every excerpt above and the trade-offs behind it.</w:t>
      </w:r>
    </w:p>
    <w:p>
      <w:r>
        <w:br w:type="page"/>
      </w:r>
    </w:p>
    <w:p>
      <w:pPr>
        <w:pStyle w:val="Heading1"/>
        <w:keepNext/>
      </w:pPr>
      <w:r>
        <w:t>8. References</w:t>
      </w:r>
    </w:p>
    <w:p>
      <w:pPr>
        <w:pStyle w:val="ListNumber"/>
        <w:spacing w:after="120"/>
      </w:pPr>
      <w:hyperlink r:id="rId16">
        <w:r>
          <w:rPr>
            <w:rFonts w:ascii="Calibri" w:hAnsi="Calibri"/>
            <w:color w:val="2E74B5"/>
            <w:u w:val="single"/>
            <w:sz w:val="22"/>
          </w:rPr>
          <w:t>Microsoft (2026), .NET MAUI documentation</w:t>
        </w:r>
      </w:hyperlink>
    </w:p>
    <w:p>
      <w:pPr>
        <w:pStyle w:val="ListNumber"/>
        <w:spacing w:after="120"/>
      </w:pPr>
      <w:hyperlink r:id="rId17">
        <w:r>
          <w:rPr>
            <w:rFonts w:ascii="Calibri" w:hAnsi="Calibri"/>
            <w:color w:val="2E74B5"/>
            <w:u w:val="single"/>
            <w:sz w:val="22"/>
          </w:rPr>
          <w:t>Microsoft (2025), Spatial data in Entity Framework Core</w:t>
        </w:r>
      </w:hyperlink>
    </w:p>
    <w:p>
      <w:pPr>
        <w:pStyle w:val="ListNumber"/>
        <w:spacing w:after="120"/>
      </w:pPr>
      <w:hyperlink r:id="rId18">
        <w:r>
          <w:rPr>
            <w:rFonts w:ascii="Calibri" w:hAnsi="Calibri"/>
            <w:color w:val="2E74B5"/>
            <w:u w:val="single"/>
            <w:sz w:val="22"/>
          </w:rPr>
          <w:t>Microsoft (2025), Configure JWT bearer authentication in ASP.NET Core</w:t>
        </w:r>
      </w:hyperlink>
    </w:p>
    <w:p>
      <w:pPr>
        <w:pStyle w:val="ListNumber"/>
        <w:spacing w:after="120"/>
      </w:pPr>
      <w:hyperlink r:id="rId19">
        <w:r>
          <w:rPr>
            <w:rFonts w:ascii="Calibri" w:hAnsi="Calibri"/>
            <w:color w:val="2E74B5"/>
            <w:u w:val="single"/>
            <w:sz w:val="22"/>
          </w:rPr>
          <w:t>PostGIS Project, ST_DWithin reference</w:t>
        </w:r>
      </w:hyperlink>
    </w:p>
    <w:p>
      <w:pPr>
        <w:pStyle w:val="ListNumber"/>
        <w:spacing w:after="120"/>
      </w:pPr>
      <w:hyperlink r:id="rId20">
        <w:r>
          <w:rPr>
            <w:rFonts w:ascii="Calibri" w:hAnsi="Calibri"/>
            <w:color w:val="2E74B5"/>
            <w:u w:val="single"/>
            <w:sz w:val="22"/>
          </w:rPr>
          <w:t>NetTopologySuite project, API documentation</w:t>
        </w:r>
      </w:hyperlink>
    </w:p>
    <w:p>
      <w:pPr>
        <w:pStyle w:val="ListNumber"/>
        <w:spacing w:after="120"/>
      </w:pPr>
      <w:hyperlink r:id="rId21">
        <w:r>
          <w:rPr>
            <w:rFonts w:ascii="Calibri" w:hAnsi="Calibri"/>
            <w:color w:val="2E74B5"/>
            <w:u w:val="single"/>
            <w:sz w:val="22"/>
          </w:rPr>
          <w:t>xUnit.net, Getting started with xUnit.net v3</w:t>
        </w:r>
      </w:hyperlink>
    </w:p>
    <w:p>
      <w:pPr>
        <w:pStyle w:val="ListNumber"/>
        <w:spacing w:after="120"/>
      </w:pPr>
      <w:hyperlink r:id="rId22">
        <w:r>
          <w:rPr>
            <w:rFonts w:ascii="Calibri" w:hAnsi="Calibri"/>
            <w:color w:val="2E74B5"/>
            <w:u w:val="single"/>
            <w:sz w:val="22"/>
          </w:rPr>
          <w:t>Docker, Docker Compose documentation</w:t>
        </w:r>
      </w:hyperlink>
    </w:p>
    <w:p>
      <w:pPr>
        <w:pStyle w:val="ListNumber"/>
        <w:spacing w:after="120"/>
      </w:pPr>
      <w:hyperlink r:id="rId23">
        <w:r>
          <w:rPr>
            <w:rFonts w:ascii="Calibri" w:hAnsi="Calibri"/>
            <w:color w:val="2E74B5"/>
            <w:u w:val="single"/>
            <w:sz w:val="22"/>
          </w:rPr>
          <w:t>GitHub, Building and testing .NET</w:t>
        </w:r>
      </w:hyperlink>
    </w:p>
    <w:p>
      <w:pPr>
        <w:pStyle w:val="Heading2"/>
        <w:keepNext/>
      </w:pPr>
      <w:r>
        <w:t>Final evidence gate before PDF submission</w:t>
      </w:r>
    </w:p>
    <w:p>
      <w:pPr>
        <w:pStyle w:val="ListBullet"/>
        <w:spacing w:after="100" w:line="276" w:lineRule="auto"/>
        <w:ind w:left="720" w:hanging="360"/>
      </w:pPr>
      <w:r>
        <w:rPr>
          <w:rFonts w:ascii="Calibri" w:hAnsi="Calibri"/>
          <w:color w:val="1E293B"/>
          <w:sz w:val="24"/>
        </w:rPr>
        <w:t>Add the public GitHub URL to the cover and verify it while signed out.</w:t>
      </w:r>
    </w:p>
    <w:p>
      <w:pPr>
        <w:pStyle w:val="ListBullet"/>
        <w:spacing w:after="100" w:line="276" w:lineRule="auto"/>
        <w:ind w:left="720" w:hanging="360"/>
      </w:pPr>
      <w:r>
        <w:rPr>
          <w:rFonts w:ascii="Calibri" w:hAnsi="Calibri"/>
          <w:color w:val="1E293B"/>
          <w:sz w:val="24"/>
        </w:rPr>
        <w:t>Replace the seven remaining screenshot evidence slots with actual emulator captures.</w:t>
      </w:r>
    </w:p>
    <w:p>
      <w:pPr>
        <w:pStyle w:val="ListBullet"/>
        <w:spacing w:after="100" w:line="276" w:lineRule="auto"/>
        <w:ind w:left="720" w:hanging="360"/>
      </w:pPr>
      <w:r>
        <w:rPr>
          <w:rFonts w:ascii="Calibri" w:hAnsi="Calibri"/>
          <w:color w:val="1E293B"/>
          <w:sz w:val="24"/>
        </w:rPr>
        <w:t>Insert the coverage-report screenshot showing the verified 86.4% line rate.</w:t>
      </w:r>
    </w:p>
    <w:p>
      <w:pPr>
        <w:pStyle w:val="ListBullet"/>
        <w:spacing w:after="100" w:line="276" w:lineRule="auto"/>
        <w:ind w:left="720" w:hanging="360"/>
      </w:pPr>
      <w:r>
        <w:rPr>
          <w:rFonts w:ascii="Calibri" w:hAnsi="Calibri"/>
          <w:color w:val="1E293B"/>
          <w:sz w:val="24"/>
        </w:rPr>
        <w:t>Insert a screenshot of one green GitHub Actions run with both jobs visible.</w:t>
      </w:r>
    </w:p>
    <w:p>
      <w:pPr>
        <w:pStyle w:val="ListBullet"/>
        <w:spacing w:after="100" w:line="276" w:lineRule="auto"/>
        <w:ind w:left="720" w:hanging="360"/>
      </w:pPr>
      <w:r>
        <w:rPr>
          <w:rFonts w:ascii="Calibri" w:hAnsi="Calibri"/>
          <w:color w:val="1E293B"/>
          <w:sz w:val="24"/>
        </w:rPr>
        <w:t>Confirm the public repository contains source, tests, workflow, README, and genuine commit history.</w:t>
      </w:r>
    </w:p>
    <w:p>
      <w:pPr>
        <w:pStyle w:val="ListBullet"/>
        <w:spacing w:after="100" w:line="276" w:lineRule="auto"/>
        <w:ind w:left="720" w:hanging="360"/>
      </w:pPr>
      <w:r>
        <w:rPr>
          <w:rFonts w:ascii="Calibri" w:hAnsi="Calibri"/>
          <w:color w:val="1E293B"/>
          <w:sz w:val="24"/>
        </w:rPr>
        <w:t>Export to PDF and verify it remains under the 20-page limit.</w:t>
      </w:r>
    </w:p>
    <w:p>
      <w:pPr>
        <w:pStyle w:val="ListBullet"/>
        <w:spacing w:after="100" w:line="276" w:lineRule="auto"/>
        <w:ind w:left="720" w:hanging="360"/>
      </w:pPr>
      <w:r>
        <w:rPr>
          <w:rFonts w:ascii="Calibri" w:hAnsi="Calibri"/>
          <w:color w:val="1E293B"/>
          <w:sz w:val="24"/>
        </w:rPr>
        <w:t>Rehearse the eight-minute demonstration and explain the four patterns without reading notes.</w:t>
      </w:r>
    </w:p>
    <w:tbl>
      <w:tblPr>
        <w:tblW w:type="dxa" w:w="9360"/>
        <w:jc w:val="left"/>
        <w:tblLayout w:type="fixed"/>
        <w:tblLook w:firstColumn="1" w:firstRow="1" w:lastColumn="0" w:lastRow="0" w:noHBand="0" w:noVBand="1" w:val="04A0"/>
        <w:tblInd w:w="120" w:type="dxa"/>
        <w:tblBorders>
          <w:top w:val="single" w:sz="9" w:color="19734C"/>
          <w:left w:val="single" w:sz="9" w:color="19734C"/>
          <w:bottom w:val="single" w:sz="9" w:color="19734C"/>
          <w:right w:val="single" w:sz="9" w:color="19734C"/>
          <w:insideH w:val="single" w:sz="9" w:color="19734C"/>
          <w:insideV w:val="single" w:sz="9" w:color="19734C"/>
        </w:tblBorders>
      </w:tblPr>
      <w:tblGrid>
        <w:gridCol w:w="9360"/>
      </w:tblGrid>
      <w:tr>
        <w:tc>
          <w:tcPr>
            <w:tcW w:type="dxa" w:w="9360"/>
            <w:tcMar>
              <w:top w:w="80" w:type="dxa"/>
              <w:start w:w="120" w:type="dxa"/>
              <w:bottom w:w="80" w:type="dxa"/>
              <w:end w:w="120" w:type="dxa"/>
            </w:tcMar>
            <w:shd w:fill="E6F4EA"/>
          </w:tcPr>
          <w:p>
            <w:pPr>
              <w:spacing w:after="40"/>
            </w:pPr>
            <w:r>
              <w:rPr>
                <w:rFonts w:ascii="Calibri" w:hAnsi="Calibri"/>
                <w:b/>
                <w:color w:val="19734C"/>
                <w:sz w:val="24"/>
              </w:rPr>
              <w:t>Current honest status</w:t>
            </w:r>
          </w:p>
          <w:p>
            <w:pPr>
              <w:spacing w:after="0"/>
            </w:pPr>
            <w:r>
              <w:rPr>
                <w:rFonts w:ascii="Calibri" w:hAnsi="Calibri"/>
                <w:color w:val="1E293B"/>
                <w:sz w:val="22"/>
              </w:rPr>
              <w:t>Source: 70%-targeted and presentation-readable. Tests: 65/65 passing with 86.4% line coverage. One real emulator screenshot is included. Remaining: final live workflow check, public GitHub URL/history, green workflow evidence, seven app screenshots, coverage screenshot, and oral defence.</w:t>
            </w:r>
          </w:p>
        </w:tc>
      </w:tr>
    </w:tbl>
    <w:p>
      <w:pPr>
        <w:spacing w:after="0"/>
      </w:pPr>
    </w:p>
    <w:sectPr w:rsidR="00FC693F" w:rsidRPr="0006063C" w:rsidSect="00034616">
      <w:headerReference w:type="default" r:id="rId9"/>
      <w:footerReference w:type="default" r:id="rId10"/>
      <w:pgSz w:w="12240" w:h="15840"/>
      <w:pgMar w:top="1440"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606D"/>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2606D"/>
        <w:sz w:val="18"/>
      </w:rPr>
      <w:t>SET09102 COURSEWORK  |  RENTALAPP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ind w:left="720" w:hanging="360"/>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6" w:lineRule="auto"/>
      <w:ind w:left="720" w:hanging="360"/>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learn.microsoft.com/en-us/dotnet/maui/?view=net-maui-10.0" TargetMode="External"/><Relationship Id="rId17" Type="http://schemas.openxmlformats.org/officeDocument/2006/relationships/hyperlink" Target="https://learn.microsoft.com/en-us/ef/core/modeling/spatial" TargetMode="External"/><Relationship Id="rId18" Type="http://schemas.openxmlformats.org/officeDocument/2006/relationships/hyperlink" Target="https://learn.microsoft.com/en-us/aspnet/core/security/authentication/configure-jwt-bearer-authentication?view=aspnetcore-10.0" TargetMode="External"/><Relationship Id="rId19" Type="http://schemas.openxmlformats.org/officeDocument/2006/relationships/hyperlink" Target="https://postgis.net/docs/ST_DWithin.html" TargetMode="External"/><Relationship Id="rId20" Type="http://schemas.openxmlformats.org/officeDocument/2006/relationships/hyperlink" Target="https://nettopologysuite.github.io/NetTopologySuite/" TargetMode="External"/><Relationship Id="rId21" Type="http://schemas.openxmlformats.org/officeDocument/2006/relationships/hyperlink" Target="https://xunit.net/docs/getting-started/v3/getting-started" TargetMode="External"/><Relationship Id="rId22" Type="http://schemas.openxmlformats.org/officeDocument/2006/relationships/hyperlink" Target="https://docs.docker.com/compose/" TargetMode="External"/><Relationship Id="rId23" Type="http://schemas.openxmlformats.org/officeDocument/2006/relationships/hyperlink" Target="https://docs.github.com/actions/guides/building-and-test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RentalApp - Peer-to-Peer Rental Marketplace</dc:title>
  <dc:subject>SET09102 coursework report draft</dc:subject>
  <dc:creator>Justin Wylie</dc:creator>
  <cp:keywords>SET09102, .NET MAUI, PostGIS, EF Core, xUnit</cp:keywords>
  <dc:description>generated by python-docx</dc:description>
  <cp:lastModifiedBy/>
  <cp:revision>1</cp:revision>
  <dcterms:created xsi:type="dcterms:W3CDTF">2013-12-23T23:15:00Z</dcterms:created>
  <dcterms:modified xsi:type="dcterms:W3CDTF">2013-12-23T23:15:00Z</dcterms:modified>
  <cp:category/>
</cp:coreProperties>
</file>