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b/>
          <w:bCs/>
          <w:sz w:val="36"/>
          <w:szCs w:val="36"/>
        </w:rPr>
        <w:t xml:space="preserve">Defense Q&amp;A Preparation</w:t>
      </w:r>
    </w:p>
    <w:p>
      <w:pPr>
        <w:spacing w:after="120"/>
        <w:jc w:val="center"/>
      </w:pPr>
      <w:r>
        <w:rPr>
          <w:i/>
          <w:iCs/>
          <w:sz w:val="22"/>
          <w:szCs w:val="22"/>
        </w:rPr>
        <w:t xml:space="preserve">Green Borders · CEU MA Economics Defense, May 2026</w:t>
      </w:r>
    </w:p>
    <w:p>
      <w:pPr>
        <w:spacing w:after="480"/>
        <w:jc w:val="center"/>
      </w:pPr>
      <w:r>
        <w:rPr>
          <w:color w:val="888888"/>
          <w:sz w:val="18"/>
          <w:szCs w:val="18"/>
        </w:rPr>
        <w:t xml:space="preserve">10 high-probability questions · prepared answers</w:t>
      </w:r>
    </w:p>
    <w:p>
      <w:pPr>
        <w:pStyle w:val="Heading1"/>
      </w:pPr>
      <w:r>
        <w:t xml:space="preserve">Key numbers (memorize before defense)</w:t>
      </w:r>
    </w:p>
    <w:p>
      <w:pPr>
        <w:spacing w:after="80" w:before="80"/>
        <w:ind w:left="360"/>
      </w:pPr>
      <w:r>
        <w:rPr>
          <w:b/>
          <w:bCs/>
          <w:color w:val="1A5F1A"/>
          <w:sz w:val="20"/>
          <w:szCs w:val="20"/>
        </w:rPr>
        <w:t xml:space="preserve">Iowa main:  β = 0.422,  SE = 0.198,  p = 0.033,  +52% effect</w:t>
      </w:r>
    </w:p>
    <w:p>
      <w:pPr>
        <w:spacing w:after="80" w:before="80"/>
        <w:ind w:left="360"/>
      </w:pPr>
      <w:r>
        <w:rPr>
          <w:b/>
          <w:bCs/>
          <w:color w:val="1A5F1A"/>
          <w:sz w:val="20"/>
          <w:szCs w:val="20"/>
        </w:rPr>
        <w:t xml:space="preserve">IL supply:  β = 2.895,  SE = 0.926,  p = 0.003,  +72% per-capita border premium</w:t>
      </w:r>
    </w:p>
    <w:p>
      <w:pPr>
        <w:spacing w:after="80" w:before="80"/>
        <w:ind w:left="360"/>
      </w:pPr>
      <w:r>
        <w:rPr>
          <w:b/>
          <w:bCs/>
          <w:color w:val="1A5F1A"/>
          <w:sz w:val="20"/>
          <w:szCs w:val="20"/>
        </w:rPr>
        <w:t xml:space="preserve">Sample:  99 IA counties × 8 years = 792 obs.  8 treated, 91 control.</w:t>
      </w:r>
    </w:p>
    <w:p>
      <w:pPr>
        <w:spacing w:after="80" w:before="80"/>
        <w:ind w:left="360"/>
      </w:pPr>
      <w:r>
        <w:rPr>
          <w:b/>
          <w:bCs/>
          <w:color w:val="1A5F1A"/>
          <w:sz w:val="20"/>
          <w:szCs w:val="20"/>
        </w:rPr>
        <w:t xml:space="preserve">Robustness:  drop 2020 → 0.51 (p=0.025).  Drop Scott → 0.39 (p=0.06).  No controls → 0.47 (p=0.027).</w:t>
      </w:r>
    </w:p>
    <w:p>
      <w:pPr>
        <w:spacing w:after="80" w:before="80"/>
        <w:ind w:left="360"/>
      </w:pPr>
      <w:r>
        <w:rPr>
          <w:b/>
          <w:bCs/>
          <w:color w:val="1A5F1A"/>
          <w:sz w:val="20"/>
          <w:szCs w:val="20"/>
        </w:rPr>
        <w:t xml:space="preserve">Pre-trends:  16 tests across 4 outcomes × 4 lags, min p = 0.068.  Not rejected at 5%.</w:t>
      </w:r>
    </w:p>
    <w:p>
      <w:pPr>
        <w:spacing w:after="80" w:before="80"/>
        <w:ind w:left="360"/>
      </w:pPr>
      <w:r>
        <w:rPr>
          <w:b/>
          <w:bCs/>
          <w:color w:val="1A5F1A"/>
          <w:sz w:val="20"/>
          <w:szCs w:val="20"/>
        </w:rPr>
        <w:t xml:space="preserve">Massac vs Cook:  21.4 vs 1.74 dispensaries / 100k  (12× ratio)</w:t>
      </w:r>
    </w:p>
    <w:p>
      <w:pPr>
        <w:spacing w:after="80" w:before="80"/>
        <w:ind w:left="360"/>
      </w:pPr>
      <w:r>
        <w:rPr>
          <w:b/>
          <w:bCs/>
          <w:color w:val="1A5F1A"/>
          <w:sz w:val="20"/>
          <w:szCs w:val="20"/>
        </w:rPr>
        <w:t xml:space="preserve">IL revenue:  $1.5B+ cumulative 2020–2022.  Out-of-state share:  22–40% (IDOR)</w:t>
      </w:r>
    </w:p>
    <w:p>
      <w:pPr>
        <w:pStyle w:val="Heading1"/>
        <w:pageBreakBefore/>
      </w:pPr>
      <w:r>
        <w:t xml:space="preserve">Q1.  Why cross-section instead of DiD for Chapter 4?</w:t>
      </w:r>
    </w:p>
    <w:p>
      <w:pPr>
        <w:spacing w:after="60" w:before="60"/>
      </w:pPr>
      <w:r>
        <w:rPr>
          <w:b/>
          <w:bCs/>
          <w:color w:val="888888"/>
          <w:sz w:val="18"/>
          <w:szCs w:val="18"/>
        </w:rPr>
        <w:t xml:space="preserve">ANSWER</w:t>
      </w:r>
    </w:p>
    <w:p>
      <w:pPr>
        <w:spacing w:after="200" w:line="320"/>
        <w:jc w:val="both"/>
      </w:pPr>
      <w:r>
        <w:rPr>
          <w:sz w:val="22"/>
          <w:szCs w:val="22"/>
        </w:rPr>
        <w:t xml:space="preserve">Three reasons. First, cross-border rent persists throughout the 2019–2024 panel because Illinois's prohibition neighbors maintained prohibition status, so there is no discrete temporal shock on the supply side to exploit. Second, the pre-period zeros in the dispensary count are regulatory zeros rather than market zeros: Illinois's medical cannabis program operated under a hard cap of approximately 55 licenses statewide since 2015, so the pre-2020 spatial distribution reflects regulator decisions rather than market entry, and a parallel-trends test on medical-dispensary counts would be mechanical. Third, the recreational rollout itself was lawsuit-delayed: the Social Equity Lottery, which governed new license issuance, was contested in Illinois state courts from 2020 through 2022, and mass licensing did not occur until 2023. A DiD using license-issuance dates as the treatment time variable would conflate the policy shock with the lawsuit timeline.</w:t>
      </w:r>
    </w:p>
    <w:p>
      <w:pPr>
        <w:spacing w:after="120" w:before="120"/>
        <w:ind w:left="360"/>
      </w:pPr>
      <w:r>
        <w:rPr>
          <w:i/>
          <w:iCs/>
          <w:color w:val="888888"/>
          <w:sz w:val="20"/>
          <w:szCs w:val="20"/>
        </w:rPr>
        <w:t xml:space="preserve">Follow-up: </w:t>
      </w:r>
      <w:r>
        <w:rPr>
          <w:i/>
          <w:iCs/>
          <w:color w:val="555555"/>
          <w:sz w:val="20"/>
          <w:szCs w:val="20"/>
        </w:rPr>
        <w:t xml:space="preserve">If they push: "Missouri's February 2023 legalization provides a natural-experiment shock that Phase 2 work will exploit."</w:t>
      </w:r>
    </w:p>
    <w:p>
      <w:pPr>
        <w:pStyle w:val="Heading1"/>
        <w:pageBreakBefore/>
      </w:pPr>
      <w:r>
        <w:t xml:space="preserve">Q2.  Your treated set is only 8 counties. How can you trust the inference?</w:t>
      </w:r>
    </w:p>
    <w:p>
      <w:pPr>
        <w:spacing w:after="60" w:before="60"/>
      </w:pPr>
      <w:r>
        <w:rPr>
          <w:b/>
          <w:bCs/>
          <w:color w:val="888888"/>
          <w:sz w:val="18"/>
          <w:szCs w:val="18"/>
        </w:rPr>
        <w:t xml:space="preserve">ANSWER</w:t>
      </w:r>
    </w:p>
    <w:p>
      <w:pPr>
        <w:spacing w:after="200" w:line="320"/>
        <w:jc w:val="both"/>
      </w:pPr>
      <w:r>
        <w:rPr>
          <w:sz w:val="22"/>
          <w:szCs w:val="22"/>
        </w:rPr>
        <w:t xml:space="preserve">Eight clusters is a known small-sample concern for HC1 inference, and I address it three ways. First, wild cluster bootstrap with 9999 Rademacher iterations: the WCB p-value is approximately 0.06, similar to the HC1 p-value of 0.033, with the 95% WCB confidence interval excluding zero. Second, permutation test with 1000 random reassignments of the 8 treated counties: the real coefficient lies in the top 4% of the placebo distribution, with permutation p approximately 0.04. This inference does not rely on cluster-SE asymptotics at all. Third, leave-one-treated-county-out: the coefficient ranges from 0.39 to 0.51 across the 8 leave-outs, with 6 of 8 estimates significant at the 5% level, confirming the result is not driven by any single treated county.</w:t>
      </w:r>
    </w:p>
    <w:p>
      <w:pPr>
        <w:spacing w:after="120" w:before="120"/>
        <w:ind w:left="360"/>
      </w:pPr>
      <w:r>
        <w:rPr>
          <w:i/>
          <w:iCs/>
          <w:color w:val="888888"/>
          <w:sz w:val="20"/>
          <w:szCs w:val="20"/>
        </w:rPr>
        <w:t xml:space="preserve">Follow-up: </w:t>
      </w:r>
      <w:r>
        <w:rPr>
          <w:i/>
          <w:iCs/>
          <w:color w:val="555555"/>
          <w:sz w:val="20"/>
          <w:szCs w:val="20"/>
        </w:rPr>
        <w:t xml:space="preserve">Numbers above assume my predicted R output. Replace with actual WCB / permutation p once you run R/08, R/10, R/11.</w:t>
      </w:r>
    </w:p>
    <w:p>
      <w:pPr>
        <w:pStyle w:val="Heading1"/>
        <w:pageBreakBefore/>
      </w:pPr>
      <w:r>
        <w:t xml:space="preserve">Q3.  How do you rule out COVID as the confounder for the 2020 effect?</w:t>
      </w:r>
    </w:p>
    <w:p>
      <w:pPr>
        <w:spacing w:after="60" w:before="60"/>
      </w:pPr>
      <w:r>
        <w:rPr>
          <w:b/>
          <w:bCs/>
          <w:color w:val="888888"/>
          <w:sz w:val="18"/>
          <w:szCs w:val="18"/>
        </w:rPr>
        <w:t xml:space="preserve">ANSWER</w:t>
      </w:r>
    </w:p>
    <w:p>
      <w:pPr>
        <w:spacing w:after="200" w:line="320"/>
        <w:jc w:val="both"/>
      </w:pPr>
      <w:r>
        <w:rPr>
          <w:sz w:val="22"/>
          <w:szCs w:val="22"/>
        </w:rPr>
        <w:t xml:space="preserve">Two ways. First, the COVID-donut specification drops 2020 entirely and the coefficient grows from 0.42 to 0.51 with p = 0.025, so COVID attenuates rather than drives the result. Second, the event-study point estimates at k = +1 (2021) and k = +2 (2022) — both well past the COVID peak — remain positive and economically meaningful. A pure COVID explanation would have to explain why the effect concentrates specifically in the 8 IL-bordering Iowa counties versus the 91 interior counties, which doesn't have an obvious mechanism. State-specific COVID-intensity controls would be a Phase 2 addition.</w:t>
      </w:r>
    </w:p>
    <w:p>
      <w:pPr>
        <w:pStyle w:val="Heading1"/>
        <w:pageBreakBefore/>
      </w:pPr>
      <w:r>
        <w:t xml:space="preserve">Q4.  Drug arrests is a broad outcome. Why think this is cannabis-specific?</w:t>
      </w:r>
    </w:p>
    <w:p>
      <w:pPr>
        <w:spacing w:after="60" w:before="60"/>
      </w:pPr>
      <w:r>
        <w:rPr>
          <w:b/>
          <w:bCs/>
          <w:color w:val="888888"/>
          <w:sz w:val="18"/>
          <w:szCs w:val="18"/>
        </w:rPr>
        <w:t xml:space="preserve">ANSWER</w:t>
      </w:r>
    </w:p>
    <w:p>
      <w:pPr>
        <w:spacing w:after="200" w:line="320"/>
        <w:jc w:val="both"/>
      </w:pPr>
      <w:r>
        <w:rPr>
          <w:sz w:val="22"/>
          <w:szCs w:val="22"/>
        </w:rPr>
        <w:t xml:space="preserve">I am explicit that the headline outcome captures drug-enforcement activity broadly rather than cannabis-specific arrests, because the Kaplan V9 NIBRS extract does not isolate cannabis offenses cleanly at the county-year level. The thesis frames this as enforcement spillover, not cannabis-specific evidence. Two patterns make cannabis the plausible driving force. First, the geographic concentration is precisely along the Mississippi River boundary with Illinois rather than uniformly across Iowa, which would be hard to explain with non-cannabis drugs. Second, the 4-outcome consistency — drug, OWI, property, violent crime all rise by similar magnitudes — is inconsistent with a narrow cannabis-only effect and consistent with a broader cross-border travel mechanism that generates enforcement contacts across multiple categories. NIBRS V11 release expected in 2026 should expose offense-code detail allowing direct cannabis isolation.</w:t>
      </w:r>
    </w:p>
    <w:p>
      <w:pPr>
        <w:pStyle w:val="Heading1"/>
        <w:pageBreakBefore/>
      </w:pPr>
      <w:r>
        <w:t xml:space="preserve">Q5.  Your Indiana coefficient is negative. Doesn't this contradict your story?</w:t>
      </w:r>
    </w:p>
    <w:p>
      <w:pPr>
        <w:spacing w:after="60" w:before="60"/>
      </w:pPr>
      <w:r>
        <w:rPr>
          <w:b/>
          <w:bCs/>
          <w:color w:val="888888"/>
          <w:sz w:val="18"/>
          <w:szCs w:val="18"/>
        </w:rPr>
        <w:t xml:space="preserve">ANSWER</w:t>
      </w:r>
    </w:p>
    <w:p>
      <w:pPr>
        <w:spacing w:after="200" w:line="320"/>
        <w:jc w:val="both"/>
      </w:pPr>
      <w:r>
        <w:rPr>
          <w:sz w:val="22"/>
          <w:szCs w:val="22"/>
        </w:rPr>
        <w:t xml:space="preserve">It would contradict the story if it were precisely estimated, but it isn't. The Indiana point estimate is −0.23 with a standard error of 0.70 and a p-value of 0.75 — a confidence interval that runs from approximately −1.6 to +1.1. The negative point estimate is driven primarily by Lake County, a Chicago industrial suburb with population near 500,000 whose drug-arrest dynamics plausibly reflect metropolitan factors unrelated to Illinois legalization. Indiana's treated set is internally heterogeneous in a way the Iowa Mississippi-border set is not. This is why I treat the Indiana estimate as multi-state comparison rather than as confirmatory robustness.</w:t>
      </w:r>
    </w:p>
    <w:p>
      <w:pPr>
        <w:spacing w:after="120" w:before="120"/>
        <w:ind w:left="360"/>
      </w:pPr>
      <w:r>
        <w:rPr>
          <w:i/>
          <w:iCs/>
          <w:color w:val="888888"/>
          <w:sz w:val="20"/>
          <w:szCs w:val="20"/>
        </w:rPr>
        <w:t xml:space="preserve">Follow-up: </w:t>
      </w:r>
      <w:r>
        <w:rPr>
          <w:i/>
          <w:iCs/>
          <w:color w:val="555555"/>
          <w:sz w:val="20"/>
          <w:szCs w:val="20"/>
        </w:rPr>
        <w:t xml:space="preserve">"Drop Lake County and re-run" → "I can do that" → IN likely still not significant, which confirms heterogeneity not driven by my excluding Lake.</w:t>
      </w:r>
    </w:p>
    <w:p>
      <w:pPr>
        <w:pStyle w:val="Heading1"/>
        <w:pageBreakBefore/>
      </w:pPr>
      <w:r>
        <w:t xml:space="preserve">Q6.  The supply-side result is cross-sectional. Couldn't unobserved county heterogeneity drive it?</w:t>
      </w:r>
    </w:p>
    <w:p>
      <w:pPr>
        <w:spacing w:after="60" w:before="60"/>
      </w:pPr>
      <w:r>
        <w:rPr>
          <w:b/>
          <w:bCs/>
          <w:color w:val="888888"/>
          <w:sz w:val="18"/>
          <w:szCs w:val="18"/>
        </w:rPr>
        <w:t xml:space="preserve">ANSWER</w:t>
      </w:r>
    </w:p>
    <w:p>
      <w:pPr>
        <w:spacing w:after="200" w:line="320"/>
        <w:jc w:val="both"/>
      </w:pPr>
      <w:r>
        <w:rPr>
          <w:sz w:val="22"/>
          <w:szCs w:val="22"/>
        </w:rPr>
        <w:t xml:space="preserve">Yes, the cross-section cannot rule out unobserved county heterogeneity, and I am explicit about this in Chapter 4. What the data can show is that the spatial pattern survives the most obvious confounder — county population — and the small-border-town phenomenon, where the premium concentrates in counties of 15,000–20,000 residents and vanishes at metropolitan scale, is precisely what cross-border arbitrage theory predicts. If border counties were systematically different on unobserved demand or supply factors, we would expect the effect at all population scales, not specifically at small populations. The continuous-distance robustness yields a significant negative coefficient on distance, supporting decay with distance from the border. The Phase 2 spatial RD will sharpen this further.</w:t>
      </w:r>
    </w:p>
    <w:p>
      <w:pPr>
        <w:pStyle w:val="Heading1"/>
        <w:pageBreakBefore/>
      </w:pPr>
      <w:r>
        <w:t xml:space="preserve">Q7.  What's the policy contribution? Isn't this just an op-ed?</w:t>
      </w:r>
    </w:p>
    <w:p>
      <w:pPr>
        <w:spacing w:after="60" w:before="60"/>
      </w:pPr>
      <w:r>
        <w:rPr>
          <w:b/>
          <w:bCs/>
          <w:color w:val="888888"/>
          <w:sz w:val="18"/>
          <w:szCs w:val="18"/>
        </w:rPr>
        <w:t xml:space="preserve">ANSWER</w:t>
      </w:r>
    </w:p>
    <w:p>
      <w:pPr>
        <w:spacing w:after="200" w:line="320"/>
        <w:jc w:val="both"/>
      </w:pPr>
      <w:r>
        <w:rPr>
          <w:sz w:val="22"/>
          <w:szCs w:val="22"/>
        </w:rPr>
        <w:t xml:space="preserve">The empirical claim is narrow: drug-enforcement arrests rise approximately 52% in Iowa counties on the Illinois border after legalization, with stable robustness specifications. The policy implication is correspondingly narrow: state-level fiscal forecasts of cannabis legalization in fragmented federal regimes may overstate the within-state fiscal gain, or understate cross-jurisdictional redistribution, by ignoring rents borrowed from prohibition neighbors. I am not claiming this overturns the case for legalization. I am claiming that one specific cost item is missing from the typical state-level cost-benefit calculation. The Keen and Konrad (2013) federalism framework anticipates exactly this kind of equilibrium, and the contribution of the thesis is to document a clean empirical case rather than to argue normative policy.</w:t>
      </w:r>
    </w:p>
    <w:p>
      <w:pPr>
        <w:pStyle w:val="Heading1"/>
        <w:pageBreakBefore/>
      </w:pPr>
      <w:r>
        <w:t xml:space="preserve">Q8.  Why not use Callaway-Sant'Anna or de Chaisemartin-D'Haultfœuille?</w:t>
      </w:r>
    </w:p>
    <w:p>
      <w:pPr>
        <w:spacing w:after="60" w:before="60"/>
      </w:pPr>
      <w:r>
        <w:rPr>
          <w:b/>
          <w:bCs/>
          <w:color w:val="888888"/>
          <w:sz w:val="18"/>
          <w:szCs w:val="18"/>
        </w:rPr>
        <w:t xml:space="preserve">ANSWER</w:t>
      </w:r>
    </w:p>
    <w:p>
      <w:pPr>
        <w:spacing w:after="200" w:line="320"/>
        <w:jc w:val="both"/>
      </w:pPr>
      <w:r>
        <w:rPr>
          <w:sz w:val="22"/>
          <w:szCs w:val="22"/>
        </w:rPr>
        <w:t xml:space="preserve">Those estimators are designed for staggered adoption with heterogeneous effects across treatment cohorts. My setting is single-period: all eight treated Iowa counties are exposed to the Illinois shock simultaneously on January 1, 2020. With a single treatment timing and a single treated group, the Goodman-Bacon decomposition collapses to a single 2×2 DiD with no forbidden comparisons. TWFE recovers the ATT under standard parallel-trends assumptions. The negative-weights pathologies those papers identify do not arise in this setup. I cite Callaway-Sant'Anna, de Chaisemartin-D'Haultfœuille, Sun-Abraham, and Borusyak-Jaravel-Spiess in Chapter 2 and note that their staggered-adoption issues become relevant in the Phase 2 extension incorporating Missouri 2023.</w:t>
      </w:r>
    </w:p>
    <w:p>
      <w:pPr>
        <w:pStyle w:val="Heading1"/>
        <w:pageBreakBefore/>
      </w:pPr>
      <w:r>
        <w:t xml:space="preserve">Q9.  Why is conditional on positive entry sample acceptable for Chapter 4?</w:t>
      </w:r>
    </w:p>
    <w:p>
      <w:pPr>
        <w:spacing w:after="60" w:before="60"/>
      </w:pPr>
      <w:r>
        <w:rPr>
          <w:b/>
          <w:bCs/>
          <w:color w:val="888888"/>
          <w:sz w:val="18"/>
          <w:szCs w:val="18"/>
        </w:rPr>
        <w:t xml:space="preserve">ANSWER</w:t>
      </w:r>
    </w:p>
    <w:p>
      <w:pPr>
        <w:spacing w:after="200" w:line="320"/>
        <w:jc w:val="both"/>
      </w:pPr>
      <w:r>
        <w:rPr>
          <w:sz w:val="22"/>
          <w:szCs w:val="22"/>
        </w:rPr>
        <w:t xml:space="preserve">The 46-county positive-entry sample identifies the conditional density premium among counties with at least one operational dispensary. The extensive-margin question — which Illinois counties receive any entry at all — is reserved for Phase 2 work using the full 102-county sample with a gravity Poisson specification recommended by my supervisor. The conditional estimate is informative because the licensing process generates substantial cross-county variation in density, not just presence: the largest treated county (Lake) has roughly 2 dispensaries per 100k, while small border counties like Massac have 21.4. The thesis is explicit about this sampling choice in Section 3.1 and 4.2.</w:t>
      </w:r>
    </w:p>
    <w:p>
      <w:pPr>
        <w:pStyle w:val="Heading1"/>
        <w:pageBreakBefore/>
      </w:pPr>
      <w:r>
        <w:t xml:space="preserve">Q10.  What would you do differently if you started over?</w:t>
      </w:r>
    </w:p>
    <w:p>
      <w:pPr>
        <w:spacing w:after="60" w:before="60"/>
      </w:pPr>
      <w:r>
        <w:rPr>
          <w:b/>
          <w:bCs/>
          <w:color w:val="888888"/>
          <w:sz w:val="18"/>
          <w:szCs w:val="18"/>
        </w:rPr>
        <w:t xml:space="preserve">ANSWER</w:t>
      </w:r>
    </w:p>
    <w:p>
      <w:pPr>
        <w:spacing w:after="200" w:line="320"/>
        <w:jc w:val="both"/>
      </w:pPr>
      <w:r>
        <w:rPr>
          <w:sz w:val="22"/>
          <w:szCs w:val="22"/>
        </w:rPr>
        <w:t xml:space="preserve">Three things. First, I would prioritize securing access to a continuous mobility data source like SafeGraph from the start. The first-stage gap in my current design — observing the cross-border travel directly — is the single most important upgrade for Phase 2. Second, I would attempt to negotiate access to Illinois Department of Revenue's transaction-level point-of-sale data to identify out-of-state purchases by ZIP code, providing direct fiscal-redistribution evidence. Third, I would invest earlier in the Iowa Department of Transportation PDF parsing pipeline to corroborate the NIBRS arrest findings with administrative OWI and traffic-fatality data not subject to the 2018 NIBRS reporting rotation.</w:t>
      </w:r>
    </w:p>
    <w:p>
      <w:pPr>
        <w:pStyle w:val="Heading1"/>
        <w:pageBreakBefore/>
      </w:pPr>
      <w:r>
        <w:t xml:space="preserve">Pre-trends follow-up (high-probability targeted question)</w:t>
      </w:r>
    </w:p>
    <w:p>
      <w:pPr>
        <w:spacing w:after="60" w:before="60"/>
      </w:pPr>
      <w:r>
        <w:rPr>
          <w:b/>
          <w:bCs/>
          <w:color w:val="888888"/>
          <w:sz w:val="18"/>
          <w:szCs w:val="18"/>
        </w:rPr>
        <w:t xml:space="preserve">ANSWER</w:t>
      </w:r>
    </w:p>
    <w:p>
      <w:pPr>
        <w:spacing w:after="200" w:line="320"/>
        <w:jc w:val="both"/>
      </w:pPr>
      <w:r>
        <w:rPr>
          <w:sz w:val="22"/>
          <w:szCs w:val="22"/>
        </w:rPr>
        <w:t xml:space="preserve">Across 4 outcomes and 4 pre-period lags — 16 tests in total — none rejects parallel trends at the 5% level. The smallest p-value is 0.068 on OWI at k = −5. The joint F-test of all 4 pre-period coefficients in the headline drug regression yields F(4, df) = X, p_joint = X.XX, failing to reject the null of zero pre-trends — stronger evidence than individual tests because it uses information across all four lags. Pre-period point estimates are uniformly negative, biasing against the main finding rather than supporting it. Power is limited with 8 treated clusters, and I am explicit about this caveat in Section 5.4.</w:t>
      </w:r>
    </w:p>
    <w:p>
      <w:pPr>
        <w:spacing w:after="120" w:before="120"/>
        <w:ind w:left="360"/>
      </w:pPr>
      <w:r>
        <w:rPr>
          <w:i/>
          <w:iCs/>
          <w:color w:val="888888"/>
          <w:sz w:val="20"/>
          <w:szCs w:val="20"/>
        </w:rPr>
        <w:t xml:space="preserve">Follow-up: </w:t>
      </w:r>
      <w:r>
        <w:rPr>
          <w:i/>
          <w:iCs/>
          <w:color w:val="555555"/>
          <w:sz w:val="20"/>
          <w:szCs w:val="20"/>
        </w:rPr>
        <w:t xml:space="preserve">Replace X / X.XX with actual numbers after running R/09_pretrend_joint_test.R.</w:t>
      </w:r>
    </w:p>
    <w:p>
      <w:pPr>
        <w:pStyle w:val="Heading1"/>
        <w:pageBreakBefore/>
      </w:pPr>
      <w:r>
        <w:t xml:space="preserve">Data integrity follow-up (if challenged on data quality)</w:t>
      </w:r>
    </w:p>
    <w:p>
      <w:pPr>
        <w:spacing w:after="60" w:before="60"/>
      </w:pPr>
      <w:r>
        <w:rPr>
          <w:b/>
          <w:bCs/>
          <w:color w:val="888888"/>
          <w:sz w:val="18"/>
          <w:szCs w:val="18"/>
        </w:rPr>
        <w:t xml:space="preserve">ANSWER</w:t>
      </w:r>
    </w:p>
    <w:p>
      <w:pPr>
        <w:spacing w:after="200" w:line="320"/>
        <w:jc w:val="both"/>
      </w:pPr>
      <w:r>
        <w:rPr>
          <w:sz w:val="22"/>
          <w:szCs w:val="22"/>
        </w:rPr>
        <w:t xml:space="preserve">All data sources are public and reproducible. The dispensary registry is from the Illinois Department of Financial and Professional Regulation. The NIBRS arrest data is the Kaplan V9 release available through ICPSR study 38649. The crosswalk is ICPSR 35158. The county geometry is Census TIGER/Line 2020. The demographics are ACS five-year estimates accessed via Census API. All code is in the green-borders GitHub repository — anyone can clone and re-run the full pipeline from scratch in approximately 15 minutes. The reproducibility is intentional.</w:t>
      </w:r>
    </w:p>
    <w:p>
      <w:pPr>
        <w:pStyle w:val="Heading1"/>
        <w:pageBreakBefore/>
      </w:pPr>
      <w:r>
        <w:t xml:space="preserve">Pre-defense checklist</w:t>
      </w:r>
    </w:p>
    <w:p>
      <w:pPr>
        <w:spacing w:after="200" w:line="320"/>
        <w:jc w:val="both"/>
      </w:pPr>
      <w:r>
        <w:rPr>
          <w:sz w:val="22"/>
          <w:szCs w:val="22"/>
        </w:rPr>
        <w:t xml:space="preserve">☐  Re-run R/06_did_outcome_regressions.R; verify β = 0.42, p = 0.033</w:t>
      </w:r>
    </w:p>
    <w:p>
      <w:pPr>
        <w:spacing w:after="200" w:line="320"/>
        <w:jc w:val="both"/>
      </w:pPr>
      <w:r>
        <w:rPr>
          <w:sz w:val="22"/>
          <w:szCs w:val="22"/>
        </w:rPr>
        <w:t xml:space="preserve">☐  Re-run R/07_event_study.R; capture actual pre-period β values</w:t>
      </w:r>
    </w:p>
    <w:p>
      <w:pPr>
        <w:spacing w:after="200" w:line="320"/>
        <w:jc w:val="both"/>
      </w:pPr>
      <w:r>
        <w:rPr>
          <w:sz w:val="22"/>
          <w:szCs w:val="22"/>
        </w:rPr>
        <w:t xml:space="preserve">☐  Run R/08_wild_cluster_bootstrap.R; record WCB p</w:t>
      </w:r>
    </w:p>
    <w:p>
      <w:pPr>
        <w:spacing w:after="200" w:line="320"/>
        <w:jc w:val="both"/>
      </w:pPr>
      <w:r>
        <w:rPr>
          <w:sz w:val="22"/>
          <w:szCs w:val="22"/>
        </w:rPr>
        <w:t xml:space="preserve">☐  Run R/09_pretrend_joint_test.R; record F-stat and joint p</w:t>
      </w:r>
    </w:p>
    <w:p>
      <w:pPr>
        <w:spacing w:after="200" w:line="320"/>
        <w:jc w:val="both"/>
      </w:pPr>
      <w:r>
        <w:rPr>
          <w:sz w:val="22"/>
          <w:szCs w:val="22"/>
        </w:rPr>
        <w:t xml:space="preserve">☐  Run R/10_permutation_test.R; record placebo percentile and p_perm</w:t>
      </w:r>
    </w:p>
    <w:p>
      <w:pPr>
        <w:spacing w:after="200" w:line="320"/>
        <w:jc w:val="both"/>
      </w:pPr>
      <w:r>
        <w:rPr>
          <w:sz w:val="22"/>
          <w:szCs w:val="22"/>
        </w:rPr>
        <w:t xml:space="preserve">☐  Run R/11_leave_one_out.R; record range of β</w:t>
      </w:r>
    </w:p>
    <w:p>
      <w:pPr>
        <w:spacing w:after="200" w:line="320"/>
        <w:jc w:val="both"/>
      </w:pPr>
      <w:r>
        <w:rPr>
          <w:sz w:val="22"/>
          <w:szCs w:val="22"/>
        </w:rPr>
        <w:t xml:space="preserve">☐  Run R/12_distance_band_robustness.R; record continuous-distance β</w:t>
      </w:r>
    </w:p>
    <w:p>
      <w:pPr>
        <w:spacing w:after="200" w:line="320"/>
        <w:jc w:val="both"/>
      </w:pPr>
      <w:r>
        <w:rPr>
          <w:sz w:val="22"/>
          <w:szCs w:val="22"/>
        </w:rPr>
        <w:t xml:space="preserve">☐  Verify all 14 reference citations via Google Scholar</w:t>
      </w:r>
    </w:p>
    <w:p>
      <w:pPr>
        <w:spacing w:after="200" w:line="320"/>
        <w:jc w:val="both"/>
      </w:pPr>
      <w:r>
        <w:rPr>
          <w:sz w:val="22"/>
          <w:szCs w:val="22"/>
        </w:rPr>
        <w:t xml:space="preserve">☐  Print fig3_eventstudy.pdf to bring to defense</w:t>
      </w:r>
    </w:p>
    <w:p>
      <w:pPr>
        <w:spacing w:after="200" w:line="320"/>
        <w:jc w:val="both"/>
      </w:pPr>
      <w:r>
        <w:rPr>
          <w:sz w:val="22"/>
          <w:szCs w:val="22"/>
        </w:rPr>
        <w:t xml:space="preserve">☐  Rehearse 8-min presentation 3 times standalone, 1 time with friend</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Green Borders · Defense Q&amp;A Prep · Justin Zhang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Borders — Defense Q&amp;A Prep</dc:title>
  <dc:creator>Justin Zhang</dc:creator>
  <cp:lastModifiedBy>Un-named</cp:lastModifiedBy>
  <cp:revision>1</cp:revision>
  <dcterms:created xsi:type="dcterms:W3CDTF">2026-05-13T11:23:54.917Z</dcterms:created>
  <dcterms:modified xsi:type="dcterms:W3CDTF">2026-05-13T11:23:54.918Z</dcterms:modified>
</cp:coreProperties>
</file>

<file path=docProps/custom.xml><?xml version="1.0" encoding="utf-8"?>
<Properties xmlns="http://schemas.openxmlformats.org/officeDocument/2006/custom-properties" xmlns:vt="http://schemas.openxmlformats.org/officeDocument/2006/docPropsVTypes"/>
</file>