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i/>
          <w:iCs/>
          <w:color w:val="888888"/>
          <w:sz w:val="20"/>
          <w:szCs w:val="20"/>
        </w:rPr>
        <w:t xml:space="preserve">PASTE THIS INTO CHAPTER 6 — add as Section 6.2.1 (immediately after 6.2 limitations introduction). This is a transparent evidence-mapping that converts the thesis from "two parallel findings" to "a chain with explicit gaps acknowledged."</w:t>
      </w:r>
    </w:p>
    <w:p>
      <w:pPr>
        <w:pStyle w:val="Heading2"/>
      </w:pPr>
      <w:r>
        <w:t xml:space="preserve">6.2.1   Evidence chain</w:t>
      </w:r>
    </w:p>
    <w:p>
      <w:pPr>
        <w:spacing w:after="240" w:line="360"/>
        <w:jc w:val="both"/>
      </w:pPr>
      <w:r>
        <w:t xml:space="preserve">Table 6.1 organizes the empirical evidence into a six-step causal chain linking Illinois cannabis legalization to elevated Iowa border drug-enforcement arrests, and explicitly flags which steps are directly observed versus inferred. This decomposition serves two purposes. First, it clarifies what the thesis does and does not establish, replacing the looser claim of “cross-border spillover” with a graded assessment of each mechanism link. Second, it identifies the gaps that Phase 2 work should prioritize, specifically the direct measurement of cross-border travel (Step 4) and the isolation of cannabis-specific enforcement (Step 6).</w:t>
      </w:r>
    </w:p>
    <w:p>
      <w:pPr>
        <w:spacing w:after="80" w:before="120"/>
      </w:pPr>
      <w:r>
        <w:rPr>
          <w:b/>
          <w:bCs/>
          <w:sz w:val="22"/>
          <w:szCs w:val="22"/>
        </w:rPr>
        <w:t xml:space="preserve">Table 6.1   Evidence chain for the Illinois–Iowa cross-border externality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1560"/>
      </w:tblGrid>
      <w:tr>
        <w:trPr>
          <w:tblHeader/>
        </w:trPr>
        <w:tc>
          <w:tcPr>
            <w:tcW w:type="dxa" w:w="2400"/>
            <w:tcBorders>
              <w:top w:val="single" w:color="888888" w:sz="6"/>
              <w:left w:val="single" w:color="888888" w:sz="6"/>
              <w:bottom w:val="single" w:color="888888" w:sz="6"/>
              <w:right w:val="single" w:color="888888" w:sz="6"/>
            </w:tcBorders>
            <w:shd w:fill="E8E8E8" w:val="clear"/>
            <w:tcMar>
              <w:top w:type="dxa" w:w="100"/>
              <w:left w:type="dxa" w:w="140"/>
              <w:bottom w:type="dxa" w:w="100"/>
              <w:right w:type="dxa" w:w="140"/>
            </w:tcMar>
          </w:tcPr>
          <w:p>
            <w:pPr>
              <w:jc w:val="left"/>
            </w:pPr>
            <w:r>
              <w:rPr>
                <w:b/>
                <w:bCs/>
                <w:i w:val="false"/>
                <w:iCs w:val="false"/>
                <w:sz w:val="20"/>
                <w:szCs w:val="20"/>
              </w:rPr>
              <w:t xml:space="preserve">Mechanism step</w:t>
            </w:r>
          </w:p>
        </w:tc>
        <w:tc>
          <w:tcPr>
            <w:tcW w:type="dxa" w:w="2400"/>
            <w:tcBorders>
              <w:top w:val="single" w:color="888888" w:sz="6"/>
              <w:left w:val="single" w:color="888888" w:sz="6"/>
              <w:bottom w:val="single" w:color="888888" w:sz="6"/>
              <w:right w:val="single" w:color="888888" w:sz="6"/>
            </w:tcBorders>
            <w:shd w:fill="E8E8E8" w:val="clear"/>
            <w:tcMar>
              <w:top w:type="dxa" w:w="100"/>
              <w:left w:type="dxa" w:w="140"/>
              <w:bottom w:type="dxa" w:w="100"/>
              <w:right w:type="dxa" w:w="140"/>
            </w:tcMar>
          </w:tcPr>
          <w:p>
            <w:pPr>
              <w:jc w:val="left"/>
            </w:pPr>
            <w:r>
              <w:rPr>
                <w:b/>
                <w:bCs/>
                <w:i w:val="false"/>
                <w:iCs w:val="false"/>
                <w:sz w:val="20"/>
                <w:szCs w:val="20"/>
              </w:rPr>
              <w:t xml:space="preserve">Ideal evidence</w:t>
            </w:r>
          </w:p>
        </w:tc>
        <w:tc>
          <w:tcPr>
            <w:tcW w:type="dxa" w:w="3000"/>
            <w:tcBorders>
              <w:top w:val="single" w:color="888888" w:sz="6"/>
              <w:left w:val="single" w:color="888888" w:sz="6"/>
              <w:bottom w:val="single" w:color="888888" w:sz="6"/>
              <w:right w:val="single" w:color="888888" w:sz="6"/>
            </w:tcBorders>
            <w:shd w:fill="E8E8E8" w:val="clear"/>
            <w:tcMar>
              <w:top w:type="dxa" w:w="100"/>
              <w:left w:type="dxa" w:w="140"/>
              <w:bottom w:type="dxa" w:w="100"/>
              <w:right w:type="dxa" w:w="140"/>
            </w:tcMar>
          </w:tcPr>
          <w:p>
            <w:pPr>
              <w:jc w:val="left"/>
            </w:pPr>
            <w:r>
              <w:rPr>
                <w:b/>
                <w:bCs/>
                <w:i w:val="false"/>
                <w:iCs w:val="false"/>
                <w:sz w:val="20"/>
                <w:szCs w:val="20"/>
              </w:rPr>
              <w:t xml:space="preserve">Evidence in this thesis</w:t>
            </w:r>
          </w:p>
        </w:tc>
        <w:tc>
          <w:tcPr>
            <w:tcW w:type="dxa" w:w="1560"/>
            <w:tcBorders>
              <w:top w:val="single" w:color="888888" w:sz="6"/>
              <w:left w:val="single" w:color="888888" w:sz="6"/>
              <w:bottom w:val="single" w:color="888888" w:sz="6"/>
              <w:right w:val="single" w:color="888888" w:sz="6"/>
            </w:tcBorders>
            <w:shd w:fill="E8E8E8" w:val="clear"/>
            <w:tcMar>
              <w:top w:type="dxa" w:w="100"/>
              <w:left w:type="dxa" w:w="140"/>
              <w:bottom w:type="dxa" w:w="100"/>
              <w:right w:type="dxa" w:w="140"/>
            </w:tcMar>
          </w:tcPr>
          <w:p>
            <w:pPr>
              <w:jc w:val="center"/>
            </w:pPr>
            <w:r>
              <w:rPr>
                <w:b/>
                <w:bCs/>
                <w:i w:val="false"/>
                <w:iCs w:val="false"/>
                <w:sz w:val="20"/>
                <w:szCs w:val="20"/>
              </w:rPr>
              <w:t xml:space="preserve">Strength</w:t>
            </w:r>
          </w:p>
        </w:tc>
      </w:tr>
      <w:tr>
        <w:tc>
          <w:tcPr>
            <w:tcW w:type="dxa" w:w="24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val="false"/>
                <w:iCs w:val="false"/>
                <w:sz w:val="20"/>
                <w:szCs w:val="20"/>
              </w:rPr>
              <w:t xml:space="preserve">1. Neighbor states prohibit cannabis during the sample window</w:t>
            </w:r>
          </w:p>
        </w:tc>
        <w:tc>
          <w:tcPr>
            <w:tcW w:type="dxa" w:w="24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iCs/>
                <w:sz w:val="20"/>
                <w:szCs w:val="20"/>
              </w:rPr>
              <w:t xml:space="preserve">State-level legal status data, sample-period coverage</w:t>
            </w:r>
          </w:p>
        </w:tc>
        <w:tc>
          <w:tcPr>
            <w:tcW w:type="dxa" w:w="3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val="false"/>
                <w:iCs w:val="false"/>
                <w:sz w:val="20"/>
                <w:szCs w:val="20"/>
              </w:rPr>
              <w:t xml:space="preserve">All 5 IL neighbors (WI, IA, MO, IN, KY) prohibit recreational cannabis throughout 2015–2022. Documented in Section 2.3.</w:t>
            </w:r>
          </w:p>
        </w:tc>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center"/>
            </w:pPr>
            <w:r>
              <w:rPr>
                <w:b/>
                <w:bCs/>
                <w:i w:val="false"/>
                <w:iCs w:val="false"/>
                <w:color w:val="1A5F1A"/>
                <w:sz w:val="20"/>
                <w:szCs w:val="20"/>
              </w:rPr>
              <w:t xml:space="preserve">Strong</w:t>
            </w:r>
          </w:p>
        </w:tc>
      </w:tr>
      <w:tr>
        <w:tc>
          <w:tcPr>
            <w:tcW w:type="dxa" w:w="24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val="false"/>
                <w:iCs w:val="false"/>
                <w:sz w:val="20"/>
                <w:szCs w:val="20"/>
              </w:rPr>
              <w:t xml:space="preserve">2. IL dispensaries cluster near prohibition borders</w:t>
            </w:r>
          </w:p>
        </w:tc>
        <w:tc>
          <w:tcPr>
            <w:tcW w:type="dxa" w:w="24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iCs/>
                <w:sz w:val="20"/>
                <w:szCs w:val="20"/>
              </w:rPr>
              <w:t xml:space="preserve">Operational license data with geographic coordinates</w:t>
            </w:r>
          </w:p>
        </w:tc>
        <w:tc>
          <w:tcPr>
            <w:tcW w:type="dxa" w:w="3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val="false"/>
                <w:iCs w:val="false"/>
                <w:sz w:val="20"/>
                <w:szCs w:val="20"/>
              </w:rPr>
              <w:t xml:space="preserve">IDFPR license registry, 113 dispensaries across 46 IL counties, TIGER-verified centroid geometry. Chapter 4 Table 4.1: β = 2.895, p = 0.003.</w:t>
            </w:r>
          </w:p>
        </w:tc>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center"/>
            </w:pPr>
            <w:r>
              <w:rPr>
                <w:b/>
                <w:bCs/>
                <w:i w:val="false"/>
                <w:iCs w:val="false"/>
                <w:color w:val="1A5F1A"/>
                <w:sz w:val="20"/>
                <w:szCs w:val="20"/>
              </w:rPr>
              <w:t xml:space="preserve">Strong</w:t>
            </w:r>
          </w:p>
        </w:tc>
      </w:tr>
      <w:tr>
        <w:tc>
          <w:tcPr>
            <w:tcW w:type="dxa" w:w="24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val="false"/>
                <w:iCs w:val="false"/>
                <w:sz w:val="20"/>
                <w:szCs w:val="20"/>
              </w:rPr>
              <w:t xml:space="preserve">3. Local in-state demand alone cannot rationalize observed density</w:t>
            </w:r>
          </w:p>
        </w:tc>
        <w:tc>
          <w:tcPr>
            <w:tcW w:type="dxa" w:w="24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iCs/>
                <w:sz w:val="20"/>
                <w:szCs w:val="20"/>
              </w:rPr>
              <w:t xml:space="preserve">Per-capita density patterns with population control + small-border-town cases</w:t>
            </w:r>
          </w:p>
        </w:tc>
        <w:tc>
          <w:tcPr>
            <w:tcW w:type="dxa" w:w="3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val="false"/>
                <w:iCs w:val="false"/>
                <w:sz w:val="20"/>
                <w:szCs w:val="20"/>
              </w:rPr>
              <w:t xml:space="preserve">Per-capita density 12× higher in Massac (KY border) than Cook (Chicago). Border premium concentrates in counties &lt;25k pop, vanishes at metro scale (Section 4.5).</w:t>
            </w:r>
          </w:p>
        </w:tc>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center"/>
            </w:pPr>
            <w:r>
              <w:rPr>
                <w:b/>
                <w:bCs/>
                <w:i w:val="false"/>
                <w:iCs w:val="false"/>
                <w:color w:val="AA6600"/>
                <w:sz w:val="20"/>
                <w:szCs w:val="20"/>
              </w:rPr>
              <w:t xml:space="preserve">Medium</w:t>
            </w:r>
          </w:p>
        </w:tc>
      </w:tr>
      <w:tr>
        <w:tc>
          <w:tcPr>
            <w:tcW w:type="dxa" w:w="24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val="false"/>
                <w:iCs w:val="false"/>
                <w:sz w:val="20"/>
                <w:szCs w:val="20"/>
              </w:rPr>
              <w:t xml:space="preserve">4. Iowa residents physically cross the border to purchase</w:t>
            </w:r>
          </w:p>
        </w:tc>
        <w:tc>
          <w:tcPr>
            <w:tcW w:type="dxa" w:w="24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iCs/>
                <w:sz w:val="20"/>
                <w:szCs w:val="20"/>
              </w:rPr>
              <w:t xml:space="preserve">Cell-phone mobility data, point-of-sale customer-residence records, or vehicle plate data</w:t>
            </w:r>
          </w:p>
        </w:tc>
        <w:tc>
          <w:tcPr>
            <w:tcW w:type="dxa" w:w="3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val="false"/>
                <w:iCs w:val="false"/>
                <w:sz w:val="20"/>
                <w:szCs w:val="20"/>
              </w:rPr>
              <w:t xml:space="preserve">Not directly observed in current data. Inferred from the joint Ch4-Ch5 spatial pattern. Reserved for Phase 2 SafeGraph mobility analysis.</w:t>
            </w:r>
          </w:p>
        </w:tc>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center"/>
            </w:pPr>
            <w:r>
              <w:rPr>
                <w:b/>
                <w:bCs/>
                <w:i w:val="false"/>
                <w:iCs w:val="false"/>
                <w:color w:val="B91C1C"/>
                <w:sz w:val="20"/>
                <w:szCs w:val="20"/>
              </w:rPr>
              <w:t xml:space="preserve">Weak</w:t>
            </w:r>
          </w:p>
        </w:tc>
      </w:tr>
      <w:tr>
        <w:tc>
          <w:tcPr>
            <w:tcW w:type="dxa" w:w="24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val="false"/>
                <w:iCs w:val="false"/>
                <w:sz w:val="20"/>
                <w:szCs w:val="20"/>
              </w:rPr>
              <w:t xml:space="preserve">5. Iowa enforcement responds to cross-border activity</w:t>
            </w:r>
          </w:p>
        </w:tc>
        <w:tc>
          <w:tcPr>
            <w:tcW w:type="dxa" w:w="24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iCs/>
                <w:sz w:val="20"/>
                <w:szCs w:val="20"/>
              </w:rPr>
              <w:t xml:space="preserve">Pre-post DiD in administrative arrest data, with parallel pre-trends</w:t>
            </w:r>
          </w:p>
        </w:tc>
        <w:tc>
          <w:tcPr>
            <w:tcW w:type="dxa" w:w="3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val="false"/>
                <w:iCs w:val="false"/>
                <w:sz w:val="20"/>
                <w:szCs w:val="20"/>
              </w:rPr>
              <w:t xml:space="preserve">NIBRS county-year panel, 8 treated vs 91 control IA counties. Chapter 5 Table 5.1: β = 0.42, SE = 0.20, p = 0.033. Pre-trends not rejected (16 tests, min p = 0.068).</w:t>
            </w:r>
          </w:p>
        </w:tc>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center"/>
            </w:pPr>
            <w:r>
              <w:rPr>
                <w:b/>
                <w:bCs/>
                <w:i w:val="false"/>
                <w:iCs w:val="false"/>
                <w:color w:val="1A5F1A"/>
                <w:sz w:val="20"/>
                <w:szCs w:val="20"/>
              </w:rPr>
              <w:t xml:space="preserve">Medium-Strong</w:t>
            </w:r>
          </w:p>
        </w:tc>
      </w:tr>
      <w:tr>
        <w:tc>
          <w:tcPr>
            <w:tcW w:type="dxa" w:w="24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val="false"/>
                <w:iCs w:val="false"/>
                <w:sz w:val="20"/>
                <w:szCs w:val="20"/>
              </w:rPr>
              <w:t xml:space="preserve">6. Observed arrests are specifically cannabis-related</w:t>
            </w:r>
          </w:p>
        </w:tc>
        <w:tc>
          <w:tcPr>
            <w:tcW w:type="dxa" w:w="24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iCs/>
                <w:sz w:val="20"/>
                <w:szCs w:val="20"/>
              </w:rPr>
              <w:t xml:space="preserve">NIBRS offense-subcode for cannabis possession isolated at county-year level</w:t>
            </w:r>
          </w:p>
        </w:tc>
        <w:tc>
          <w:tcPr>
            <w:tcW w:type="dxa" w:w="300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left"/>
            </w:pPr>
            <w:r>
              <w:rPr>
                <w:b w:val="false"/>
                <w:bCs w:val="false"/>
                <w:i w:val="false"/>
                <w:iCs w:val="false"/>
                <w:sz w:val="20"/>
                <w:szCs w:val="20"/>
              </w:rPr>
              <w:t xml:space="preserve">Not isolable in Kaplan V9 NIBRS extract. Headline outcome is broader drug-enforcement activity. Cross-outcome consistency (4-outcome positive) suggests mechanism is cross-border travel rather than cannabis-only.</w:t>
            </w:r>
          </w:p>
        </w:tc>
        <w:tc>
          <w:tcPr>
            <w:tcW w:type="dxa" w:w="1560"/>
            <w:tcBorders>
              <w:top w:val="single" w:color="888888" w:sz="6"/>
              <w:left w:val="single" w:color="888888" w:sz="6"/>
              <w:bottom w:val="single" w:color="888888" w:sz="6"/>
              <w:right w:val="single" w:color="888888" w:sz="6"/>
            </w:tcBorders>
            <w:tcMar>
              <w:top w:type="dxa" w:w="100"/>
              <w:left w:type="dxa" w:w="140"/>
              <w:bottom w:type="dxa" w:w="100"/>
              <w:right w:type="dxa" w:w="140"/>
            </w:tcMar>
          </w:tcPr>
          <w:p>
            <w:pPr>
              <w:jc w:val="center"/>
            </w:pPr>
            <w:r>
              <w:rPr>
                <w:b/>
                <w:bCs/>
                <w:i w:val="false"/>
                <w:iCs w:val="false"/>
                <w:color w:val="B91C1C"/>
                <w:sz w:val="20"/>
                <w:szCs w:val="20"/>
              </w:rPr>
              <w:t xml:space="preserve">Weak</w:t>
            </w:r>
          </w:p>
        </w:tc>
      </w:tr>
    </w:tbl>
    <w:p>
      <w:pPr>
        <w:spacing w:after="240" w:before="80"/>
      </w:pPr>
      <w:r>
        <w:rPr>
          <w:i/>
          <w:iCs/>
          <w:color w:val="555555"/>
          <w:sz w:val="18"/>
          <w:szCs w:val="18"/>
        </w:rPr>
        <w:t xml:space="preserve">Notes: Strength assessment is the author's evaluation of how directly each step is supported by data analyzed in this thesis. “Strong” denotes direct empirical documentation; “Medium” denotes credible inference from observed patterns; “Weak” denotes a gap to be addressed in Phase 2.</w:t>
      </w:r>
    </w:p>
    <w:p>
      <w:pPr>
        <w:spacing w:after="240" w:line="360"/>
        <w:jc w:val="both"/>
      </w:pPr>
      <w:r>
        <w:t xml:space="preserve">The chain is strongest at the two anchor steps (2 and 5) where the thesis provides direct empirical estimates with appropriate robustness checks. Step 1 is institutional fact and not in dispute. Step 3 (the small-border-town phenomenon) provides credible inference that local demand alone is insufficient to explain observed density patterns, though it is not a causal estimate. Steps 4 and 6 are the principal limitations: the thesis does not directly observe Iowa residents crossing the Mississippi River to purchase cannabis, nor can it isolate cannabis-specific arrests within the NIBRS V9 extract. Both gaps are addressed in the Phase 2 research agenda outlined in Section 6.3. Recognizing these gaps explicitly is more honest and more useful to subsequent researchers than claiming a fully closed causal chain on the basis of two parallel reduced-form estimates.</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36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Chain Table — Chapter 6 insert</dc:title>
  <dc:creator>Justin Zhang</dc:creator>
  <cp:lastModifiedBy>Un-named</cp:lastModifiedBy>
  <cp:revision>1</cp:revision>
  <dcterms:created xsi:type="dcterms:W3CDTF">2026-05-13T11:22:37.694Z</dcterms:created>
  <dcterms:modified xsi:type="dcterms:W3CDTF">2026-05-13T11:22:37.706Z</dcterms:modified>
</cp:coreProperties>
</file>

<file path=docProps/custom.xml><?xml version="1.0" encoding="utf-8"?>
<Properties xmlns="http://schemas.openxmlformats.org/officeDocument/2006/custom-properties" xmlns:vt="http://schemas.openxmlformats.org/officeDocument/2006/docPropsVTypes"/>
</file>