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人臉識別語音板軟件要求: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硬件平台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2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語音IC: 新唐N76E003</w:t>
      </w:r>
    </w:p>
    <w:p>
      <w:pPr>
        <w:numPr>
          <w:ilvl w:val="0"/>
          <w:numId w:val="2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儲存IC: SPI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GPS天線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輸入輸出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輸入1: GPS信號(pin18), Full duplex serial UART, Data format: baud rate, no parity, 8bit, 1stop bit.(9600, N,8,1)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輸入2: UART串口(pin2,pin3), 按FacePass人脸识别模块通信协议_v1.13.1。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輸入: 按鍵(pin6), 短按為POWER on/off, 長按為人面掃描。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輸出: PWM輸出(pin20), 經濾波線路硬件轉為語音AUDIO。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25933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輸出: GPIO輸出(pin12), 推LED。人臉掃描時閃動, 其余時間為長亮。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輸出: GPIO輸出(pin19), 推三極管, 控制主板電源。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操作簡介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開機通電后, 自動開機。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Pin12高電平, LED燈長亮。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Pin19高電平, 主板電源開通。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接收GPS信號。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接收主板串口信號, 將SPI內的音頻調出來使用發聲。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此時如按鍵是短按是關機。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此時如按鍵是長按, 通過串口通知主扳做人臉掃描, Pin12 </w:t>
      </w:r>
      <w:bookmarkStart w:id="0" w:name="_GoBack"/>
      <w:bookmarkEnd w:id="0"/>
      <w:r>
        <w:rPr>
          <w:rFonts w:hint="eastAsia" w:eastAsia="新細明體"/>
          <w:lang w:val="en-US" w:eastAsia="zh-TW"/>
        </w:rPr>
        <w:t>LED閃動。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新細明體"/>
          <w:lang w:val="en-US" w:eastAsia="zh-TW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新細明體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E76A57"/>
    <w:multiLevelType w:val="singleLevel"/>
    <w:tmpl w:val="A6E76A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76C40B"/>
    <w:multiLevelType w:val="singleLevel"/>
    <w:tmpl w:val="2176C40B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1E413A5"/>
    <w:multiLevelType w:val="singleLevel"/>
    <w:tmpl w:val="31E413A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2725746"/>
    <w:multiLevelType w:val="singleLevel"/>
    <w:tmpl w:val="3272574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65CE2"/>
    <w:rsid w:val="04865CE2"/>
    <w:rsid w:val="29D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2018-06-10T06:59:00Z</dcterms:created>
  <dc:creator>成無喜,敗無懮</dc:creator>
  <cp:lastModifiedBy>成無喜,敗無懮</cp:lastModifiedBy>
  <dcterms:modified xsi:type="dcterms:W3CDTF">2018-06-10T07:32:11Z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