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B027" w14:textId="40534689" w:rsidR="000C494D" w:rsidRPr="00A1091A" w:rsidRDefault="003B6CD9">
      <w:pPr>
        <w:rPr>
          <w:b/>
          <w:bCs/>
        </w:rPr>
      </w:pPr>
      <w:r w:rsidRPr="00A1091A">
        <w:rPr>
          <w:b/>
          <w:bCs/>
        </w:rPr>
        <w:t>Crisis Overview</w:t>
      </w:r>
    </w:p>
    <w:p w14:paraId="7798EF44" w14:textId="3863E3AF" w:rsidR="003B6CD9" w:rsidRPr="003B6CD9" w:rsidRDefault="003B6CD9" w:rsidP="003B6CD9">
      <w:pPr>
        <w:ind w:firstLine="720"/>
      </w:pPr>
      <w:r w:rsidRPr="003B6CD9">
        <w:t xml:space="preserve">Most missing and unidentified cases involving Indigenous persons occur off tribal land, making it plausible that many violent victimizations of Indigenous persons occur off tribal lands too. (Hanson, 2023, p.17) This underscores how this crisis is not something restricted to within Indigenous </w:t>
      </w:r>
      <w:proofErr w:type="gramStart"/>
      <w:r w:rsidRPr="003B6CD9">
        <w:t>communities, but</w:t>
      </w:r>
      <w:proofErr w:type="gramEnd"/>
      <w:r w:rsidRPr="003B6CD9">
        <w:t xml:space="preserve"> embedded within the United States itself.</w:t>
      </w:r>
    </w:p>
    <w:p w14:paraId="03E0F16E" w14:textId="33EA570F" w:rsidR="003B6CD9" w:rsidRPr="003B6CD9" w:rsidRDefault="003B6CD9" w:rsidP="003B6CD9">
      <w:pPr>
        <w:ind w:firstLine="720"/>
      </w:pPr>
      <w:r w:rsidRPr="003B6CD9">
        <w:t>While Indigenous persons living off tribal lands can access federal victim services resources, many of such resources dedicated to Indigenous experiences are directed towards tribal communities rather than urban areas. (Hanson, 2023, p.17) When considering how most Indigenous persons live off-reservation and that many missing persons cases happen off tribal lands, this proves problematic.</w:t>
      </w:r>
    </w:p>
    <w:p w14:paraId="35365221" w14:textId="49EB9DA3" w:rsidR="003B6CD9" w:rsidRPr="003B6CD9" w:rsidRDefault="003B6CD9" w:rsidP="003B6CD9">
      <w:pPr>
        <w:ind w:firstLine="720"/>
      </w:pPr>
      <w:r w:rsidRPr="003B6CD9">
        <w:t>There are many resources to help law enforcement pursue MMIP cases such as the National Crime Information Center and the National Missing and Unidentified Persons System, but their gaps in available data fail to provide a comprehensive picture of the crisis. (Hanson, 2023, p.2) Therefore, this reminds us that many cases may go unreported and thus, not pursued.</w:t>
      </w:r>
    </w:p>
    <w:p w14:paraId="7FF98CC2" w14:textId="77777777" w:rsidR="003B6CD9" w:rsidRPr="003B6CD9" w:rsidRDefault="003B6CD9" w:rsidP="003B6CD9">
      <w:pPr>
        <w:ind w:firstLine="720"/>
      </w:pPr>
      <w:r w:rsidRPr="003B6CD9">
        <w:t>In recent years, the federal government has launched initiatives to improve federal, state, and tribal law enforcement coordination like the Operation Lady Justice Task Force and passed legislation to improve MMIP data collection like Savanna’s Act in 2020. (Hanson, 2023, pp.23-26) While this is a step in the right direction, one of the most crucial factors that inhibits justice is not the lack of data or law enforcement coordination. It is the contested legal jurisdiction over many MMIP cases.</w:t>
      </w:r>
    </w:p>
    <w:p w14:paraId="1EA3BD67" w14:textId="77777777" w:rsidR="003B6CD9" w:rsidRDefault="003B6CD9"/>
    <w:p w14:paraId="2282D699" w14:textId="49E469D5" w:rsidR="00094399" w:rsidRPr="00094399" w:rsidRDefault="00094399">
      <w:pPr>
        <w:rPr>
          <w:b/>
          <w:bCs/>
        </w:rPr>
      </w:pPr>
      <w:r w:rsidRPr="00094399">
        <w:rPr>
          <w:b/>
          <w:bCs/>
        </w:rPr>
        <w:t>The Extraction Triad</w:t>
      </w:r>
    </w:p>
    <w:p w14:paraId="2A44D1C6" w14:textId="52695381" w:rsidR="00094399" w:rsidRPr="00094399" w:rsidRDefault="00094399" w:rsidP="00094399">
      <w:pPr>
        <w:ind w:firstLine="720"/>
      </w:pPr>
      <w:r w:rsidRPr="00094399">
        <w:t xml:space="preserve">Man camps, which are housing sites to </w:t>
      </w:r>
      <w:proofErr w:type="spellStart"/>
      <w:r w:rsidRPr="00094399">
        <w:t>accomodate</w:t>
      </w:r>
      <w:proofErr w:type="spellEnd"/>
      <w:r w:rsidRPr="00094399">
        <w:t xml:space="preserve"> </w:t>
      </w:r>
      <w:proofErr w:type="gramStart"/>
      <w:r w:rsidRPr="00094399">
        <w:t>predominantly-male</w:t>
      </w:r>
      <w:proofErr w:type="gramEnd"/>
      <w:r w:rsidRPr="00094399">
        <w:t xml:space="preserve"> workers working in resource extraction, are documented "hotbeds of sexual violence." (Condes, 2021, p.517) This is a consequence of what I will define as a “triad” of extraction: resource extraction; labor extraction, the use of physical labor in rural area; and land extraction, the process of taking and allotting land originally of Indigenous communities.</w:t>
      </w:r>
    </w:p>
    <w:p w14:paraId="362007B5" w14:textId="396E582A" w:rsidR="00094399" w:rsidRPr="00094399" w:rsidRDefault="00094399" w:rsidP="00094399">
      <w:pPr>
        <w:ind w:firstLine="720"/>
      </w:pPr>
      <w:r w:rsidRPr="00094399">
        <w:t>Annita Lucchesi, a Southern Cheyenne woman working for the National Indigenous Women's Resource Council, recalled a statement from an oil worker: "in North Dakota you can take whatever pretty little Indian girl that you like and you can do whatever you want and police don’t give a fuck about it." (Condes, 2021, pp.530-531) This reflects how oftentimes, tribal police simply cannot prosecute crimes committed by non-Indigenous individuals.</w:t>
      </w:r>
    </w:p>
    <w:p w14:paraId="4140B74F" w14:textId="4BFA7E2D" w:rsidR="00094399" w:rsidRPr="00094399" w:rsidRDefault="00094399" w:rsidP="00094399">
      <w:pPr>
        <w:ind w:firstLine="720"/>
      </w:pPr>
      <w:r w:rsidRPr="00094399">
        <w:lastRenderedPageBreak/>
        <w:t xml:space="preserve">One reason for this is that communities near man camps rarely have enough resources to accommodate rapid population increases </w:t>
      </w:r>
      <w:proofErr w:type="gramStart"/>
      <w:r w:rsidRPr="00094399">
        <w:t>as a result of</w:t>
      </w:r>
      <w:proofErr w:type="gramEnd"/>
      <w:r w:rsidRPr="00094399">
        <w:t xml:space="preserve"> an oil boom, including tribal law enforcement: many have reported being unable to handle the increased crime </w:t>
      </w:r>
      <w:proofErr w:type="gramStart"/>
      <w:r w:rsidRPr="00094399">
        <w:t>as a result of</w:t>
      </w:r>
      <w:proofErr w:type="gramEnd"/>
      <w:r w:rsidRPr="00094399">
        <w:t xml:space="preserve"> man camps. (Condes, 2021, pp.529-530) The problem is multifaceted: both the inability to prosecute and the behavior of man camp laborers exacerbate the MMIP crisis.</w:t>
      </w:r>
    </w:p>
    <w:p w14:paraId="6AC53414" w14:textId="77777777" w:rsidR="00094399" w:rsidRPr="00094399" w:rsidRDefault="00094399" w:rsidP="00094399">
      <w:pPr>
        <w:ind w:firstLine="720"/>
      </w:pPr>
      <w:r w:rsidRPr="00094399">
        <w:t>Essentially, the root problem behind many of these MMIP cases is not the inability to find the perpetrator, but the inability to prosecute them. This inability to prosecute comes from a series of historical laws creating a legal jurisdictional “checkerboard”, which I will discuss in the next section.</w:t>
      </w:r>
    </w:p>
    <w:p w14:paraId="387A1115" w14:textId="77777777" w:rsidR="00A1091A" w:rsidRDefault="00A1091A"/>
    <w:p w14:paraId="45EFF59D" w14:textId="30550F5A" w:rsidR="00E47D6C" w:rsidRPr="00E47D6C" w:rsidRDefault="00E47D6C">
      <w:pPr>
        <w:rPr>
          <w:b/>
          <w:bCs/>
        </w:rPr>
      </w:pPr>
      <w:r w:rsidRPr="00E47D6C">
        <w:rPr>
          <w:b/>
          <w:bCs/>
        </w:rPr>
        <w:t>Checkerboard History</w:t>
      </w:r>
    </w:p>
    <w:p w14:paraId="10CB621D" w14:textId="0B6676F0" w:rsidR="00E47D6C" w:rsidRPr="00E47D6C" w:rsidRDefault="00E47D6C" w:rsidP="00E47D6C">
      <w:pPr>
        <w:ind w:firstLine="720"/>
      </w:pPr>
      <w:r w:rsidRPr="00E47D6C">
        <w:t xml:space="preserve">Public Law 280 gave the states of California, Minnesota, Nebraska, Oregon, and Wisconsin jurisdiction over offenses committed by or against Indigenous peoples within tribal lands --- </w:t>
      </w:r>
      <w:proofErr w:type="gramStart"/>
      <w:r w:rsidRPr="00E47D6C">
        <w:t>with the exception of</w:t>
      </w:r>
      <w:proofErr w:type="gramEnd"/>
      <w:r w:rsidRPr="00E47D6C">
        <w:t xml:space="preserve"> Red Lake Reservation in Minnesota; Warm Springs Reservation in Oregon; and Menominee Reservation in Wisconsin. (Public Law 280, 2010, p.588) While it extends to only five states, this law, as mentioned earlier, significantly contributes towards the jurisdictional patchwork that complicates the pursuit of justice in MMIP cases.</w:t>
      </w:r>
    </w:p>
    <w:p w14:paraId="70BF6857" w14:textId="7DDC09BD" w:rsidR="00E47D6C" w:rsidRPr="00E47D6C" w:rsidRDefault="00E47D6C" w:rsidP="00E47D6C">
      <w:pPr>
        <w:ind w:firstLine="720"/>
      </w:pPr>
      <w:r w:rsidRPr="00E47D6C">
        <w:t xml:space="preserve">As a result of the Indian Civil Rights Act of 1968, tribal courts usually </w:t>
      </w:r>
      <w:proofErr w:type="spellStart"/>
      <w:r w:rsidRPr="00E47D6C">
        <w:t>can not</w:t>
      </w:r>
      <w:proofErr w:type="spellEnd"/>
      <w:r w:rsidRPr="00E47D6C">
        <w:t xml:space="preserve"> sentence a defendant to more than a 1-year prison term or a $5000 fine, or both, for each respective charge. (Indian Civil Rights Act, 2022, p.3) This is a significant roadblock in delivering justice, especially for heinous crimes like homicide and rape.</w:t>
      </w:r>
    </w:p>
    <w:p w14:paraId="3D9D943E" w14:textId="2470B095" w:rsidR="00E47D6C" w:rsidRPr="00E47D6C" w:rsidRDefault="00E47D6C" w:rsidP="00E47D6C">
      <w:pPr>
        <w:ind w:firstLine="720"/>
      </w:pPr>
      <w:r w:rsidRPr="00E47D6C">
        <w:t xml:space="preserve">However, tribal courts can impose greater penalties for defendants who had previously been convicted of a similar offense elsewhere in the United States or was currently being prosecuted for an offense that might entail imprisonment of more than 1 year; however, even so, sentences could not exceed 3 years or a $5000 fine, or both, for an offense. (Indian Civil Rights Act, 2022, p.3) </w:t>
      </w:r>
      <w:proofErr w:type="gramStart"/>
      <w:r w:rsidRPr="00E47D6C">
        <w:t>Yet,</w:t>
      </w:r>
      <w:proofErr w:type="gramEnd"/>
      <w:r w:rsidRPr="00E47D6C">
        <w:t xml:space="preserve"> these sentences are drastically disproportionate compared to how many crimes to similar degrees would be prosecuted in the rest of the United States.</w:t>
      </w:r>
    </w:p>
    <w:p w14:paraId="614CDD1F" w14:textId="77777777" w:rsidR="00E47D6C" w:rsidRDefault="00E47D6C" w:rsidP="00E47D6C">
      <w:pPr>
        <w:ind w:firstLine="720"/>
      </w:pPr>
      <w:r w:rsidRPr="00E47D6C">
        <w:t>Regardless of the number of offenses a defendant was being charged with, however, their cumulative sentences may not exceed a term for more than 9 years. (Indian Civil Rights Act, 2022, p.3) Not only does this limit tribal prosecutorial power, but it also makes it so that even if, after a difficult process, tribal courts do gain the jurisdiction to prosecute a defendant, the integrity of public safety and security becomes at risk. The cost is no longer just about jurisdiction. It is about community welfare.</w:t>
      </w:r>
    </w:p>
    <w:p w14:paraId="23125765" w14:textId="77777777" w:rsidR="003E7C1B" w:rsidRPr="00E47D6C" w:rsidRDefault="003E7C1B" w:rsidP="00E47D6C">
      <w:pPr>
        <w:ind w:firstLine="720"/>
      </w:pPr>
    </w:p>
    <w:p w14:paraId="3A88D910" w14:textId="34BF578F" w:rsidR="00E47D6C" w:rsidRDefault="003E7C1B">
      <w:pPr>
        <w:rPr>
          <w:b/>
          <w:bCs/>
        </w:rPr>
      </w:pPr>
      <w:r w:rsidRPr="003E7C1B">
        <w:rPr>
          <w:b/>
          <w:bCs/>
        </w:rPr>
        <w:t>Checkerboard History</w:t>
      </w:r>
    </w:p>
    <w:p w14:paraId="537FED44" w14:textId="653DD5F9" w:rsidR="003E7C1B" w:rsidRPr="003E7C1B" w:rsidRDefault="003E7C1B" w:rsidP="003E7C1B">
      <w:r>
        <w:rPr>
          <w:b/>
          <w:bCs/>
        </w:rPr>
        <w:tab/>
      </w:r>
      <w:r w:rsidRPr="003E7C1B">
        <w:t xml:space="preserve">Usually, local communities address local criminal justice issues through </w:t>
      </w:r>
      <w:proofErr w:type="gramStart"/>
      <w:r w:rsidRPr="003E7C1B">
        <w:t>locally-controlled</w:t>
      </w:r>
      <w:proofErr w:type="gramEnd"/>
      <w:r w:rsidRPr="003E7C1B">
        <w:t xml:space="preserve"> institutions while the Federal government merely enforces federal laws for criminal justice procedures. However, on tribal lands, the Federal and State governments operate the "vast majority" of criminal justice systems over local Tribal governments. (Indian Law &amp; Order Commission, 2015, p.1) This posits the risk of confusion and complications between law enforcement.</w:t>
      </w:r>
    </w:p>
    <w:p w14:paraId="34D0615D" w14:textId="2E89B5F9" w:rsidR="003E7C1B" w:rsidRPr="003E7C1B" w:rsidRDefault="003E7C1B" w:rsidP="003E7C1B">
      <w:pPr>
        <w:ind w:firstLine="720"/>
      </w:pPr>
      <w:r w:rsidRPr="003E7C1B">
        <w:t xml:space="preserve">This way, the jurisdiction, which changes based on whether the victim and suspect are Indigenous or not, risks human lives, wastes resources, and prolongs government inefficiency in "the crucial first hours of an investigation". (Indian Law &amp; Order Commission, 2015, p.9) In a serious crime like murder and sexual violence </w:t>
      </w:r>
      <w:proofErr w:type="gramStart"/>
      <w:r w:rsidRPr="003E7C1B">
        <w:t>were</w:t>
      </w:r>
      <w:proofErr w:type="gramEnd"/>
      <w:r w:rsidRPr="003E7C1B">
        <w:t xml:space="preserve"> time is critical, these jurisdictional hurdles only inhibit the pursuit of justice.</w:t>
      </w:r>
    </w:p>
    <w:p w14:paraId="39340294" w14:textId="77777777" w:rsidR="003E7C1B" w:rsidRPr="003E7C1B" w:rsidRDefault="003E7C1B" w:rsidP="003E7C1B">
      <w:pPr>
        <w:ind w:firstLine="720"/>
      </w:pPr>
      <w:r w:rsidRPr="003E7C1B">
        <w:t xml:space="preserve">Additionally, the jurisdictional patchwork </w:t>
      </w:r>
      <w:proofErr w:type="gramStart"/>
      <w:r w:rsidRPr="003E7C1B">
        <w:t>subjects</w:t>
      </w:r>
      <w:proofErr w:type="gramEnd"/>
      <w:r w:rsidRPr="003E7C1B">
        <w:t xml:space="preserve"> individuals living in some of the most impoverished and isolated communities in the country to confront highly complicated legal rules and procedures. (Testimony of Troy A. Eid, 2009, p.40) This compounding of challenges continues the cycle of injustice — socioeconomic and legal — faced by Indigenous communities.</w:t>
      </w:r>
    </w:p>
    <w:p w14:paraId="14081F9D" w14:textId="1B53C0C8" w:rsidR="003E7C1B" w:rsidRDefault="003E7C1B">
      <w:pPr>
        <w:rPr>
          <w:b/>
          <w:bCs/>
        </w:rPr>
      </w:pPr>
    </w:p>
    <w:p w14:paraId="548D1FA3" w14:textId="61BACD9C" w:rsidR="00F14F9C" w:rsidRDefault="00F14F9C">
      <w:pPr>
        <w:rPr>
          <w:b/>
          <w:bCs/>
        </w:rPr>
      </w:pPr>
      <w:r>
        <w:rPr>
          <w:b/>
          <w:bCs/>
        </w:rPr>
        <w:t>So What?</w:t>
      </w:r>
    </w:p>
    <w:p w14:paraId="765F7C9A" w14:textId="02BE15D5" w:rsidR="00F14F9C" w:rsidRPr="00F14F9C" w:rsidRDefault="00F14F9C" w:rsidP="00F14F9C">
      <w:r w:rsidRPr="00F14F9C">
        <w:tab/>
      </w:r>
      <w:r w:rsidRPr="00F14F9C">
        <w:t>The cost of the checkerboard is stark. In one case, the United States Attorney's Office ended up prosecuting the non-Indian driver for the death of the grandmother, while the Southern Ute Tribe had no criminal jurisdiction in a matter involving the death of its own tribal member inflicted by a non-Indigenous defendant. (Testimony of Troy A. Eid, 2009, p.41) The lack of representation only makes it more difficult for the impacted communities to seek the justice that they deserve.</w:t>
      </w:r>
    </w:p>
    <w:p w14:paraId="453448EE" w14:textId="6633F699" w:rsidR="00F14F9C" w:rsidRPr="00F14F9C" w:rsidRDefault="00F14F9C" w:rsidP="00F14F9C">
      <w:pPr>
        <w:ind w:firstLine="720"/>
      </w:pPr>
      <w:r w:rsidRPr="00F14F9C">
        <w:t>The checkerboard has allowed perpetrators to avoid responsibility: in one case reported by Amnesty International where two American Indian women were kidnapped, blindfolded, and raped by non-Indian men, the victims were unable to say whether their assaults occurred on federal, state, or tribal land---</w:t>
      </w:r>
      <w:proofErr w:type="spellStart"/>
      <w:r w:rsidRPr="00F14F9C">
        <w:t>propogating</w:t>
      </w:r>
      <w:proofErr w:type="spellEnd"/>
      <w:r w:rsidRPr="00F14F9C">
        <w:t xml:space="preserve"> concerns among prosecutors that they "might be unable to obtain justice." (Condes, 2021, p.536) The case shows that addressing the jurisdictional patchwork is not just about clarifying who has the authority to prosecute crimes. It is about protecting community welfare.</w:t>
      </w:r>
    </w:p>
    <w:p w14:paraId="01DEA2F0" w14:textId="77777777" w:rsidR="00F14F9C" w:rsidRPr="00F14F9C" w:rsidRDefault="00F14F9C" w:rsidP="00F14F9C">
      <w:pPr>
        <w:ind w:firstLine="720"/>
      </w:pPr>
      <w:r w:rsidRPr="00F14F9C">
        <w:lastRenderedPageBreak/>
        <w:t>According to the Indian Law &amp; Order Commission, the Indian Civil Rights Act "[erodes] Tribal community members' and outsiders' confidence in Tribal governments' ability to maintain law and order in Indian country" by giving a Native nation "little choice." If a tribal government wants a "more appropriate" sentence, it must "cede prosecution" to a Federal or State government; or, if the "too-short" Tribal sentence is the only option, public safety and victims' rights become affected. (Indian Law &amp; Order Commission, 2015, p.21) This ultimately limits a tribe’s representation in a case involving one of their own people.</w:t>
      </w:r>
    </w:p>
    <w:p w14:paraId="73FA0B71" w14:textId="551D87CF" w:rsidR="00F14F9C" w:rsidRDefault="00F14F9C"/>
    <w:p w14:paraId="211663B7" w14:textId="1294309A" w:rsidR="00420A4A" w:rsidRPr="00420A4A" w:rsidRDefault="00420A4A">
      <w:pPr>
        <w:rPr>
          <w:b/>
          <w:bCs/>
        </w:rPr>
      </w:pPr>
      <w:r w:rsidRPr="00420A4A">
        <w:rPr>
          <w:b/>
          <w:bCs/>
        </w:rPr>
        <w:t>Now What?</w:t>
      </w:r>
    </w:p>
    <w:p w14:paraId="1513D48A" w14:textId="019479A9" w:rsidR="00420A4A" w:rsidRDefault="00420A4A">
      <w:r>
        <w:tab/>
        <w:t>TBD</w:t>
      </w:r>
    </w:p>
    <w:p w14:paraId="3E998DE2" w14:textId="77777777" w:rsidR="00420A4A" w:rsidRDefault="00420A4A"/>
    <w:p w14:paraId="21A2D7B9" w14:textId="2BBD54B2" w:rsidR="00420A4A" w:rsidRPr="00420A4A" w:rsidRDefault="00420A4A">
      <w:pPr>
        <w:rPr>
          <w:b/>
          <w:bCs/>
        </w:rPr>
      </w:pPr>
      <w:r w:rsidRPr="00420A4A">
        <w:rPr>
          <w:b/>
          <w:bCs/>
        </w:rPr>
        <w:t>Bibliography</w:t>
      </w:r>
    </w:p>
    <w:p w14:paraId="1FFC94B2" w14:textId="5C98D939" w:rsidR="00420A4A" w:rsidRPr="00F14F9C" w:rsidRDefault="00420A4A">
      <w:r>
        <w:tab/>
        <w:t>TBD</w:t>
      </w:r>
    </w:p>
    <w:sectPr w:rsidR="00420A4A" w:rsidRPr="00F1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8D"/>
    <w:rsid w:val="00094399"/>
    <w:rsid w:val="000C494D"/>
    <w:rsid w:val="00283E8D"/>
    <w:rsid w:val="00320701"/>
    <w:rsid w:val="003B6CD9"/>
    <w:rsid w:val="003E7C1B"/>
    <w:rsid w:val="00420A4A"/>
    <w:rsid w:val="00700DD8"/>
    <w:rsid w:val="00A1091A"/>
    <w:rsid w:val="00E47D6C"/>
    <w:rsid w:val="00F14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F06C"/>
  <w15:chartTrackingRefBased/>
  <w15:docId w15:val="{3866D148-8394-47AD-86B3-7891D754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8D"/>
    <w:rPr>
      <w:rFonts w:eastAsiaTheme="majorEastAsia" w:cstheme="majorBidi"/>
      <w:color w:val="272727" w:themeColor="text1" w:themeTint="D8"/>
    </w:rPr>
  </w:style>
  <w:style w:type="paragraph" w:styleId="Title">
    <w:name w:val="Title"/>
    <w:basedOn w:val="Normal"/>
    <w:next w:val="Normal"/>
    <w:link w:val="TitleChar"/>
    <w:uiPriority w:val="10"/>
    <w:qFormat/>
    <w:rsid w:val="00283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8D"/>
    <w:pPr>
      <w:spacing w:before="160"/>
      <w:jc w:val="center"/>
    </w:pPr>
    <w:rPr>
      <w:i/>
      <w:iCs/>
      <w:color w:val="404040" w:themeColor="text1" w:themeTint="BF"/>
    </w:rPr>
  </w:style>
  <w:style w:type="character" w:customStyle="1" w:styleId="QuoteChar">
    <w:name w:val="Quote Char"/>
    <w:basedOn w:val="DefaultParagraphFont"/>
    <w:link w:val="Quote"/>
    <w:uiPriority w:val="29"/>
    <w:rsid w:val="00283E8D"/>
    <w:rPr>
      <w:i/>
      <w:iCs/>
      <w:color w:val="404040" w:themeColor="text1" w:themeTint="BF"/>
    </w:rPr>
  </w:style>
  <w:style w:type="paragraph" w:styleId="ListParagraph">
    <w:name w:val="List Paragraph"/>
    <w:basedOn w:val="Normal"/>
    <w:uiPriority w:val="34"/>
    <w:qFormat/>
    <w:rsid w:val="00283E8D"/>
    <w:pPr>
      <w:ind w:left="720"/>
      <w:contextualSpacing/>
    </w:pPr>
  </w:style>
  <w:style w:type="character" w:styleId="IntenseEmphasis">
    <w:name w:val="Intense Emphasis"/>
    <w:basedOn w:val="DefaultParagraphFont"/>
    <w:uiPriority w:val="21"/>
    <w:qFormat/>
    <w:rsid w:val="00283E8D"/>
    <w:rPr>
      <w:i/>
      <w:iCs/>
      <w:color w:val="0F4761" w:themeColor="accent1" w:themeShade="BF"/>
    </w:rPr>
  </w:style>
  <w:style w:type="paragraph" w:styleId="IntenseQuote">
    <w:name w:val="Intense Quote"/>
    <w:basedOn w:val="Normal"/>
    <w:next w:val="Normal"/>
    <w:link w:val="IntenseQuoteChar"/>
    <w:uiPriority w:val="30"/>
    <w:qFormat/>
    <w:rsid w:val="0028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8D"/>
    <w:rPr>
      <w:i/>
      <w:iCs/>
      <w:color w:val="0F4761" w:themeColor="accent1" w:themeShade="BF"/>
    </w:rPr>
  </w:style>
  <w:style w:type="character" w:styleId="IntenseReference">
    <w:name w:val="Intense Reference"/>
    <w:basedOn w:val="DefaultParagraphFont"/>
    <w:uiPriority w:val="32"/>
    <w:qFormat/>
    <w:rsid w:val="00283E8D"/>
    <w:rPr>
      <w:b/>
      <w:bCs/>
      <w:smallCaps/>
      <w:color w:val="0F4761" w:themeColor="accent1" w:themeShade="BF"/>
      <w:spacing w:val="5"/>
    </w:rPr>
  </w:style>
  <w:style w:type="paragraph" w:styleId="NormalWeb">
    <w:name w:val="Normal (Web)"/>
    <w:basedOn w:val="Normal"/>
    <w:uiPriority w:val="99"/>
    <w:semiHidden/>
    <w:unhideWhenUsed/>
    <w:rsid w:val="003E7C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wang</dc:creator>
  <cp:keywords/>
  <dc:description/>
  <cp:lastModifiedBy>justin wang</cp:lastModifiedBy>
  <cp:revision>8</cp:revision>
  <dcterms:created xsi:type="dcterms:W3CDTF">2026-08-30T01:45:00Z</dcterms:created>
  <dcterms:modified xsi:type="dcterms:W3CDTF">2026-08-30T01:52:00Z</dcterms:modified>
</cp:coreProperties>
</file>