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454A" w14:textId="77777777" w:rsidR="00202553" w:rsidRDefault="00202553" w:rsidP="000A1403">
      <w:pPr>
        <w:jc w:val="center"/>
        <w:rPr>
          <w:rFonts w:ascii="Times New Roman" w:hAnsi="Times New Roman" w:cs="Times New Roman"/>
          <w:b/>
          <w:sz w:val="40"/>
        </w:rPr>
      </w:pPr>
    </w:p>
    <w:p w14:paraId="7DD0F967" w14:textId="77777777" w:rsidR="00202553" w:rsidRDefault="00202553" w:rsidP="00202553">
      <w:pPr>
        <w:rPr>
          <w:rFonts w:ascii="Times New Roman" w:hAnsi="Times New Roman" w:cs="Times New Roman"/>
          <w:b/>
          <w:sz w:val="40"/>
        </w:rPr>
      </w:pPr>
    </w:p>
    <w:p w14:paraId="54FCD63C" w14:textId="77777777" w:rsidR="00202553" w:rsidRPr="00202553" w:rsidRDefault="00202553" w:rsidP="000A1403">
      <w:pPr>
        <w:jc w:val="center"/>
        <w:rPr>
          <w:rFonts w:ascii="Times New Roman" w:hAnsi="Times New Roman" w:cs="Times New Roman"/>
          <w:sz w:val="40"/>
        </w:rPr>
      </w:pPr>
    </w:p>
    <w:p w14:paraId="02B39258" w14:textId="77777777" w:rsidR="000A1403" w:rsidRPr="00202553" w:rsidRDefault="000A1403" w:rsidP="000A1403">
      <w:pPr>
        <w:jc w:val="center"/>
        <w:rPr>
          <w:rFonts w:ascii="Times New Roman" w:hAnsi="Times New Roman" w:cs="Times New Roman"/>
          <w:sz w:val="40"/>
        </w:rPr>
      </w:pPr>
      <w:bookmarkStart w:id="0" w:name="_GoBack"/>
      <w:r w:rsidRPr="00202553">
        <w:rPr>
          <w:rFonts w:ascii="Times New Roman" w:hAnsi="Times New Roman" w:cs="Times New Roman"/>
          <w:sz w:val="40"/>
        </w:rPr>
        <w:t>The Impact of the Low-Income Housing Tax Credit on Local Eviction Rates</w:t>
      </w:r>
    </w:p>
    <w:bookmarkEnd w:id="0"/>
    <w:p w14:paraId="3E01E594" w14:textId="77777777" w:rsidR="00202553" w:rsidRDefault="00202553" w:rsidP="00202553">
      <w:pPr>
        <w:spacing w:after="0"/>
        <w:jc w:val="center"/>
        <w:rPr>
          <w:rFonts w:ascii="Times New Roman" w:hAnsi="Times New Roman" w:cs="Times New Roman"/>
          <w:sz w:val="24"/>
        </w:rPr>
      </w:pPr>
      <w:r>
        <w:rPr>
          <w:rFonts w:ascii="Times New Roman" w:hAnsi="Times New Roman" w:cs="Times New Roman"/>
          <w:sz w:val="24"/>
        </w:rPr>
        <w:t>Joshua B. Lee</w:t>
      </w:r>
    </w:p>
    <w:p w14:paraId="69D12DAA" w14:textId="77777777" w:rsidR="00202553" w:rsidRDefault="00202553" w:rsidP="00202553">
      <w:pPr>
        <w:spacing w:after="0"/>
        <w:jc w:val="center"/>
        <w:rPr>
          <w:rFonts w:ascii="Times New Roman" w:hAnsi="Times New Roman" w:cs="Times New Roman"/>
          <w:sz w:val="24"/>
        </w:rPr>
      </w:pPr>
      <w:r>
        <w:rPr>
          <w:rFonts w:ascii="Times New Roman" w:hAnsi="Times New Roman" w:cs="Times New Roman"/>
          <w:sz w:val="24"/>
        </w:rPr>
        <w:t>University of Virginia</w:t>
      </w:r>
    </w:p>
    <w:p w14:paraId="18D1CDDE" w14:textId="77777777" w:rsidR="00202553" w:rsidRPr="00202553" w:rsidRDefault="00202553" w:rsidP="00202553">
      <w:pPr>
        <w:spacing w:after="0"/>
        <w:jc w:val="center"/>
        <w:rPr>
          <w:rFonts w:ascii="Times New Roman" w:hAnsi="Times New Roman" w:cs="Times New Roman"/>
          <w:sz w:val="24"/>
        </w:rPr>
      </w:pPr>
      <w:r>
        <w:rPr>
          <w:rFonts w:ascii="Times New Roman" w:hAnsi="Times New Roman" w:cs="Times New Roman"/>
          <w:sz w:val="24"/>
        </w:rPr>
        <w:t>ECON 4880: Seminar in Public Policy</w:t>
      </w:r>
    </w:p>
    <w:p w14:paraId="43D381D5" w14:textId="77777777" w:rsidR="00202553" w:rsidRDefault="00202553" w:rsidP="00202553">
      <w:pPr>
        <w:rPr>
          <w:rFonts w:ascii="Times New Roman" w:hAnsi="Times New Roman" w:cs="Times New Roman"/>
          <w:b/>
          <w:sz w:val="18"/>
        </w:rPr>
      </w:pPr>
    </w:p>
    <w:p w14:paraId="2428AD76" w14:textId="77777777" w:rsidR="00202553" w:rsidRDefault="00202553" w:rsidP="00202553">
      <w:pPr>
        <w:rPr>
          <w:rFonts w:ascii="Times New Roman" w:hAnsi="Times New Roman" w:cs="Times New Roman"/>
          <w:b/>
          <w:sz w:val="18"/>
        </w:rPr>
      </w:pPr>
    </w:p>
    <w:p w14:paraId="47933C9E" w14:textId="77777777" w:rsidR="00202553" w:rsidRPr="002A5CE6" w:rsidRDefault="00202553" w:rsidP="00202553">
      <w:pPr>
        <w:jc w:val="center"/>
        <w:rPr>
          <w:rFonts w:ascii="Times New Roman" w:hAnsi="Times New Roman" w:cs="Times New Roman"/>
          <w:b/>
          <w:sz w:val="24"/>
        </w:rPr>
      </w:pPr>
      <w:r w:rsidRPr="002A5CE6">
        <w:rPr>
          <w:rFonts w:ascii="Times New Roman" w:hAnsi="Times New Roman" w:cs="Times New Roman"/>
          <w:b/>
          <w:sz w:val="24"/>
        </w:rPr>
        <w:t>Abstract</w:t>
      </w:r>
    </w:p>
    <w:p w14:paraId="76894E70" w14:textId="77777777" w:rsidR="00202553" w:rsidRPr="00EE780B" w:rsidRDefault="00EE780B" w:rsidP="002A5CE6">
      <w:pPr>
        <w:jc w:val="both"/>
        <w:rPr>
          <w:rFonts w:ascii="Times New Roman" w:hAnsi="Times New Roman" w:cs="Times New Roman"/>
          <w:sz w:val="18"/>
        </w:rPr>
      </w:pPr>
      <w:r w:rsidRPr="002A5CE6">
        <w:rPr>
          <w:rFonts w:ascii="Times New Roman" w:hAnsi="Times New Roman" w:cs="Times New Roman"/>
          <w:sz w:val="24"/>
        </w:rPr>
        <w:t>The low-income housing tax credit (LIHTC) program has produced and rehabilitated approximately 3 million rental units for low-income households since it was passed in 1986. It has become the largest and fastest growing federal housing assistance program in the United States. This paper estimates the impact of low-income housing developments on local eviction rates in Virginia from 2000 to 2016. Using the panel structure of the data, a simple two-way fixed effects model is implemented. We find evidence to suggest the LIHTC projects do not significantly affect the eviction rates of any county or independent city.</w:t>
      </w:r>
      <w:r w:rsidR="000A1403" w:rsidRPr="00EE780B">
        <w:rPr>
          <w:rFonts w:ascii="Times New Roman" w:hAnsi="Times New Roman" w:cs="Times New Roman"/>
          <w:sz w:val="18"/>
        </w:rPr>
        <w:br w:type="page"/>
      </w:r>
    </w:p>
    <w:p w14:paraId="0C93251D" w14:textId="77777777" w:rsidR="007D59B1" w:rsidRPr="00532CA1" w:rsidRDefault="00532CA1" w:rsidP="00532CA1">
      <w:pPr>
        <w:spacing w:line="360" w:lineRule="auto"/>
        <w:rPr>
          <w:rFonts w:ascii="Times New Roman" w:hAnsi="Times New Roman" w:cs="Times New Roman"/>
          <w:b/>
          <w:sz w:val="24"/>
        </w:rPr>
      </w:pPr>
      <w:r w:rsidRPr="00532CA1">
        <w:rPr>
          <w:rFonts w:ascii="Times New Roman" w:hAnsi="Times New Roman" w:cs="Times New Roman"/>
          <w:b/>
          <w:sz w:val="24"/>
        </w:rPr>
        <w:lastRenderedPageBreak/>
        <w:t xml:space="preserve">1. </w:t>
      </w:r>
      <w:r w:rsidR="007D59B1" w:rsidRPr="00532CA1">
        <w:rPr>
          <w:rFonts w:ascii="Times New Roman" w:hAnsi="Times New Roman" w:cs="Times New Roman"/>
          <w:b/>
          <w:sz w:val="24"/>
        </w:rPr>
        <w:t>Introduction</w:t>
      </w:r>
    </w:p>
    <w:p w14:paraId="040377EB" w14:textId="77777777" w:rsidR="007D59B1" w:rsidRPr="00532CA1" w:rsidRDefault="00D72F2A" w:rsidP="00532CA1">
      <w:pPr>
        <w:spacing w:line="360" w:lineRule="auto"/>
        <w:ind w:firstLine="720"/>
        <w:rPr>
          <w:rFonts w:ascii="Times New Roman" w:hAnsi="Times New Roman" w:cs="Times New Roman"/>
          <w:sz w:val="24"/>
        </w:rPr>
      </w:pPr>
      <w:r w:rsidRPr="00532CA1">
        <w:rPr>
          <w:rFonts w:ascii="Times New Roman" w:hAnsi="Times New Roman" w:cs="Times New Roman"/>
          <w:sz w:val="24"/>
        </w:rPr>
        <w:t xml:space="preserve">Low-income housing assistance is </w:t>
      </w:r>
      <w:r w:rsidR="0091284C" w:rsidRPr="00532CA1">
        <w:rPr>
          <w:rFonts w:ascii="Times New Roman" w:hAnsi="Times New Roman" w:cs="Times New Roman"/>
          <w:sz w:val="24"/>
        </w:rPr>
        <w:t>a core part of</w:t>
      </w:r>
      <w:r w:rsidRPr="00532CA1">
        <w:rPr>
          <w:rFonts w:ascii="Times New Roman" w:hAnsi="Times New Roman" w:cs="Times New Roman"/>
          <w:sz w:val="24"/>
        </w:rPr>
        <w:t xml:space="preserve"> United States welfare policy. Poverty and homelessness represent only several of the outcomes that </w:t>
      </w:r>
      <w:r w:rsidR="0091284C" w:rsidRPr="00532CA1">
        <w:rPr>
          <w:rFonts w:ascii="Times New Roman" w:hAnsi="Times New Roman" w:cs="Times New Roman"/>
          <w:sz w:val="24"/>
        </w:rPr>
        <w:t>U.S.</w:t>
      </w:r>
      <w:r w:rsidRPr="00532CA1">
        <w:rPr>
          <w:rFonts w:ascii="Times New Roman" w:hAnsi="Times New Roman" w:cs="Times New Roman"/>
          <w:sz w:val="24"/>
        </w:rPr>
        <w:t xml:space="preserve"> low-income housing assistance attempts to alleviate and end. </w:t>
      </w:r>
      <w:r w:rsidR="007D59B1" w:rsidRPr="00532CA1">
        <w:rPr>
          <w:rFonts w:ascii="Times New Roman" w:hAnsi="Times New Roman" w:cs="Times New Roman"/>
          <w:sz w:val="24"/>
        </w:rPr>
        <w:t>However, many housing assistance programs are often under scrutiny for efficiency, cost, and political reasons.</w:t>
      </w:r>
      <w:r w:rsidR="00A94B8E" w:rsidRPr="00532CA1">
        <w:rPr>
          <w:rFonts w:ascii="Times New Roman" w:hAnsi="Times New Roman" w:cs="Times New Roman"/>
          <w:sz w:val="24"/>
        </w:rPr>
        <w:t xml:space="preserve"> </w:t>
      </w:r>
    </w:p>
    <w:p w14:paraId="141C368F" w14:textId="77777777" w:rsidR="00782B55" w:rsidRPr="00532CA1" w:rsidRDefault="008A1BDE" w:rsidP="00532CA1">
      <w:pPr>
        <w:spacing w:line="360" w:lineRule="auto"/>
        <w:ind w:firstLine="720"/>
        <w:rPr>
          <w:rFonts w:ascii="Times New Roman" w:hAnsi="Times New Roman" w:cs="Times New Roman"/>
          <w:sz w:val="24"/>
        </w:rPr>
      </w:pPr>
      <w:r w:rsidRPr="00532CA1">
        <w:rPr>
          <w:rFonts w:ascii="Times New Roman" w:hAnsi="Times New Roman" w:cs="Times New Roman"/>
          <w:sz w:val="24"/>
        </w:rPr>
        <w:t>Based on Point-in-Time (PIT) counts in January 2018, approximately 500,000 individuals experienced homelessness in the United States on a single night.</w:t>
      </w:r>
      <w:r w:rsidRPr="00532CA1">
        <w:rPr>
          <w:rStyle w:val="FootnoteReference"/>
          <w:rFonts w:ascii="Times New Roman" w:hAnsi="Times New Roman" w:cs="Times New Roman"/>
          <w:sz w:val="24"/>
        </w:rPr>
        <w:footnoteReference w:id="1"/>
      </w:r>
      <w:r w:rsidRPr="00532CA1">
        <w:rPr>
          <w:rFonts w:ascii="Times New Roman" w:hAnsi="Times New Roman" w:cs="Times New Roman"/>
          <w:sz w:val="24"/>
        </w:rPr>
        <w:t xml:space="preserve"> From 2000 to 2017, median sales prices of houses sold in the United States grew 104.4% while income only grew by 46.2% in comparison to an inflation rate of 42.35%.</w:t>
      </w:r>
      <w:r w:rsidRPr="00532CA1">
        <w:rPr>
          <w:rStyle w:val="FootnoteReference"/>
          <w:rFonts w:ascii="Times New Roman" w:hAnsi="Times New Roman" w:cs="Times New Roman"/>
          <w:sz w:val="24"/>
        </w:rPr>
        <w:footnoteReference w:id="2"/>
      </w:r>
      <w:r w:rsidRPr="00532CA1">
        <w:rPr>
          <w:rFonts w:ascii="Times New Roman" w:hAnsi="Times New Roman" w:cs="Times New Roman"/>
          <w:sz w:val="24"/>
        </w:rPr>
        <w:t xml:space="preserve"> </w:t>
      </w:r>
      <w:r w:rsidR="00D402BF" w:rsidRPr="00532CA1">
        <w:rPr>
          <w:rFonts w:ascii="Times New Roman" w:hAnsi="Times New Roman" w:cs="Times New Roman"/>
          <w:sz w:val="24"/>
        </w:rPr>
        <w:t>With housing costs increasing faster than incomes, moderate to low income households face more difficulty finding quality housing.</w:t>
      </w:r>
      <w:r w:rsidR="00A94B8E" w:rsidRPr="00532CA1">
        <w:rPr>
          <w:rFonts w:ascii="Times New Roman" w:hAnsi="Times New Roman" w:cs="Times New Roman"/>
          <w:sz w:val="24"/>
        </w:rPr>
        <w:t xml:space="preserve"> </w:t>
      </w:r>
      <w:r w:rsidR="002E52D6" w:rsidRPr="00532CA1">
        <w:rPr>
          <w:rFonts w:ascii="Times New Roman" w:hAnsi="Times New Roman" w:cs="Times New Roman"/>
          <w:sz w:val="24"/>
        </w:rPr>
        <w:t xml:space="preserve">Housing </w:t>
      </w:r>
      <w:r w:rsidR="00A94B8E" w:rsidRPr="00532CA1">
        <w:rPr>
          <w:rFonts w:ascii="Times New Roman" w:hAnsi="Times New Roman" w:cs="Times New Roman"/>
          <w:sz w:val="24"/>
        </w:rPr>
        <w:t xml:space="preserve">instability has </w:t>
      </w:r>
      <w:r w:rsidRPr="00532CA1">
        <w:rPr>
          <w:rFonts w:ascii="Times New Roman" w:hAnsi="Times New Roman" w:cs="Times New Roman"/>
          <w:sz w:val="24"/>
        </w:rPr>
        <w:t xml:space="preserve">steadily </w:t>
      </w:r>
      <w:r w:rsidR="00D72F2A" w:rsidRPr="00532CA1">
        <w:rPr>
          <w:rFonts w:ascii="Times New Roman" w:hAnsi="Times New Roman" w:cs="Times New Roman"/>
          <w:sz w:val="24"/>
        </w:rPr>
        <w:t>increased</w:t>
      </w:r>
      <w:r w:rsidR="00012F6E" w:rsidRPr="00532CA1">
        <w:rPr>
          <w:rFonts w:ascii="Times New Roman" w:hAnsi="Times New Roman" w:cs="Times New Roman"/>
          <w:sz w:val="24"/>
        </w:rPr>
        <w:t xml:space="preserve"> in the last 20 years</w:t>
      </w:r>
      <w:r w:rsidR="00782B55" w:rsidRPr="00532CA1">
        <w:rPr>
          <w:rFonts w:ascii="Times New Roman" w:hAnsi="Times New Roman" w:cs="Times New Roman"/>
          <w:sz w:val="24"/>
        </w:rPr>
        <w:t>,</w:t>
      </w:r>
      <w:r w:rsidR="00D72F2A" w:rsidRPr="00532CA1">
        <w:rPr>
          <w:rFonts w:ascii="Times New Roman" w:hAnsi="Times New Roman" w:cs="Times New Roman"/>
          <w:sz w:val="24"/>
        </w:rPr>
        <w:t xml:space="preserve"> </w:t>
      </w:r>
      <w:r w:rsidR="00782B55" w:rsidRPr="00532CA1">
        <w:rPr>
          <w:rFonts w:ascii="Times New Roman" w:hAnsi="Times New Roman" w:cs="Times New Roman"/>
          <w:sz w:val="24"/>
        </w:rPr>
        <w:t xml:space="preserve">with </w:t>
      </w:r>
      <w:r w:rsidR="00D72F2A" w:rsidRPr="00532CA1">
        <w:rPr>
          <w:rFonts w:ascii="Times New Roman" w:hAnsi="Times New Roman" w:cs="Times New Roman"/>
          <w:sz w:val="24"/>
        </w:rPr>
        <w:t>significant</w:t>
      </w:r>
      <w:r w:rsidR="00782B55" w:rsidRPr="00532CA1">
        <w:rPr>
          <w:rFonts w:ascii="Times New Roman" w:hAnsi="Times New Roman" w:cs="Times New Roman"/>
          <w:sz w:val="24"/>
        </w:rPr>
        <w:t xml:space="preserve"> increases</w:t>
      </w:r>
      <w:r w:rsidR="00D72F2A" w:rsidRPr="00532CA1">
        <w:rPr>
          <w:rFonts w:ascii="Times New Roman" w:hAnsi="Times New Roman" w:cs="Times New Roman"/>
          <w:sz w:val="24"/>
        </w:rPr>
        <w:t xml:space="preserve"> after the 2008 recession.</w:t>
      </w:r>
    </w:p>
    <w:p w14:paraId="24451F39" w14:textId="77777777" w:rsidR="007F6586" w:rsidRPr="00532CA1" w:rsidRDefault="00D402BF" w:rsidP="00532CA1">
      <w:pPr>
        <w:spacing w:line="360" w:lineRule="auto"/>
        <w:ind w:firstLine="720"/>
        <w:rPr>
          <w:rFonts w:ascii="Times New Roman" w:hAnsi="Times New Roman" w:cs="Times New Roman"/>
          <w:sz w:val="24"/>
        </w:rPr>
      </w:pPr>
      <w:r w:rsidRPr="00532CA1">
        <w:rPr>
          <w:rFonts w:ascii="Times New Roman" w:hAnsi="Times New Roman" w:cs="Times New Roman"/>
          <w:sz w:val="24"/>
        </w:rPr>
        <w:t xml:space="preserve">Since the 1980s demand for rental properties has increased, but the supply of affordable and available housing has not kept up. </w:t>
      </w:r>
      <w:r w:rsidR="00A74214" w:rsidRPr="00532CA1">
        <w:rPr>
          <w:rFonts w:ascii="Times New Roman" w:hAnsi="Times New Roman" w:cs="Times New Roman"/>
          <w:sz w:val="24"/>
        </w:rPr>
        <w:t>In 2019, the U.S. only had 37 affordable and available</w:t>
      </w:r>
      <w:r w:rsidR="00506EB9" w:rsidRPr="00532CA1">
        <w:rPr>
          <w:rFonts w:ascii="Times New Roman" w:hAnsi="Times New Roman" w:cs="Times New Roman"/>
          <w:sz w:val="24"/>
        </w:rPr>
        <w:t xml:space="preserve"> rental units</w:t>
      </w:r>
      <w:r w:rsidR="00A74214" w:rsidRPr="00532CA1">
        <w:rPr>
          <w:rFonts w:ascii="Times New Roman" w:hAnsi="Times New Roman" w:cs="Times New Roman"/>
          <w:sz w:val="24"/>
        </w:rPr>
        <w:t xml:space="preserve"> for every 100 extremely </w:t>
      </w:r>
      <w:r w:rsidR="007D0988" w:rsidRPr="00532CA1">
        <w:rPr>
          <w:rFonts w:ascii="Times New Roman" w:hAnsi="Times New Roman" w:cs="Times New Roman"/>
          <w:sz w:val="24"/>
        </w:rPr>
        <w:t>low-income</w:t>
      </w:r>
      <w:r w:rsidR="00A74214" w:rsidRPr="00532CA1">
        <w:rPr>
          <w:rFonts w:ascii="Times New Roman" w:hAnsi="Times New Roman" w:cs="Times New Roman"/>
          <w:sz w:val="24"/>
        </w:rPr>
        <w:t xml:space="preserve"> households. 71% of these extremely </w:t>
      </w:r>
      <w:r w:rsidR="007D0988" w:rsidRPr="00532CA1">
        <w:rPr>
          <w:rFonts w:ascii="Times New Roman" w:hAnsi="Times New Roman" w:cs="Times New Roman"/>
          <w:sz w:val="24"/>
        </w:rPr>
        <w:t>low-income</w:t>
      </w:r>
      <w:r w:rsidR="00A74214" w:rsidRPr="00532CA1">
        <w:rPr>
          <w:rFonts w:ascii="Times New Roman" w:hAnsi="Times New Roman" w:cs="Times New Roman"/>
          <w:sz w:val="24"/>
        </w:rPr>
        <w:t xml:space="preserve"> households spen</w:t>
      </w:r>
      <w:r w:rsidR="00506EB9" w:rsidRPr="00532CA1">
        <w:rPr>
          <w:rFonts w:ascii="Times New Roman" w:hAnsi="Times New Roman" w:cs="Times New Roman"/>
          <w:sz w:val="24"/>
        </w:rPr>
        <w:t>t</w:t>
      </w:r>
      <w:r w:rsidR="00A74214" w:rsidRPr="00532CA1">
        <w:rPr>
          <w:rFonts w:ascii="Times New Roman" w:hAnsi="Times New Roman" w:cs="Times New Roman"/>
          <w:sz w:val="24"/>
        </w:rPr>
        <w:t xml:space="preserve"> more than half of their incomes on rent and utilities</w:t>
      </w:r>
      <w:r w:rsidRPr="00532CA1">
        <w:rPr>
          <w:rFonts w:ascii="Times New Roman" w:hAnsi="Times New Roman" w:cs="Times New Roman"/>
          <w:sz w:val="24"/>
        </w:rPr>
        <w:t xml:space="preserve"> alone</w:t>
      </w:r>
      <w:r w:rsidR="00A74214" w:rsidRPr="00532CA1">
        <w:rPr>
          <w:rFonts w:ascii="Times New Roman" w:hAnsi="Times New Roman" w:cs="Times New Roman"/>
          <w:sz w:val="24"/>
        </w:rPr>
        <w:t>.</w:t>
      </w:r>
      <w:r w:rsidR="007D0988" w:rsidRPr="00532CA1">
        <w:rPr>
          <w:rStyle w:val="FootnoteReference"/>
          <w:rFonts w:ascii="Times New Roman" w:hAnsi="Times New Roman" w:cs="Times New Roman"/>
          <w:sz w:val="24"/>
        </w:rPr>
        <w:footnoteReference w:id="3"/>
      </w:r>
      <w:r w:rsidR="00C51C8A" w:rsidRPr="00532CA1">
        <w:rPr>
          <w:rFonts w:ascii="Times New Roman" w:hAnsi="Times New Roman" w:cs="Times New Roman"/>
          <w:sz w:val="24"/>
        </w:rPr>
        <w:t xml:space="preserve"> </w:t>
      </w:r>
      <w:r w:rsidR="002E52D6" w:rsidRPr="00532CA1">
        <w:rPr>
          <w:rFonts w:ascii="Times New Roman" w:hAnsi="Times New Roman" w:cs="Times New Roman"/>
          <w:sz w:val="24"/>
        </w:rPr>
        <w:t xml:space="preserve">In context the recommended maximum share of income to be spent on rent and utilities is 30 percent. Spending more than 30 percent of pretax income on renting is defined as being “rent-burdened.” This gap of affordable housing has forced many households to become rent burdened by moving into unaffordable housing. Low-income households face housing instability primarily because of a lack of income or unaffordable high cost of housing. The average duration of rent burden has increased to 3 years.  During that period any larger than anticipated increases in rent or a sudden change or loss in income could lead to an eviction and the loss of a home. </w:t>
      </w:r>
      <w:r w:rsidR="00D72F2A" w:rsidRPr="00532CA1">
        <w:rPr>
          <w:rFonts w:ascii="Times New Roman" w:hAnsi="Times New Roman" w:cs="Times New Roman"/>
          <w:sz w:val="24"/>
        </w:rPr>
        <w:t xml:space="preserve">There is a need for not only more cost-effective programs, but also programs that will </w:t>
      </w:r>
      <w:r w:rsidR="001616CB" w:rsidRPr="00532CA1">
        <w:rPr>
          <w:rFonts w:ascii="Times New Roman" w:hAnsi="Times New Roman" w:cs="Times New Roman"/>
          <w:sz w:val="24"/>
        </w:rPr>
        <w:t xml:space="preserve">simply </w:t>
      </w:r>
      <w:r w:rsidR="00D72F2A" w:rsidRPr="00532CA1">
        <w:rPr>
          <w:rFonts w:ascii="Times New Roman" w:hAnsi="Times New Roman" w:cs="Times New Roman"/>
          <w:sz w:val="24"/>
        </w:rPr>
        <w:t>provide additional housing to many of the poorest of people</w:t>
      </w:r>
      <w:r w:rsidR="00B75CFB" w:rsidRPr="00532CA1">
        <w:rPr>
          <w:rFonts w:ascii="Times New Roman" w:hAnsi="Times New Roman" w:cs="Times New Roman"/>
          <w:sz w:val="24"/>
        </w:rPr>
        <w:t xml:space="preserve"> currently without it</w:t>
      </w:r>
      <w:r w:rsidR="00D72F2A" w:rsidRPr="00532CA1">
        <w:rPr>
          <w:rFonts w:ascii="Times New Roman" w:hAnsi="Times New Roman" w:cs="Times New Roman"/>
          <w:sz w:val="24"/>
        </w:rPr>
        <w:t xml:space="preserve">. </w:t>
      </w:r>
    </w:p>
    <w:p w14:paraId="3C6CB6A5" w14:textId="77777777" w:rsidR="00EF3267" w:rsidRPr="00532CA1" w:rsidRDefault="003C7F92" w:rsidP="00532CA1">
      <w:pPr>
        <w:spacing w:line="360" w:lineRule="auto"/>
        <w:ind w:firstLine="720"/>
        <w:rPr>
          <w:rFonts w:ascii="Times New Roman" w:hAnsi="Times New Roman" w:cs="Times New Roman"/>
          <w:sz w:val="24"/>
        </w:rPr>
      </w:pPr>
      <w:r w:rsidRPr="00532CA1">
        <w:rPr>
          <w:rFonts w:ascii="Times New Roman" w:hAnsi="Times New Roman" w:cs="Times New Roman"/>
          <w:sz w:val="24"/>
        </w:rPr>
        <w:lastRenderedPageBreak/>
        <w:t xml:space="preserve">The number of evictions has increased since 2000. </w:t>
      </w:r>
      <w:r w:rsidR="00EF3267" w:rsidRPr="00532CA1">
        <w:rPr>
          <w:rFonts w:ascii="Times New Roman" w:hAnsi="Times New Roman" w:cs="Times New Roman"/>
          <w:sz w:val="24"/>
        </w:rPr>
        <w:t xml:space="preserve">Nearby LIHTC units could influence the number of eviction filings and evictions. One direct mechanism is that by increasing the affordable housing stock, more low-income households can pay rents less than 30% of their income. If the family, a cost-burdened household, dedicated over 50 percent of their income towards rent and utilities, the likelihood they would miss a rent payment and be evicted is high. All else constant, the probability of missing rent payments decreases if the cost of housing decreases. Without missing rent payments, landlords and property owners evict less and less tenants. </w:t>
      </w:r>
      <w:r w:rsidRPr="00532CA1">
        <w:rPr>
          <w:rFonts w:ascii="Times New Roman" w:hAnsi="Times New Roman" w:cs="Times New Roman"/>
          <w:sz w:val="24"/>
        </w:rPr>
        <w:t xml:space="preserve">Landlords receive the rent they are due and tenants get to live at a rental unit without facing a high potential of eviction over their heads. </w:t>
      </w:r>
    </w:p>
    <w:p w14:paraId="31A79B27" w14:textId="77777777" w:rsidR="00113E04" w:rsidRPr="00532CA1" w:rsidRDefault="001616CB" w:rsidP="00532CA1">
      <w:pPr>
        <w:spacing w:line="360" w:lineRule="auto"/>
        <w:ind w:firstLine="720"/>
        <w:rPr>
          <w:rFonts w:ascii="Times New Roman" w:hAnsi="Times New Roman" w:cs="Times New Roman"/>
          <w:sz w:val="24"/>
        </w:rPr>
      </w:pPr>
      <w:r w:rsidRPr="00532CA1">
        <w:rPr>
          <w:rFonts w:ascii="Times New Roman" w:hAnsi="Times New Roman" w:cs="Times New Roman"/>
          <w:sz w:val="24"/>
        </w:rPr>
        <w:t>Th</w:t>
      </w:r>
      <w:r w:rsidR="007F6586" w:rsidRPr="00532CA1">
        <w:rPr>
          <w:rFonts w:ascii="Times New Roman" w:hAnsi="Times New Roman" w:cs="Times New Roman"/>
          <w:sz w:val="24"/>
        </w:rPr>
        <w:t xml:space="preserve">e purpose of this </w:t>
      </w:r>
      <w:r w:rsidRPr="00532CA1">
        <w:rPr>
          <w:rFonts w:ascii="Times New Roman" w:hAnsi="Times New Roman" w:cs="Times New Roman"/>
          <w:sz w:val="24"/>
        </w:rPr>
        <w:t xml:space="preserve">paper </w:t>
      </w:r>
      <w:r w:rsidR="007F6586" w:rsidRPr="00532CA1">
        <w:rPr>
          <w:rFonts w:ascii="Times New Roman" w:hAnsi="Times New Roman" w:cs="Times New Roman"/>
          <w:sz w:val="24"/>
        </w:rPr>
        <w:t>is to examine</w:t>
      </w:r>
      <w:r w:rsidRPr="00532CA1">
        <w:rPr>
          <w:rFonts w:ascii="Times New Roman" w:hAnsi="Times New Roman" w:cs="Times New Roman"/>
          <w:sz w:val="24"/>
        </w:rPr>
        <w:t xml:space="preserve"> the effects of low-income housing developments subsidized by the Low-Income Housing Tax Credit on local evictions in the United States. </w:t>
      </w:r>
      <w:r w:rsidR="007F6586" w:rsidRPr="00532CA1">
        <w:rPr>
          <w:rFonts w:ascii="Times New Roman" w:hAnsi="Times New Roman" w:cs="Times New Roman"/>
          <w:sz w:val="24"/>
        </w:rPr>
        <w:t xml:space="preserve">We combine two data sources to create a panel dataset of 133 counties and independent cities in the state of Virginia by spatially merging 959 different LIHTC projects to these different localities. The variation between the number of low-income housing units </w:t>
      </w:r>
      <w:r w:rsidR="00113E04" w:rsidRPr="00532CA1">
        <w:rPr>
          <w:rFonts w:ascii="Times New Roman" w:hAnsi="Times New Roman" w:cs="Times New Roman"/>
          <w:sz w:val="24"/>
        </w:rPr>
        <w:t>in each locale to estimate the relationship evictions and LIHTC rental units each year. We do not find</w:t>
      </w:r>
      <w:r w:rsidR="002A5CE6" w:rsidRPr="00532CA1">
        <w:rPr>
          <w:rFonts w:ascii="Times New Roman" w:hAnsi="Times New Roman" w:cs="Times New Roman"/>
          <w:sz w:val="24"/>
        </w:rPr>
        <w:t xml:space="preserve"> results that suggest that the </w:t>
      </w:r>
      <w:proofErr w:type="gramStart"/>
      <w:r w:rsidR="002A5CE6" w:rsidRPr="00532CA1">
        <w:rPr>
          <w:rFonts w:ascii="Times New Roman" w:hAnsi="Times New Roman" w:cs="Times New Roman"/>
          <w:sz w:val="24"/>
        </w:rPr>
        <w:t>Low Income</w:t>
      </w:r>
      <w:proofErr w:type="gramEnd"/>
      <w:r w:rsidR="002A5CE6" w:rsidRPr="00532CA1">
        <w:rPr>
          <w:rFonts w:ascii="Times New Roman" w:hAnsi="Times New Roman" w:cs="Times New Roman"/>
          <w:sz w:val="24"/>
        </w:rPr>
        <w:t xml:space="preserve"> Housing Tax Credit Project decrease </w:t>
      </w:r>
      <w:r w:rsidR="00532CA1" w:rsidRPr="00532CA1">
        <w:rPr>
          <w:rFonts w:ascii="Times New Roman" w:hAnsi="Times New Roman" w:cs="Times New Roman"/>
          <w:sz w:val="24"/>
        </w:rPr>
        <w:t>the number of evictions in any locality.</w:t>
      </w:r>
    </w:p>
    <w:p w14:paraId="05F7FE63" w14:textId="77777777" w:rsidR="00972315" w:rsidRPr="00532CA1" w:rsidRDefault="001616CB" w:rsidP="00532CA1">
      <w:pPr>
        <w:spacing w:line="360" w:lineRule="auto"/>
        <w:ind w:firstLine="720"/>
        <w:rPr>
          <w:rFonts w:ascii="Times New Roman" w:hAnsi="Times New Roman" w:cs="Times New Roman"/>
          <w:sz w:val="24"/>
        </w:rPr>
      </w:pPr>
      <w:r w:rsidRPr="00532CA1">
        <w:rPr>
          <w:rFonts w:ascii="Times New Roman" w:hAnsi="Times New Roman" w:cs="Times New Roman"/>
          <w:sz w:val="24"/>
        </w:rPr>
        <w:t xml:space="preserve">The paper is organized in </w:t>
      </w:r>
      <w:r w:rsidR="00061707" w:rsidRPr="00532CA1">
        <w:rPr>
          <w:rFonts w:ascii="Times New Roman" w:hAnsi="Times New Roman" w:cs="Times New Roman"/>
          <w:sz w:val="24"/>
        </w:rPr>
        <w:t>5</w:t>
      </w:r>
      <w:r w:rsidRPr="00532CA1">
        <w:rPr>
          <w:rFonts w:ascii="Times New Roman" w:hAnsi="Times New Roman" w:cs="Times New Roman"/>
          <w:sz w:val="24"/>
        </w:rPr>
        <w:t xml:space="preserve"> additional sections. Section 2 describes a summary of economic literature on the effects of the LIHTC program and </w:t>
      </w:r>
      <w:r w:rsidR="00B75CFB" w:rsidRPr="00532CA1">
        <w:rPr>
          <w:rFonts w:ascii="Times New Roman" w:hAnsi="Times New Roman" w:cs="Times New Roman"/>
          <w:sz w:val="24"/>
        </w:rPr>
        <w:t xml:space="preserve">details </w:t>
      </w:r>
      <w:r w:rsidR="00061707" w:rsidRPr="00532CA1">
        <w:rPr>
          <w:rFonts w:ascii="Times New Roman" w:hAnsi="Times New Roman" w:cs="Times New Roman"/>
          <w:sz w:val="24"/>
        </w:rPr>
        <w:t xml:space="preserve">the recent increase in </w:t>
      </w:r>
      <w:r w:rsidR="00B75CFB" w:rsidRPr="00532CA1">
        <w:rPr>
          <w:rFonts w:ascii="Times New Roman" w:hAnsi="Times New Roman" w:cs="Times New Roman"/>
          <w:sz w:val="24"/>
        </w:rPr>
        <w:t xml:space="preserve">evictions. </w:t>
      </w:r>
      <w:r w:rsidR="00174F75" w:rsidRPr="00532CA1">
        <w:rPr>
          <w:rFonts w:ascii="Times New Roman" w:hAnsi="Times New Roman" w:cs="Times New Roman"/>
          <w:sz w:val="24"/>
        </w:rPr>
        <w:t>The second half of Section 2</w:t>
      </w:r>
      <w:r w:rsidRPr="00532CA1">
        <w:rPr>
          <w:rFonts w:ascii="Times New Roman" w:hAnsi="Times New Roman" w:cs="Times New Roman"/>
          <w:sz w:val="24"/>
        </w:rPr>
        <w:t xml:space="preserve"> </w:t>
      </w:r>
      <w:r w:rsidR="00174F75" w:rsidRPr="00532CA1">
        <w:rPr>
          <w:rFonts w:ascii="Times New Roman" w:hAnsi="Times New Roman" w:cs="Times New Roman"/>
          <w:sz w:val="24"/>
        </w:rPr>
        <w:t>provides a policy background on the</w:t>
      </w:r>
      <w:r w:rsidRPr="00532CA1">
        <w:rPr>
          <w:rFonts w:ascii="Times New Roman" w:hAnsi="Times New Roman" w:cs="Times New Roman"/>
          <w:sz w:val="24"/>
        </w:rPr>
        <w:t xml:space="preserve"> LIHTC program in detail. Section</w:t>
      </w:r>
      <w:r w:rsidR="00174F75" w:rsidRPr="00532CA1">
        <w:rPr>
          <w:rFonts w:ascii="Times New Roman" w:hAnsi="Times New Roman" w:cs="Times New Roman"/>
          <w:sz w:val="24"/>
        </w:rPr>
        <w:t xml:space="preserve"> 3</w:t>
      </w:r>
      <w:r w:rsidRPr="00532CA1">
        <w:rPr>
          <w:rFonts w:ascii="Times New Roman" w:hAnsi="Times New Roman" w:cs="Times New Roman"/>
          <w:sz w:val="24"/>
        </w:rPr>
        <w:t xml:space="preserve"> describes the data used in the paper while Section </w:t>
      </w:r>
      <w:r w:rsidR="00174F75" w:rsidRPr="00532CA1">
        <w:rPr>
          <w:rFonts w:ascii="Times New Roman" w:hAnsi="Times New Roman" w:cs="Times New Roman"/>
          <w:sz w:val="24"/>
        </w:rPr>
        <w:t>4</w:t>
      </w:r>
      <w:r w:rsidRPr="00532CA1">
        <w:rPr>
          <w:rFonts w:ascii="Times New Roman" w:hAnsi="Times New Roman" w:cs="Times New Roman"/>
          <w:sz w:val="24"/>
        </w:rPr>
        <w:t xml:space="preserve"> presents the methodology and empirical strategy. Section </w:t>
      </w:r>
      <w:r w:rsidR="00174F75" w:rsidRPr="00532CA1">
        <w:rPr>
          <w:rFonts w:ascii="Times New Roman" w:hAnsi="Times New Roman" w:cs="Times New Roman"/>
          <w:sz w:val="24"/>
        </w:rPr>
        <w:t>5</w:t>
      </w:r>
      <w:r w:rsidRPr="00532CA1">
        <w:rPr>
          <w:rFonts w:ascii="Times New Roman" w:hAnsi="Times New Roman" w:cs="Times New Roman"/>
          <w:sz w:val="24"/>
        </w:rPr>
        <w:t xml:space="preserve"> shows results and Section </w:t>
      </w:r>
      <w:r w:rsidR="00174F75" w:rsidRPr="00532CA1">
        <w:rPr>
          <w:rFonts w:ascii="Times New Roman" w:hAnsi="Times New Roman" w:cs="Times New Roman"/>
          <w:sz w:val="24"/>
        </w:rPr>
        <w:t>6</w:t>
      </w:r>
      <w:r w:rsidRPr="00532CA1">
        <w:rPr>
          <w:rFonts w:ascii="Times New Roman" w:hAnsi="Times New Roman" w:cs="Times New Roman"/>
          <w:sz w:val="24"/>
        </w:rPr>
        <w:t xml:space="preserve"> presents the discussion and conclusion of the preceding section. </w:t>
      </w:r>
    </w:p>
    <w:p w14:paraId="15E6DFED" w14:textId="77777777" w:rsidR="00532CA1" w:rsidRPr="00532CA1" w:rsidRDefault="00532CA1" w:rsidP="00AC7322">
      <w:pPr>
        <w:spacing w:after="0" w:line="360" w:lineRule="auto"/>
        <w:rPr>
          <w:rFonts w:ascii="Times New Roman" w:hAnsi="Times New Roman" w:cs="Times New Roman"/>
          <w:b/>
          <w:sz w:val="24"/>
        </w:rPr>
      </w:pPr>
      <w:r w:rsidRPr="00532CA1">
        <w:rPr>
          <w:rFonts w:ascii="Times New Roman" w:hAnsi="Times New Roman" w:cs="Times New Roman"/>
          <w:b/>
          <w:sz w:val="24"/>
        </w:rPr>
        <w:t xml:space="preserve">2. </w:t>
      </w:r>
      <w:r>
        <w:rPr>
          <w:rFonts w:ascii="Times New Roman" w:hAnsi="Times New Roman" w:cs="Times New Roman"/>
          <w:b/>
          <w:sz w:val="24"/>
        </w:rPr>
        <w:t>Background</w:t>
      </w:r>
    </w:p>
    <w:p w14:paraId="55295745" w14:textId="77777777" w:rsidR="00033E7C" w:rsidRPr="00532CA1" w:rsidRDefault="00174F75" w:rsidP="00ED240D">
      <w:pPr>
        <w:spacing w:line="360" w:lineRule="auto"/>
        <w:rPr>
          <w:rFonts w:ascii="Times New Roman" w:hAnsi="Times New Roman" w:cs="Times New Roman"/>
          <w:b/>
          <w:sz w:val="24"/>
        </w:rPr>
      </w:pPr>
      <w:r w:rsidRPr="00532CA1">
        <w:rPr>
          <w:rFonts w:ascii="Times New Roman" w:hAnsi="Times New Roman" w:cs="Times New Roman"/>
          <w:b/>
          <w:sz w:val="24"/>
        </w:rPr>
        <w:t>2</w:t>
      </w:r>
      <w:r w:rsidR="00972315" w:rsidRPr="00532CA1">
        <w:rPr>
          <w:rFonts w:ascii="Times New Roman" w:hAnsi="Times New Roman" w:cs="Times New Roman"/>
          <w:b/>
          <w:sz w:val="24"/>
        </w:rPr>
        <w:t>.</w:t>
      </w:r>
      <w:r w:rsidR="003C7F92" w:rsidRPr="00532CA1">
        <w:rPr>
          <w:rFonts w:ascii="Times New Roman" w:hAnsi="Times New Roman" w:cs="Times New Roman"/>
          <w:b/>
          <w:sz w:val="24"/>
        </w:rPr>
        <w:t>1</w:t>
      </w:r>
      <w:r w:rsidR="00972315" w:rsidRPr="00532CA1">
        <w:rPr>
          <w:rFonts w:ascii="Times New Roman" w:hAnsi="Times New Roman" w:cs="Times New Roman"/>
          <w:b/>
          <w:sz w:val="24"/>
        </w:rPr>
        <w:t xml:space="preserve"> </w:t>
      </w:r>
      <w:r w:rsidR="00532CA1">
        <w:rPr>
          <w:rFonts w:ascii="Times New Roman" w:hAnsi="Times New Roman" w:cs="Times New Roman"/>
          <w:b/>
          <w:sz w:val="24"/>
        </w:rPr>
        <w:t>Economic</w:t>
      </w:r>
      <w:r w:rsidR="00033E7C" w:rsidRPr="00532CA1">
        <w:rPr>
          <w:rFonts w:ascii="Times New Roman" w:hAnsi="Times New Roman" w:cs="Times New Roman"/>
          <w:b/>
          <w:sz w:val="24"/>
        </w:rPr>
        <w:t xml:space="preserve"> Literature </w:t>
      </w:r>
    </w:p>
    <w:p w14:paraId="2E05D98B" w14:textId="77777777" w:rsidR="000A1403" w:rsidRPr="00532CA1" w:rsidRDefault="003C69B5" w:rsidP="00ED240D">
      <w:pPr>
        <w:spacing w:line="360" w:lineRule="auto"/>
        <w:ind w:firstLine="720"/>
        <w:rPr>
          <w:rFonts w:ascii="Times New Roman" w:hAnsi="Times New Roman" w:cs="Times New Roman"/>
          <w:sz w:val="24"/>
        </w:rPr>
      </w:pPr>
      <w:r w:rsidRPr="00532CA1">
        <w:rPr>
          <w:rFonts w:ascii="Times New Roman" w:hAnsi="Times New Roman" w:cs="Times New Roman"/>
          <w:sz w:val="24"/>
        </w:rPr>
        <w:t xml:space="preserve">Compared to other means-tested welfare programs, the LIHTC program has significantly less </w:t>
      </w:r>
      <w:r w:rsidR="002608B7" w:rsidRPr="00532CA1">
        <w:rPr>
          <w:rFonts w:ascii="Times New Roman" w:hAnsi="Times New Roman" w:cs="Times New Roman"/>
          <w:sz w:val="24"/>
        </w:rPr>
        <w:t xml:space="preserve">evidence-based studies on its effects. The </w:t>
      </w:r>
      <w:r w:rsidR="00033E7C" w:rsidRPr="00532CA1">
        <w:rPr>
          <w:rFonts w:ascii="Times New Roman" w:hAnsi="Times New Roman" w:cs="Times New Roman"/>
          <w:sz w:val="24"/>
        </w:rPr>
        <w:t>studies</w:t>
      </w:r>
      <w:r w:rsidR="002608B7" w:rsidRPr="00532CA1">
        <w:rPr>
          <w:rFonts w:ascii="Times New Roman" w:hAnsi="Times New Roman" w:cs="Times New Roman"/>
          <w:sz w:val="24"/>
        </w:rPr>
        <w:t xml:space="preserve"> that do exist</w:t>
      </w:r>
      <w:r w:rsidR="00033E7C" w:rsidRPr="00532CA1">
        <w:rPr>
          <w:rFonts w:ascii="Times New Roman" w:hAnsi="Times New Roman" w:cs="Times New Roman"/>
          <w:sz w:val="24"/>
        </w:rPr>
        <w:t xml:space="preserve"> have suggested that LIHTC projects </w:t>
      </w:r>
      <w:r w:rsidRPr="00532CA1">
        <w:rPr>
          <w:rFonts w:ascii="Times New Roman" w:hAnsi="Times New Roman" w:cs="Times New Roman"/>
          <w:sz w:val="24"/>
        </w:rPr>
        <w:t xml:space="preserve">have mixed effects on important outcomes used in housing policy analysis. </w:t>
      </w:r>
    </w:p>
    <w:p w14:paraId="31777D6B" w14:textId="77777777" w:rsidR="00D212CF" w:rsidRPr="00532CA1" w:rsidRDefault="002608B7" w:rsidP="00ED240D">
      <w:pPr>
        <w:spacing w:line="360" w:lineRule="auto"/>
        <w:ind w:firstLine="720"/>
        <w:rPr>
          <w:rFonts w:ascii="Times New Roman" w:hAnsi="Times New Roman" w:cs="Times New Roman"/>
          <w:sz w:val="24"/>
        </w:rPr>
      </w:pPr>
      <w:r w:rsidRPr="00532CA1">
        <w:rPr>
          <w:rFonts w:ascii="Times New Roman" w:hAnsi="Times New Roman" w:cs="Times New Roman"/>
          <w:sz w:val="24"/>
        </w:rPr>
        <w:t xml:space="preserve">Some of the literature </w:t>
      </w:r>
      <w:r w:rsidR="00033E7C" w:rsidRPr="00532CA1">
        <w:rPr>
          <w:rFonts w:ascii="Times New Roman" w:hAnsi="Times New Roman" w:cs="Times New Roman"/>
          <w:sz w:val="24"/>
        </w:rPr>
        <w:t>ha</w:t>
      </w:r>
      <w:r w:rsidRPr="00532CA1">
        <w:rPr>
          <w:rFonts w:ascii="Times New Roman" w:hAnsi="Times New Roman" w:cs="Times New Roman"/>
          <w:sz w:val="24"/>
        </w:rPr>
        <w:t>s</w:t>
      </w:r>
      <w:r w:rsidR="00033E7C" w:rsidRPr="00532CA1">
        <w:rPr>
          <w:rFonts w:ascii="Times New Roman" w:hAnsi="Times New Roman" w:cs="Times New Roman"/>
          <w:sz w:val="24"/>
        </w:rPr>
        <w:t xml:space="preserve"> shown that LIHTC projects do not significantly affect the overall concentration of property</w:t>
      </w:r>
      <w:r w:rsidR="00033E7C" w:rsidRPr="00532CA1">
        <w:rPr>
          <w:rFonts w:ascii="Times New Roman" w:hAnsi="Times New Roman" w:cs="Times New Roman"/>
          <w:b/>
          <w:sz w:val="24"/>
        </w:rPr>
        <w:t xml:space="preserve"> (Ellen et al, 2016).</w:t>
      </w:r>
      <w:r w:rsidR="00033E7C" w:rsidRPr="00532CA1">
        <w:rPr>
          <w:rFonts w:ascii="Times New Roman" w:hAnsi="Times New Roman" w:cs="Times New Roman"/>
          <w:sz w:val="24"/>
        </w:rPr>
        <w:t xml:space="preserve"> </w:t>
      </w:r>
      <w:r w:rsidR="000A1403" w:rsidRPr="00532CA1">
        <w:rPr>
          <w:rFonts w:ascii="Times New Roman" w:hAnsi="Times New Roman" w:cs="Times New Roman"/>
          <w:sz w:val="24"/>
        </w:rPr>
        <w:t xml:space="preserve">The paper has a significant caveat in that </w:t>
      </w:r>
      <w:r w:rsidR="000A1403" w:rsidRPr="00532CA1">
        <w:rPr>
          <w:rFonts w:ascii="Times New Roman" w:hAnsi="Times New Roman" w:cs="Times New Roman"/>
          <w:sz w:val="24"/>
        </w:rPr>
        <w:lastRenderedPageBreak/>
        <w:t>many LIHTC projects are located in already high-poverty neighborhoods. The effects of projects on the poverty rate of these high poverty areas seemed minimal and insignificant</w:t>
      </w:r>
      <w:r w:rsidR="00202553" w:rsidRPr="00532CA1">
        <w:rPr>
          <w:rFonts w:ascii="Times New Roman" w:hAnsi="Times New Roman" w:cs="Times New Roman"/>
          <w:sz w:val="24"/>
        </w:rPr>
        <w:t xml:space="preserve">. </w:t>
      </w:r>
      <w:r w:rsidR="00CE3AF2" w:rsidRPr="00532CA1">
        <w:rPr>
          <w:rFonts w:ascii="Times New Roman" w:hAnsi="Times New Roman" w:cs="Times New Roman"/>
          <w:sz w:val="24"/>
        </w:rPr>
        <w:t>Assumptions can be made that</w:t>
      </w:r>
      <w:r w:rsidR="00202553" w:rsidRPr="00532CA1">
        <w:rPr>
          <w:rFonts w:ascii="Times New Roman" w:hAnsi="Times New Roman" w:cs="Times New Roman"/>
          <w:sz w:val="24"/>
        </w:rPr>
        <w:t xml:space="preserve"> projects placed in high-poverty areas</w:t>
      </w:r>
      <w:r w:rsidR="00CE3AF2" w:rsidRPr="00532CA1">
        <w:rPr>
          <w:rFonts w:ascii="Times New Roman" w:hAnsi="Times New Roman" w:cs="Times New Roman"/>
          <w:sz w:val="24"/>
        </w:rPr>
        <w:t xml:space="preserve"> </w:t>
      </w:r>
      <w:r w:rsidR="00D212CF" w:rsidRPr="00532CA1">
        <w:rPr>
          <w:rFonts w:ascii="Times New Roman" w:hAnsi="Times New Roman" w:cs="Times New Roman"/>
          <w:sz w:val="24"/>
        </w:rPr>
        <w:t>essentially place households in areas with</w:t>
      </w:r>
      <w:r w:rsidR="00CE3AF2" w:rsidRPr="00532CA1">
        <w:rPr>
          <w:rFonts w:ascii="Times New Roman" w:hAnsi="Times New Roman" w:cs="Times New Roman"/>
          <w:sz w:val="24"/>
        </w:rPr>
        <w:t xml:space="preserve"> </w:t>
      </w:r>
      <w:r w:rsidR="00202553" w:rsidRPr="00532CA1">
        <w:rPr>
          <w:rFonts w:ascii="Times New Roman" w:hAnsi="Times New Roman" w:cs="Times New Roman"/>
          <w:sz w:val="24"/>
        </w:rPr>
        <w:t>less job opportunities</w:t>
      </w:r>
      <w:r w:rsidR="00CE3AF2" w:rsidRPr="00532CA1">
        <w:rPr>
          <w:rFonts w:ascii="Times New Roman" w:hAnsi="Times New Roman" w:cs="Times New Roman"/>
          <w:sz w:val="24"/>
        </w:rPr>
        <w:t xml:space="preserve">, poorer quality of schooling, and difficult access </w:t>
      </w:r>
      <w:r w:rsidR="00F513EE" w:rsidRPr="00532CA1">
        <w:rPr>
          <w:rFonts w:ascii="Times New Roman" w:hAnsi="Times New Roman" w:cs="Times New Roman"/>
          <w:sz w:val="24"/>
        </w:rPr>
        <w:t xml:space="preserve">to quality medical care. </w:t>
      </w:r>
    </w:p>
    <w:p w14:paraId="50133621" w14:textId="77777777" w:rsidR="004702C5" w:rsidRPr="00532CA1" w:rsidRDefault="00972315" w:rsidP="00ED240D">
      <w:pPr>
        <w:spacing w:line="360" w:lineRule="auto"/>
        <w:ind w:firstLine="720"/>
        <w:rPr>
          <w:rFonts w:ascii="Times New Roman" w:hAnsi="Times New Roman" w:cs="Times New Roman"/>
          <w:sz w:val="24"/>
        </w:rPr>
      </w:pPr>
      <w:r w:rsidRPr="00532CA1">
        <w:rPr>
          <w:rFonts w:ascii="Times New Roman" w:hAnsi="Times New Roman" w:cs="Times New Roman"/>
          <w:sz w:val="24"/>
        </w:rPr>
        <w:t xml:space="preserve">Evidence from a study on LIHTC projects in Tallahassee finds that the difference between market rent of a unit and the rent paid by the tenant is less hand 37% of the present value of the subsidies to the developers </w:t>
      </w:r>
      <w:r w:rsidR="00033E7C" w:rsidRPr="00532CA1">
        <w:rPr>
          <w:rFonts w:ascii="Times New Roman" w:hAnsi="Times New Roman" w:cs="Times New Roman"/>
          <w:b/>
          <w:sz w:val="24"/>
        </w:rPr>
        <w:t>(Burge, 2011)</w:t>
      </w:r>
      <w:r w:rsidRPr="00532CA1">
        <w:rPr>
          <w:rFonts w:ascii="Times New Roman" w:hAnsi="Times New Roman" w:cs="Times New Roman"/>
          <w:b/>
          <w:sz w:val="24"/>
        </w:rPr>
        <w:t>.</w:t>
      </w:r>
      <w:r w:rsidRPr="00532CA1">
        <w:rPr>
          <w:rFonts w:ascii="Times New Roman" w:hAnsi="Times New Roman" w:cs="Times New Roman"/>
          <w:sz w:val="24"/>
        </w:rPr>
        <w:t xml:space="preserve"> This study </w:t>
      </w:r>
      <w:r w:rsidR="007019D1" w:rsidRPr="00532CA1">
        <w:rPr>
          <w:rFonts w:ascii="Times New Roman" w:hAnsi="Times New Roman" w:cs="Times New Roman"/>
          <w:sz w:val="24"/>
        </w:rPr>
        <w:t xml:space="preserve">shows that there is little evidence to support that the program lowers rates substantially for </w:t>
      </w:r>
      <w:r w:rsidR="003C69B5" w:rsidRPr="00532CA1">
        <w:rPr>
          <w:rFonts w:ascii="Times New Roman" w:hAnsi="Times New Roman" w:cs="Times New Roman"/>
          <w:sz w:val="24"/>
        </w:rPr>
        <w:t>low-income households renting out LIHTC units</w:t>
      </w:r>
      <w:r w:rsidR="007019D1" w:rsidRPr="00532CA1">
        <w:rPr>
          <w:rFonts w:ascii="Times New Roman" w:hAnsi="Times New Roman" w:cs="Times New Roman"/>
          <w:sz w:val="24"/>
        </w:rPr>
        <w:t xml:space="preserve">. If the results from this study </w:t>
      </w:r>
      <w:r w:rsidR="003C69B5" w:rsidRPr="00532CA1">
        <w:rPr>
          <w:rFonts w:ascii="Times New Roman" w:hAnsi="Times New Roman" w:cs="Times New Roman"/>
          <w:sz w:val="24"/>
        </w:rPr>
        <w:t>are</w:t>
      </w:r>
      <w:r w:rsidR="007019D1" w:rsidRPr="00532CA1">
        <w:rPr>
          <w:rFonts w:ascii="Times New Roman" w:hAnsi="Times New Roman" w:cs="Times New Roman"/>
          <w:sz w:val="24"/>
        </w:rPr>
        <w:t xml:space="preserve"> generalized </w:t>
      </w:r>
      <w:r w:rsidR="003C69B5" w:rsidRPr="00532CA1">
        <w:rPr>
          <w:rFonts w:ascii="Times New Roman" w:hAnsi="Times New Roman" w:cs="Times New Roman"/>
          <w:sz w:val="24"/>
        </w:rPr>
        <w:t xml:space="preserve">to all LIHTC projects in the U.S. then LIHTC units are rented out at rates only nominally lower than market rents. </w:t>
      </w:r>
      <w:r w:rsidR="004702C5" w:rsidRPr="00532CA1">
        <w:rPr>
          <w:rFonts w:ascii="Times New Roman" w:hAnsi="Times New Roman" w:cs="Times New Roman"/>
          <w:sz w:val="24"/>
        </w:rPr>
        <w:t>This</w:t>
      </w:r>
      <w:r w:rsidR="00202553" w:rsidRPr="00532CA1">
        <w:rPr>
          <w:rFonts w:ascii="Times New Roman" w:hAnsi="Times New Roman" w:cs="Times New Roman"/>
          <w:sz w:val="24"/>
        </w:rPr>
        <w:t xml:space="preserve"> potential issue is exacerbated by the affordability requirements of LITHC projects. Low-income housing units created through </w:t>
      </w:r>
      <w:r w:rsidR="00B14157" w:rsidRPr="00532CA1">
        <w:rPr>
          <w:rFonts w:ascii="Times New Roman" w:hAnsi="Times New Roman" w:cs="Times New Roman"/>
          <w:sz w:val="24"/>
        </w:rPr>
        <w:t>LIHTC must designate units to serve households who earn less than 60 percent of the area median income. In order to maximize the value from the tax credits, they will serve households right at that margin instead of households with extremely low incomes.</w:t>
      </w:r>
    </w:p>
    <w:p w14:paraId="0C107C0A" w14:textId="77777777" w:rsidR="00D212CF" w:rsidRPr="00532CA1" w:rsidRDefault="00D212CF" w:rsidP="00ED240D">
      <w:pPr>
        <w:spacing w:line="360" w:lineRule="auto"/>
        <w:ind w:firstLine="720"/>
        <w:rPr>
          <w:rFonts w:ascii="Times New Roman" w:hAnsi="Times New Roman" w:cs="Times New Roman"/>
          <w:sz w:val="24"/>
        </w:rPr>
      </w:pPr>
      <w:r w:rsidRPr="00532CA1">
        <w:rPr>
          <w:rFonts w:ascii="Times New Roman" w:hAnsi="Times New Roman" w:cs="Times New Roman"/>
          <w:sz w:val="24"/>
        </w:rPr>
        <w:t xml:space="preserve">In order to </w:t>
      </w:r>
      <w:r w:rsidR="002C2EA6" w:rsidRPr="00532CA1">
        <w:rPr>
          <w:rFonts w:ascii="Times New Roman" w:hAnsi="Times New Roman" w:cs="Times New Roman"/>
          <w:sz w:val="24"/>
        </w:rPr>
        <w:t xml:space="preserve">tackle the gap in affordable housing, the housing stock needs to increase. Previous literature has shown that there is significant crowd out of new unsubsidized rental units. For every government subsidized unit created under the LIHTC program, only one-third to one-half of a unit is added to the total housing stock </w:t>
      </w:r>
      <w:r w:rsidRPr="00532CA1">
        <w:rPr>
          <w:rFonts w:ascii="Times New Roman" w:hAnsi="Times New Roman" w:cs="Times New Roman"/>
          <w:b/>
          <w:sz w:val="24"/>
        </w:rPr>
        <w:t xml:space="preserve">(Sinai and </w:t>
      </w:r>
      <w:proofErr w:type="spellStart"/>
      <w:r w:rsidRPr="00532CA1">
        <w:rPr>
          <w:rFonts w:ascii="Times New Roman" w:hAnsi="Times New Roman" w:cs="Times New Roman"/>
          <w:b/>
          <w:sz w:val="24"/>
        </w:rPr>
        <w:t>Waldfogel</w:t>
      </w:r>
      <w:proofErr w:type="spellEnd"/>
      <w:r w:rsidRPr="00532CA1">
        <w:rPr>
          <w:rFonts w:ascii="Times New Roman" w:hAnsi="Times New Roman" w:cs="Times New Roman"/>
          <w:b/>
          <w:sz w:val="24"/>
        </w:rPr>
        <w:t>, 2</w:t>
      </w:r>
      <w:r w:rsidR="002C2EA6" w:rsidRPr="00532CA1">
        <w:rPr>
          <w:rFonts w:ascii="Times New Roman" w:hAnsi="Times New Roman" w:cs="Times New Roman"/>
          <w:b/>
          <w:sz w:val="24"/>
        </w:rPr>
        <w:t>005)</w:t>
      </w:r>
      <w:r w:rsidR="002C2EA6" w:rsidRPr="00532CA1">
        <w:rPr>
          <w:rFonts w:ascii="Times New Roman" w:hAnsi="Times New Roman" w:cs="Times New Roman"/>
          <w:sz w:val="24"/>
        </w:rPr>
        <w:t xml:space="preserve">. Other literature claims up to 100 percent crowd out. </w:t>
      </w:r>
      <w:r w:rsidR="002C2EA6" w:rsidRPr="00532CA1">
        <w:rPr>
          <w:rFonts w:ascii="Times New Roman" w:hAnsi="Times New Roman" w:cs="Times New Roman"/>
          <w:b/>
          <w:sz w:val="24"/>
        </w:rPr>
        <w:t>Baum-Snow and Marion (2009)</w:t>
      </w:r>
      <w:r w:rsidR="002C2EA6" w:rsidRPr="00532CA1">
        <w:rPr>
          <w:rFonts w:ascii="Times New Roman" w:hAnsi="Times New Roman" w:cs="Times New Roman"/>
          <w:sz w:val="24"/>
        </w:rPr>
        <w:t xml:space="preserve"> detail that crowd out is significant in gentrifying areas, but not in stable or declining neighborhoods.</w:t>
      </w:r>
      <w:r w:rsidR="00E04F98" w:rsidRPr="00532CA1">
        <w:rPr>
          <w:rFonts w:ascii="Times New Roman" w:hAnsi="Times New Roman" w:cs="Times New Roman"/>
          <w:sz w:val="24"/>
        </w:rPr>
        <w:t xml:space="preserve"> If crowd out exists, the potential benefits of adding to the affordable housing stock are diminished. </w:t>
      </w:r>
    </w:p>
    <w:p w14:paraId="6F733C42" w14:textId="77777777" w:rsidR="002C2EA6" w:rsidRPr="00532CA1" w:rsidRDefault="002C2EA6" w:rsidP="00ED240D">
      <w:pPr>
        <w:spacing w:line="360" w:lineRule="auto"/>
        <w:ind w:firstLine="720"/>
        <w:rPr>
          <w:rFonts w:ascii="Times New Roman" w:hAnsi="Times New Roman" w:cs="Times New Roman"/>
          <w:sz w:val="24"/>
        </w:rPr>
      </w:pPr>
      <w:r w:rsidRPr="00532CA1">
        <w:rPr>
          <w:rFonts w:ascii="Times New Roman" w:hAnsi="Times New Roman" w:cs="Times New Roman"/>
          <w:sz w:val="24"/>
        </w:rPr>
        <w:t>Several studies look at particular outcomes. The LIHTC program and its effects on crime has presented evidence that in the poorest neighborhoods, LIHTC projects brought significant decreases in violent crime. Non-violent crime saw no significant changes (</w:t>
      </w:r>
      <w:r w:rsidRPr="00532CA1">
        <w:rPr>
          <w:rFonts w:ascii="Times New Roman" w:hAnsi="Times New Roman" w:cs="Times New Roman"/>
          <w:b/>
          <w:sz w:val="24"/>
        </w:rPr>
        <w:t>Freedman and Owens, 2011</w:t>
      </w:r>
      <w:r w:rsidRPr="00532CA1">
        <w:rPr>
          <w:rFonts w:ascii="Times New Roman" w:hAnsi="Times New Roman" w:cs="Times New Roman"/>
          <w:sz w:val="24"/>
        </w:rPr>
        <w:t xml:space="preserve">). Other studies have shown that despite community opposition to LIHTC projects in their own </w:t>
      </w:r>
      <w:r w:rsidR="00E04F98" w:rsidRPr="00532CA1">
        <w:rPr>
          <w:rFonts w:ascii="Times New Roman" w:hAnsi="Times New Roman" w:cs="Times New Roman"/>
          <w:sz w:val="24"/>
        </w:rPr>
        <w:t>neighborhoods</w:t>
      </w:r>
      <w:r w:rsidRPr="00532CA1">
        <w:rPr>
          <w:rFonts w:ascii="Times New Roman" w:hAnsi="Times New Roman" w:cs="Times New Roman"/>
          <w:sz w:val="24"/>
        </w:rPr>
        <w:t xml:space="preserve">, there was no significant evidence to prove that </w:t>
      </w:r>
      <w:r w:rsidR="00E04F98" w:rsidRPr="00532CA1">
        <w:rPr>
          <w:rFonts w:ascii="Times New Roman" w:hAnsi="Times New Roman" w:cs="Times New Roman"/>
          <w:sz w:val="24"/>
        </w:rPr>
        <w:t>LIHTC projects negatively impact the performance of local schools</w:t>
      </w:r>
      <w:r w:rsidRPr="00532CA1">
        <w:rPr>
          <w:rFonts w:ascii="Times New Roman" w:hAnsi="Times New Roman" w:cs="Times New Roman"/>
          <w:sz w:val="24"/>
        </w:rPr>
        <w:t xml:space="preserve"> </w:t>
      </w:r>
      <w:r w:rsidR="00033E7C" w:rsidRPr="00532CA1">
        <w:rPr>
          <w:rFonts w:ascii="Times New Roman" w:hAnsi="Times New Roman" w:cs="Times New Roman"/>
          <w:sz w:val="24"/>
        </w:rPr>
        <w:t>(</w:t>
      </w:r>
      <w:r w:rsidR="00033E7C" w:rsidRPr="00532CA1">
        <w:rPr>
          <w:rFonts w:ascii="Times New Roman" w:hAnsi="Times New Roman" w:cs="Times New Roman"/>
          <w:b/>
          <w:sz w:val="24"/>
        </w:rPr>
        <w:t>Di and Murdoch, 201</w:t>
      </w:r>
      <w:r w:rsidR="00856268" w:rsidRPr="00532CA1">
        <w:rPr>
          <w:rFonts w:ascii="Times New Roman" w:hAnsi="Times New Roman" w:cs="Times New Roman"/>
          <w:b/>
          <w:sz w:val="24"/>
        </w:rPr>
        <w:t>3</w:t>
      </w:r>
      <w:r w:rsidR="00033E7C" w:rsidRPr="00532CA1">
        <w:rPr>
          <w:rFonts w:ascii="Times New Roman" w:hAnsi="Times New Roman" w:cs="Times New Roman"/>
          <w:sz w:val="24"/>
        </w:rPr>
        <w:t>).</w:t>
      </w:r>
      <w:r w:rsidR="00E04F98" w:rsidRPr="00532CA1">
        <w:rPr>
          <w:rFonts w:ascii="Times New Roman" w:hAnsi="Times New Roman" w:cs="Times New Roman"/>
          <w:sz w:val="24"/>
        </w:rPr>
        <w:t xml:space="preserve"> </w:t>
      </w:r>
    </w:p>
    <w:p w14:paraId="32DBABC2" w14:textId="77777777" w:rsidR="00ED240D" w:rsidRDefault="00ED240D" w:rsidP="00D72F2A">
      <w:pPr>
        <w:rPr>
          <w:rFonts w:ascii="Times New Roman" w:hAnsi="Times New Roman" w:cs="Times New Roman"/>
          <w:b/>
          <w:sz w:val="18"/>
        </w:rPr>
      </w:pPr>
    </w:p>
    <w:p w14:paraId="30590E04" w14:textId="77777777" w:rsidR="00ED240D" w:rsidRDefault="00ED240D" w:rsidP="00D72F2A">
      <w:pPr>
        <w:rPr>
          <w:rFonts w:ascii="Times New Roman" w:hAnsi="Times New Roman" w:cs="Times New Roman"/>
          <w:b/>
          <w:sz w:val="18"/>
        </w:rPr>
      </w:pPr>
    </w:p>
    <w:p w14:paraId="637B6F71" w14:textId="77777777" w:rsidR="00972315" w:rsidRPr="00AC7322" w:rsidRDefault="00ED240D" w:rsidP="00AC7322">
      <w:pPr>
        <w:spacing w:line="360" w:lineRule="auto"/>
        <w:rPr>
          <w:rFonts w:ascii="Times New Roman" w:hAnsi="Times New Roman" w:cs="Times New Roman"/>
          <w:b/>
          <w:sz w:val="24"/>
        </w:rPr>
      </w:pPr>
      <w:r w:rsidRPr="00AC7322">
        <w:rPr>
          <w:rFonts w:ascii="Times New Roman" w:hAnsi="Times New Roman" w:cs="Times New Roman"/>
          <w:b/>
          <w:sz w:val="24"/>
        </w:rPr>
        <w:lastRenderedPageBreak/>
        <w:t>2</w:t>
      </w:r>
      <w:r w:rsidR="003C69B5" w:rsidRPr="00AC7322">
        <w:rPr>
          <w:rFonts w:ascii="Times New Roman" w:hAnsi="Times New Roman" w:cs="Times New Roman"/>
          <w:b/>
          <w:sz w:val="24"/>
        </w:rPr>
        <w:t>.</w:t>
      </w:r>
      <w:r w:rsidR="003C7F92" w:rsidRPr="00AC7322">
        <w:rPr>
          <w:rFonts w:ascii="Times New Roman" w:hAnsi="Times New Roman" w:cs="Times New Roman"/>
          <w:b/>
          <w:sz w:val="24"/>
        </w:rPr>
        <w:t>2 Evictions</w:t>
      </w:r>
    </w:p>
    <w:p w14:paraId="116F208A" w14:textId="77777777" w:rsidR="003C7F92" w:rsidRPr="00AC7322" w:rsidRDefault="003C7F92" w:rsidP="00AC7322">
      <w:pPr>
        <w:spacing w:line="360" w:lineRule="auto"/>
        <w:ind w:firstLine="720"/>
        <w:rPr>
          <w:rFonts w:ascii="Times New Roman" w:hAnsi="Times New Roman" w:cs="Times New Roman"/>
          <w:sz w:val="24"/>
        </w:rPr>
      </w:pPr>
      <w:r w:rsidRPr="00AC7322">
        <w:rPr>
          <w:rFonts w:ascii="Times New Roman" w:hAnsi="Times New Roman" w:cs="Times New Roman"/>
          <w:sz w:val="24"/>
        </w:rPr>
        <w:t xml:space="preserve">Matthew Desmond in his book </w:t>
      </w:r>
      <w:r w:rsidRPr="00AC7322">
        <w:rPr>
          <w:rFonts w:ascii="Times New Roman" w:hAnsi="Times New Roman" w:cs="Times New Roman"/>
          <w:i/>
          <w:sz w:val="24"/>
        </w:rPr>
        <w:t>Evicted</w:t>
      </w:r>
      <w:r w:rsidRPr="00AC7322">
        <w:rPr>
          <w:rFonts w:ascii="Times New Roman" w:hAnsi="Times New Roman" w:cs="Times New Roman"/>
          <w:sz w:val="24"/>
        </w:rPr>
        <w:t xml:space="preserve"> describes how millions of people are being evicted from their homes – “an eviction epidemic”. His book follows several different families in Milwaukee who lose their homes due to evictions. Evictions have increased significantly since 2000 and are a result of the affordable housing crisis. Evictions have increased not only in large cities like San Francisco or New York, but also smaller city-towns like Richmond, Virginia. </w:t>
      </w:r>
      <w:r w:rsidR="007A6F15" w:rsidRPr="00AC7322">
        <w:rPr>
          <w:rFonts w:ascii="Times New Roman" w:hAnsi="Times New Roman" w:cs="Times New Roman"/>
          <w:sz w:val="24"/>
        </w:rPr>
        <w:t>A large portion of evictions are targeted at African Americans, specifically black southerners.</w:t>
      </w:r>
      <w:r w:rsidR="007A6F15" w:rsidRPr="00AC7322">
        <w:rPr>
          <w:rStyle w:val="FootnoteReference"/>
          <w:rFonts w:ascii="Times New Roman" w:hAnsi="Times New Roman" w:cs="Times New Roman"/>
          <w:sz w:val="24"/>
        </w:rPr>
        <w:footnoteReference w:id="4"/>
      </w:r>
      <w:r w:rsidR="007A6F15" w:rsidRPr="00AC7322">
        <w:rPr>
          <w:rFonts w:ascii="Times New Roman" w:hAnsi="Times New Roman" w:cs="Times New Roman"/>
          <w:sz w:val="24"/>
        </w:rPr>
        <w:t xml:space="preserve"> </w:t>
      </w:r>
      <w:r w:rsidRPr="00AC7322">
        <w:rPr>
          <w:rFonts w:ascii="Times New Roman" w:hAnsi="Times New Roman" w:cs="Times New Roman"/>
          <w:sz w:val="24"/>
        </w:rPr>
        <w:t>Many families are only a “car repair or a hospital visit away from missing the rent check.”</w:t>
      </w:r>
      <w:r w:rsidRPr="00AC7322">
        <w:rPr>
          <w:rStyle w:val="FootnoteReference"/>
          <w:rFonts w:ascii="Times New Roman" w:hAnsi="Times New Roman" w:cs="Times New Roman"/>
          <w:sz w:val="24"/>
        </w:rPr>
        <w:footnoteReference w:id="5"/>
      </w:r>
    </w:p>
    <w:p w14:paraId="748A53B2" w14:textId="77777777" w:rsidR="007A6F15" w:rsidRPr="00AC7322" w:rsidRDefault="003C7F92" w:rsidP="00AC7322">
      <w:pPr>
        <w:spacing w:line="360" w:lineRule="auto"/>
        <w:ind w:firstLine="720"/>
        <w:rPr>
          <w:rFonts w:ascii="Times New Roman" w:hAnsi="Times New Roman" w:cs="Times New Roman"/>
          <w:sz w:val="24"/>
        </w:rPr>
      </w:pPr>
      <w:r w:rsidRPr="00AC7322">
        <w:rPr>
          <w:rFonts w:ascii="Times New Roman" w:hAnsi="Times New Roman" w:cs="Times New Roman"/>
          <w:sz w:val="24"/>
        </w:rPr>
        <w:t xml:space="preserve">The low-income housing tax credit (LIHTC), our policy of interest, incentivizes the provision of rental units for low-income families at rents below market rates by private developers. If more affordable housing is created then more households will pay rents less than </w:t>
      </w:r>
      <w:r w:rsidR="007A6F15" w:rsidRPr="00AC7322">
        <w:rPr>
          <w:rFonts w:ascii="Times New Roman" w:hAnsi="Times New Roman" w:cs="Times New Roman"/>
          <w:sz w:val="24"/>
        </w:rPr>
        <w:t xml:space="preserve">market rent at prices affordable to them. </w:t>
      </w:r>
      <w:r w:rsidRPr="00AC7322">
        <w:rPr>
          <w:rFonts w:ascii="Times New Roman" w:hAnsi="Times New Roman" w:cs="Times New Roman"/>
          <w:sz w:val="24"/>
        </w:rPr>
        <w:t xml:space="preserve">The tax credit acts as a subsidy towards improving tenants’ financial condition and this may decrease the likelihood of evictions. </w:t>
      </w:r>
      <w:r w:rsidR="007A6F15" w:rsidRPr="00AC7322">
        <w:rPr>
          <w:rFonts w:ascii="Times New Roman" w:hAnsi="Times New Roman" w:cs="Times New Roman"/>
          <w:sz w:val="24"/>
        </w:rPr>
        <w:t xml:space="preserve">Increase in the availability of affordable housing also improves the chances for extremely low-income households to obtain quality housing. Financial instability decreases and negative household income shocks have less of an effect with less income devoted to rent and utilities. </w:t>
      </w:r>
    </w:p>
    <w:p w14:paraId="79B9D895" w14:textId="77777777" w:rsidR="00430CFA" w:rsidRPr="00ED240D" w:rsidRDefault="000A1403" w:rsidP="00ED240D">
      <w:pPr>
        <w:spacing w:line="360" w:lineRule="auto"/>
        <w:rPr>
          <w:rFonts w:ascii="Times New Roman" w:hAnsi="Times New Roman" w:cs="Times New Roman"/>
          <w:b/>
          <w:sz w:val="24"/>
        </w:rPr>
      </w:pPr>
      <w:r w:rsidRPr="00ED240D">
        <w:rPr>
          <w:rFonts w:ascii="Times New Roman" w:hAnsi="Times New Roman" w:cs="Times New Roman"/>
          <w:b/>
          <w:sz w:val="24"/>
        </w:rPr>
        <w:t>2</w:t>
      </w:r>
      <w:r w:rsidR="00972315" w:rsidRPr="00ED240D">
        <w:rPr>
          <w:rFonts w:ascii="Times New Roman" w:hAnsi="Times New Roman" w:cs="Times New Roman"/>
          <w:b/>
          <w:sz w:val="24"/>
        </w:rPr>
        <w:t>.</w:t>
      </w:r>
      <w:r w:rsidR="00ED240D">
        <w:rPr>
          <w:rFonts w:ascii="Times New Roman" w:hAnsi="Times New Roman" w:cs="Times New Roman"/>
          <w:b/>
          <w:sz w:val="24"/>
        </w:rPr>
        <w:t xml:space="preserve">3 </w:t>
      </w:r>
      <w:r w:rsidR="00A74214" w:rsidRPr="00ED240D">
        <w:rPr>
          <w:rFonts w:ascii="Times New Roman" w:hAnsi="Times New Roman" w:cs="Times New Roman"/>
          <w:b/>
          <w:sz w:val="24"/>
        </w:rPr>
        <w:t>Overview of the low-income housing tax credit program</w:t>
      </w:r>
    </w:p>
    <w:p w14:paraId="69B6D552" w14:textId="77777777" w:rsidR="000D06BF" w:rsidRPr="00ED240D" w:rsidRDefault="00D72F2A" w:rsidP="00ED240D">
      <w:pPr>
        <w:spacing w:line="360" w:lineRule="auto"/>
        <w:rPr>
          <w:rFonts w:ascii="Times New Roman" w:hAnsi="Times New Roman" w:cs="Times New Roman"/>
          <w:sz w:val="24"/>
        </w:rPr>
      </w:pPr>
      <w:r w:rsidRPr="00ED240D">
        <w:rPr>
          <w:rFonts w:ascii="Times New Roman" w:hAnsi="Times New Roman" w:cs="Times New Roman"/>
          <w:sz w:val="24"/>
        </w:rPr>
        <w:t xml:space="preserve">Since its inception through the Tax Reform Act of 1986, the Low-Income Housing Tax Credit (LIHTC) program has been the United States’ largest and fastest growing affordable housing program. </w:t>
      </w:r>
      <w:r w:rsidR="00B71C2C" w:rsidRPr="00ED240D">
        <w:rPr>
          <w:rFonts w:ascii="Times New Roman" w:hAnsi="Times New Roman" w:cs="Times New Roman"/>
          <w:sz w:val="24"/>
        </w:rPr>
        <w:t xml:space="preserve">This complex tool is used towards the production and preservation of </w:t>
      </w:r>
      <w:r w:rsidR="003B29E3" w:rsidRPr="00ED240D">
        <w:rPr>
          <w:rFonts w:ascii="Times New Roman" w:hAnsi="Times New Roman" w:cs="Times New Roman"/>
          <w:sz w:val="24"/>
        </w:rPr>
        <w:t xml:space="preserve">affordable and available rental housing. </w:t>
      </w:r>
      <w:r w:rsidR="00601A07" w:rsidRPr="00ED240D">
        <w:rPr>
          <w:rFonts w:ascii="Times New Roman" w:hAnsi="Times New Roman" w:cs="Times New Roman"/>
          <w:sz w:val="24"/>
        </w:rPr>
        <w:t xml:space="preserve">The intention of the policy was to incentivize public housing construction that would have otherwise not have been financially attractive to do so. </w:t>
      </w:r>
      <w:r w:rsidR="003B29E3" w:rsidRPr="00ED240D">
        <w:rPr>
          <w:rFonts w:ascii="Times New Roman" w:hAnsi="Times New Roman" w:cs="Times New Roman"/>
          <w:sz w:val="24"/>
        </w:rPr>
        <w:t xml:space="preserve">Although the stock of public housing has declined, the share of public housing </w:t>
      </w:r>
      <w:r w:rsidR="00782B55" w:rsidRPr="00ED240D">
        <w:rPr>
          <w:rFonts w:ascii="Times New Roman" w:hAnsi="Times New Roman" w:cs="Times New Roman"/>
          <w:sz w:val="24"/>
        </w:rPr>
        <w:t xml:space="preserve">created through LIHTC has increased. </w:t>
      </w:r>
      <w:r w:rsidR="00012F6E" w:rsidRPr="00ED240D">
        <w:rPr>
          <w:rFonts w:ascii="Times New Roman" w:hAnsi="Times New Roman" w:cs="Times New Roman"/>
          <w:sz w:val="24"/>
        </w:rPr>
        <w:t>Approximately 2.97 million affordable housing units have been placed in service through LIHTC</w:t>
      </w:r>
      <w:r w:rsidR="00B65B4B" w:rsidRPr="00ED240D">
        <w:rPr>
          <w:rFonts w:ascii="Times New Roman" w:hAnsi="Times New Roman" w:cs="Times New Roman"/>
          <w:sz w:val="24"/>
        </w:rPr>
        <w:t xml:space="preserve"> (</w:t>
      </w:r>
      <w:proofErr w:type="spellStart"/>
      <w:r w:rsidR="00B65B4B" w:rsidRPr="00ED240D">
        <w:rPr>
          <w:rFonts w:ascii="Times New Roman" w:hAnsi="Times New Roman" w:cs="Times New Roman"/>
          <w:sz w:val="24"/>
        </w:rPr>
        <w:t>Scally</w:t>
      </w:r>
      <w:proofErr w:type="spellEnd"/>
      <w:r w:rsidR="00B65B4B" w:rsidRPr="00ED240D">
        <w:rPr>
          <w:rFonts w:ascii="Times New Roman" w:hAnsi="Times New Roman" w:cs="Times New Roman"/>
          <w:sz w:val="24"/>
        </w:rPr>
        <w:t xml:space="preserve"> et al, 2018)</w:t>
      </w:r>
      <w:r w:rsidR="00012F6E" w:rsidRPr="00ED240D">
        <w:rPr>
          <w:rFonts w:ascii="Times New Roman" w:hAnsi="Times New Roman" w:cs="Times New Roman"/>
          <w:sz w:val="24"/>
        </w:rPr>
        <w:t>.</w:t>
      </w:r>
    </w:p>
    <w:p w14:paraId="26229B1C" w14:textId="77777777" w:rsidR="00506EB9" w:rsidRPr="00ED240D" w:rsidRDefault="00075451" w:rsidP="00254B1A">
      <w:pPr>
        <w:spacing w:line="360" w:lineRule="auto"/>
        <w:ind w:firstLine="720"/>
        <w:rPr>
          <w:rFonts w:ascii="Times New Roman" w:hAnsi="Times New Roman" w:cs="Times New Roman"/>
          <w:sz w:val="24"/>
        </w:rPr>
      </w:pPr>
      <w:r w:rsidRPr="00ED240D">
        <w:rPr>
          <w:rFonts w:ascii="Times New Roman" w:hAnsi="Times New Roman" w:cs="Times New Roman"/>
          <w:sz w:val="24"/>
        </w:rPr>
        <w:lastRenderedPageBreak/>
        <w:t xml:space="preserve">Current housing assistance programs are dedicated towards rental units. Housing assistance programs fall into three types: public housing, housing vouchers, and privately-owned subsidized projects. The Low-Income Housing Tax Credit falls under privately-owned subsidized projects. </w:t>
      </w:r>
      <w:r w:rsidR="00D72F2A" w:rsidRPr="00ED240D">
        <w:rPr>
          <w:rFonts w:ascii="Times New Roman" w:hAnsi="Times New Roman" w:cs="Times New Roman"/>
          <w:sz w:val="24"/>
        </w:rPr>
        <w:t xml:space="preserve">Unlike other federal rental housing production programs, LIHTC operates through the federal tax code. </w:t>
      </w:r>
      <w:r w:rsidR="0019215D" w:rsidRPr="00ED240D">
        <w:rPr>
          <w:rFonts w:ascii="Times New Roman" w:hAnsi="Times New Roman" w:cs="Times New Roman"/>
          <w:sz w:val="24"/>
        </w:rPr>
        <w:t xml:space="preserve">Instead of the Department of Housing and Urban Development, the IRS administers the program. </w:t>
      </w:r>
      <w:r w:rsidR="004702C5" w:rsidRPr="00ED240D">
        <w:rPr>
          <w:rFonts w:ascii="Times New Roman" w:hAnsi="Times New Roman" w:cs="Times New Roman"/>
          <w:sz w:val="24"/>
        </w:rPr>
        <w:t xml:space="preserve">Developers apply and potentially receive nonrefundable tax credits. </w:t>
      </w:r>
      <w:r w:rsidR="00F513EE" w:rsidRPr="00ED240D">
        <w:rPr>
          <w:rFonts w:ascii="Times New Roman" w:hAnsi="Times New Roman" w:cs="Times New Roman"/>
          <w:sz w:val="24"/>
        </w:rPr>
        <w:t>Developers</w:t>
      </w:r>
      <w:r w:rsidR="004702C5" w:rsidRPr="00ED240D">
        <w:rPr>
          <w:rFonts w:ascii="Times New Roman" w:hAnsi="Times New Roman" w:cs="Times New Roman"/>
          <w:sz w:val="24"/>
        </w:rPr>
        <w:t xml:space="preserve"> can choose to either offset their own federal income tax liabilities or sell to financial institutions</w:t>
      </w:r>
      <w:r w:rsidR="00F513EE" w:rsidRPr="00ED240D">
        <w:rPr>
          <w:rFonts w:ascii="Times New Roman" w:hAnsi="Times New Roman" w:cs="Times New Roman"/>
          <w:sz w:val="24"/>
        </w:rPr>
        <w:t xml:space="preserve">. </w:t>
      </w:r>
      <w:r w:rsidR="00D72F2A" w:rsidRPr="00ED240D">
        <w:rPr>
          <w:rFonts w:ascii="Times New Roman" w:hAnsi="Times New Roman" w:cs="Times New Roman"/>
          <w:sz w:val="24"/>
        </w:rPr>
        <w:t>Private investors are incentivized to make equity investments in affordable rental housing projects in exchange for federal income tax credits – a tax credit</w:t>
      </w:r>
      <w:r w:rsidR="00E56166" w:rsidRPr="00ED240D">
        <w:rPr>
          <w:rFonts w:ascii="Times New Roman" w:hAnsi="Times New Roman" w:cs="Times New Roman"/>
          <w:sz w:val="24"/>
        </w:rPr>
        <w:t xml:space="preserve"> to lower federal income tax liability</w:t>
      </w:r>
      <w:r w:rsidR="00D72F2A" w:rsidRPr="00ED240D">
        <w:rPr>
          <w:rFonts w:ascii="Times New Roman" w:hAnsi="Times New Roman" w:cs="Times New Roman"/>
          <w:sz w:val="24"/>
        </w:rPr>
        <w:t xml:space="preserve"> in exchange for project equity. </w:t>
      </w:r>
    </w:p>
    <w:p w14:paraId="18A53F5D" w14:textId="77777777" w:rsidR="00513D33" w:rsidRPr="00ED240D" w:rsidRDefault="00C03833" w:rsidP="00254B1A">
      <w:pPr>
        <w:spacing w:line="360" w:lineRule="auto"/>
        <w:ind w:firstLine="720"/>
        <w:rPr>
          <w:rFonts w:ascii="Times New Roman" w:hAnsi="Times New Roman" w:cs="Times New Roman"/>
          <w:sz w:val="24"/>
        </w:rPr>
      </w:pPr>
      <w:r w:rsidRPr="00ED240D">
        <w:rPr>
          <w:rFonts w:ascii="Times New Roman" w:hAnsi="Times New Roman" w:cs="Times New Roman"/>
          <w:sz w:val="24"/>
        </w:rPr>
        <w:t>The Congressional Research Service states that “the process of allocating, awarding, and then claiming the LIHTC is complex and lengthy.”</w:t>
      </w:r>
      <w:r w:rsidRPr="00ED240D">
        <w:rPr>
          <w:rStyle w:val="FootnoteReference"/>
          <w:rFonts w:ascii="Times New Roman" w:hAnsi="Times New Roman" w:cs="Times New Roman"/>
          <w:sz w:val="24"/>
        </w:rPr>
        <w:footnoteReference w:id="6"/>
      </w:r>
      <w:r w:rsidRPr="00ED240D">
        <w:rPr>
          <w:rFonts w:ascii="Times New Roman" w:hAnsi="Times New Roman" w:cs="Times New Roman"/>
          <w:sz w:val="24"/>
        </w:rPr>
        <w:t xml:space="preserve"> </w:t>
      </w:r>
      <w:r w:rsidR="0019215D" w:rsidRPr="00ED240D">
        <w:rPr>
          <w:rFonts w:ascii="Times New Roman" w:hAnsi="Times New Roman" w:cs="Times New Roman"/>
          <w:sz w:val="24"/>
        </w:rPr>
        <w:t>There are two types of tax credits</w:t>
      </w:r>
      <w:r w:rsidR="003C69B5" w:rsidRPr="00ED240D">
        <w:rPr>
          <w:rFonts w:ascii="Times New Roman" w:hAnsi="Times New Roman" w:cs="Times New Roman"/>
          <w:sz w:val="24"/>
        </w:rPr>
        <w:t xml:space="preserve"> developers can apply for</w:t>
      </w:r>
      <w:r w:rsidR="0019215D" w:rsidRPr="00ED240D">
        <w:rPr>
          <w:rFonts w:ascii="Times New Roman" w:hAnsi="Times New Roman" w:cs="Times New Roman"/>
          <w:sz w:val="24"/>
        </w:rPr>
        <w:t xml:space="preserve">, each with </w:t>
      </w:r>
      <w:r w:rsidR="00B00A8D" w:rsidRPr="00ED240D">
        <w:rPr>
          <w:rFonts w:ascii="Times New Roman" w:hAnsi="Times New Roman" w:cs="Times New Roman"/>
          <w:sz w:val="24"/>
        </w:rPr>
        <w:t xml:space="preserve">their </w:t>
      </w:r>
      <w:r w:rsidR="00506EB9" w:rsidRPr="00ED240D">
        <w:rPr>
          <w:rFonts w:ascii="Times New Roman" w:hAnsi="Times New Roman" w:cs="Times New Roman"/>
          <w:sz w:val="24"/>
        </w:rPr>
        <w:t xml:space="preserve">own allocation processes and awards. </w:t>
      </w:r>
      <w:r w:rsidRPr="00ED240D">
        <w:rPr>
          <w:rFonts w:ascii="Times New Roman" w:hAnsi="Times New Roman" w:cs="Times New Roman"/>
          <w:sz w:val="24"/>
        </w:rPr>
        <w:t xml:space="preserve">The first type, </w:t>
      </w:r>
      <w:r w:rsidR="00513D33" w:rsidRPr="00ED240D">
        <w:rPr>
          <w:rFonts w:ascii="Times New Roman" w:hAnsi="Times New Roman" w:cs="Times New Roman"/>
          <w:sz w:val="24"/>
        </w:rPr>
        <w:t>9 percent</w:t>
      </w:r>
      <w:r w:rsidRPr="00ED240D">
        <w:rPr>
          <w:rFonts w:ascii="Times New Roman" w:hAnsi="Times New Roman" w:cs="Times New Roman"/>
          <w:sz w:val="24"/>
        </w:rPr>
        <w:t xml:space="preserve"> </w:t>
      </w:r>
      <w:r w:rsidR="00513D33" w:rsidRPr="00ED240D">
        <w:rPr>
          <w:rFonts w:ascii="Times New Roman" w:hAnsi="Times New Roman" w:cs="Times New Roman"/>
          <w:sz w:val="24"/>
        </w:rPr>
        <w:t>tax credit</w:t>
      </w:r>
      <w:r w:rsidRPr="00ED240D">
        <w:rPr>
          <w:rFonts w:ascii="Times New Roman" w:hAnsi="Times New Roman" w:cs="Times New Roman"/>
          <w:sz w:val="24"/>
        </w:rPr>
        <w:t>,</w:t>
      </w:r>
      <w:r w:rsidR="00513D33" w:rsidRPr="00ED240D">
        <w:rPr>
          <w:rFonts w:ascii="Times New Roman" w:hAnsi="Times New Roman" w:cs="Times New Roman"/>
          <w:sz w:val="24"/>
        </w:rPr>
        <w:t xml:space="preserve"> is typically reserved for new construction</w:t>
      </w:r>
      <w:r w:rsidR="005554CA" w:rsidRPr="00ED240D">
        <w:rPr>
          <w:rFonts w:ascii="Times New Roman" w:hAnsi="Times New Roman" w:cs="Times New Roman"/>
          <w:sz w:val="24"/>
        </w:rPr>
        <w:t xml:space="preserve"> and these generally don’t receive any other federal subsidies</w:t>
      </w:r>
      <w:r w:rsidR="00513D33" w:rsidRPr="00ED240D">
        <w:rPr>
          <w:rFonts w:ascii="Times New Roman" w:hAnsi="Times New Roman" w:cs="Times New Roman"/>
          <w:sz w:val="24"/>
        </w:rPr>
        <w:t>.</w:t>
      </w:r>
      <w:r w:rsidRPr="00ED240D">
        <w:rPr>
          <w:rFonts w:ascii="Times New Roman" w:hAnsi="Times New Roman" w:cs="Times New Roman"/>
          <w:sz w:val="24"/>
        </w:rPr>
        <w:t xml:space="preserve"> For this tax credit, developers must meet certain criteria determined by each state’s Qualified Allocation Plan</w:t>
      </w:r>
      <w:r w:rsidR="003C69B5" w:rsidRPr="00ED240D">
        <w:rPr>
          <w:rFonts w:ascii="Times New Roman" w:hAnsi="Times New Roman" w:cs="Times New Roman"/>
          <w:sz w:val="24"/>
        </w:rPr>
        <w:t>.</w:t>
      </w:r>
      <w:r w:rsidR="008F707F" w:rsidRPr="00ED240D">
        <w:rPr>
          <w:rFonts w:ascii="Times New Roman" w:hAnsi="Times New Roman" w:cs="Times New Roman"/>
          <w:sz w:val="24"/>
        </w:rPr>
        <w:t xml:space="preserve"> </w:t>
      </w:r>
      <w:r w:rsidR="00513D33" w:rsidRPr="00ED240D">
        <w:rPr>
          <w:rFonts w:ascii="Times New Roman" w:hAnsi="Times New Roman" w:cs="Times New Roman"/>
          <w:sz w:val="24"/>
        </w:rPr>
        <w:t xml:space="preserve">Qualified Allocation Plans </w:t>
      </w:r>
      <w:r w:rsidRPr="00ED240D">
        <w:rPr>
          <w:rFonts w:ascii="Times New Roman" w:hAnsi="Times New Roman" w:cs="Times New Roman"/>
          <w:sz w:val="24"/>
        </w:rPr>
        <w:t xml:space="preserve">(QAP) are </w:t>
      </w:r>
      <w:r w:rsidR="003C69B5" w:rsidRPr="00ED240D">
        <w:rPr>
          <w:rFonts w:ascii="Times New Roman" w:hAnsi="Times New Roman" w:cs="Times New Roman"/>
          <w:sz w:val="24"/>
        </w:rPr>
        <w:t>created and updated annually</w:t>
      </w:r>
      <w:r w:rsidRPr="00ED240D">
        <w:rPr>
          <w:rFonts w:ascii="Times New Roman" w:hAnsi="Times New Roman" w:cs="Times New Roman"/>
          <w:sz w:val="24"/>
        </w:rPr>
        <w:t xml:space="preserve"> by each state</w:t>
      </w:r>
      <w:r w:rsidR="003C69B5" w:rsidRPr="00ED240D">
        <w:rPr>
          <w:rFonts w:ascii="Times New Roman" w:hAnsi="Times New Roman" w:cs="Times New Roman"/>
          <w:sz w:val="24"/>
        </w:rPr>
        <w:t>.</w:t>
      </w:r>
      <w:r w:rsidRPr="00ED240D">
        <w:rPr>
          <w:rFonts w:ascii="Times New Roman" w:hAnsi="Times New Roman" w:cs="Times New Roman"/>
          <w:sz w:val="24"/>
        </w:rPr>
        <w:t xml:space="preserve"> </w:t>
      </w:r>
      <w:r w:rsidR="003C69B5" w:rsidRPr="00ED240D">
        <w:rPr>
          <w:rFonts w:ascii="Times New Roman" w:hAnsi="Times New Roman" w:cs="Times New Roman"/>
          <w:sz w:val="24"/>
        </w:rPr>
        <w:t xml:space="preserve">The outline of each QAP </w:t>
      </w:r>
      <w:r w:rsidRPr="00ED240D">
        <w:rPr>
          <w:rFonts w:ascii="Times New Roman" w:hAnsi="Times New Roman" w:cs="Times New Roman"/>
          <w:sz w:val="24"/>
        </w:rPr>
        <w:t xml:space="preserve">can determine the quality and </w:t>
      </w:r>
      <w:r w:rsidR="004D52FD" w:rsidRPr="00ED240D">
        <w:rPr>
          <w:rFonts w:ascii="Times New Roman" w:hAnsi="Times New Roman" w:cs="Times New Roman"/>
          <w:sz w:val="24"/>
        </w:rPr>
        <w:t>characteristics</w:t>
      </w:r>
      <w:r w:rsidRPr="00ED240D">
        <w:rPr>
          <w:rFonts w:ascii="Times New Roman" w:hAnsi="Times New Roman" w:cs="Times New Roman"/>
          <w:sz w:val="24"/>
        </w:rPr>
        <w:t xml:space="preserve"> of projects created. </w:t>
      </w:r>
      <w:r w:rsidR="004D52FD" w:rsidRPr="00ED240D">
        <w:rPr>
          <w:rFonts w:ascii="Times New Roman" w:hAnsi="Times New Roman" w:cs="Times New Roman"/>
          <w:sz w:val="24"/>
        </w:rPr>
        <w:t>Project proposals meet criteria for points and the highest scoring projects are more likely to be awarded tax credits by each state housing finance agency.</w:t>
      </w:r>
      <w:r w:rsidR="00200EA8" w:rsidRPr="00ED240D">
        <w:rPr>
          <w:rFonts w:ascii="Times New Roman" w:hAnsi="Times New Roman" w:cs="Times New Roman"/>
          <w:sz w:val="24"/>
        </w:rPr>
        <w:t xml:space="preserve"> QAPs can be quite detailed and bog down the allocation process as each proposal goes to great lengths to score every point. The 9 percent credit award process is highly completive</w:t>
      </w:r>
      <w:r w:rsidR="00496539" w:rsidRPr="00ED240D">
        <w:rPr>
          <w:rFonts w:ascii="Times New Roman" w:hAnsi="Times New Roman" w:cs="Times New Roman"/>
          <w:sz w:val="24"/>
        </w:rPr>
        <w:t xml:space="preserve"> and there are often many more proposals submitted than projects selected</w:t>
      </w:r>
      <w:r w:rsidR="00200EA8" w:rsidRPr="00ED240D">
        <w:rPr>
          <w:rFonts w:ascii="Times New Roman" w:hAnsi="Times New Roman" w:cs="Times New Roman"/>
          <w:sz w:val="24"/>
        </w:rPr>
        <w:t xml:space="preserve">. </w:t>
      </w:r>
      <w:r w:rsidR="00513D33" w:rsidRPr="00ED240D">
        <w:rPr>
          <w:rFonts w:ascii="Times New Roman" w:hAnsi="Times New Roman" w:cs="Times New Roman"/>
          <w:sz w:val="24"/>
        </w:rPr>
        <w:t>The second type, 4 percent, is u</w:t>
      </w:r>
      <w:r w:rsidR="002F27A4" w:rsidRPr="00ED240D">
        <w:rPr>
          <w:rFonts w:ascii="Times New Roman" w:hAnsi="Times New Roman" w:cs="Times New Roman"/>
          <w:sz w:val="24"/>
        </w:rPr>
        <w:t xml:space="preserve">sed for rehabilitation projects and automatically awarded to new construction projects if </w:t>
      </w:r>
      <w:r w:rsidRPr="00ED240D">
        <w:rPr>
          <w:rFonts w:ascii="Times New Roman" w:hAnsi="Times New Roman" w:cs="Times New Roman"/>
          <w:sz w:val="24"/>
        </w:rPr>
        <w:t>over 50% of their funding comes from tax-exempt bonds</w:t>
      </w:r>
      <w:r w:rsidR="002F27A4" w:rsidRPr="00ED240D">
        <w:rPr>
          <w:rFonts w:ascii="Times New Roman" w:hAnsi="Times New Roman" w:cs="Times New Roman"/>
          <w:sz w:val="24"/>
        </w:rPr>
        <w:t>.</w:t>
      </w:r>
      <w:r w:rsidRPr="00ED240D">
        <w:rPr>
          <w:rFonts w:ascii="Times New Roman" w:hAnsi="Times New Roman" w:cs="Times New Roman"/>
          <w:sz w:val="24"/>
        </w:rPr>
        <w:t xml:space="preserve"> All qualified projects can apply individually to the IRS instead of the state housing finance agencies. Due to the nature of its application process, there is no ceiling on the total amount the IRS will allocate to all 4% tax credit projects. </w:t>
      </w:r>
      <w:r w:rsidR="002F27A4" w:rsidRPr="00ED240D">
        <w:rPr>
          <w:rFonts w:ascii="Times New Roman" w:hAnsi="Times New Roman" w:cs="Times New Roman"/>
          <w:sz w:val="24"/>
        </w:rPr>
        <w:t xml:space="preserve"> </w:t>
      </w:r>
    </w:p>
    <w:p w14:paraId="46989793" w14:textId="77777777" w:rsidR="004702C5" w:rsidRPr="00ED240D" w:rsidRDefault="00E56166" w:rsidP="00254B1A">
      <w:pPr>
        <w:spacing w:line="360" w:lineRule="auto"/>
        <w:ind w:firstLine="720"/>
        <w:rPr>
          <w:rFonts w:ascii="Times New Roman" w:hAnsi="Times New Roman" w:cs="Times New Roman"/>
          <w:sz w:val="24"/>
        </w:rPr>
      </w:pPr>
      <w:r w:rsidRPr="00ED240D">
        <w:rPr>
          <w:rFonts w:ascii="Times New Roman" w:hAnsi="Times New Roman" w:cs="Times New Roman"/>
          <w:sz w:val="24"/>
        </w:rPr>
        <w:t>With either tax credit, developers must meet several requirements.</w:t>
      </w:r>
      <w:r w:rsidR="00200EA8" w:rsidRPr="00ED240D">
        <w:rPr>
          <w:rFonts w:ascii="Times New Roman" w:hAnsi="Times New Roman" w:cs="Times New Roman"/>
          <w:sz w:val="24"/>
        </w:rPr>
        <w:t xml:space="preserve"> </w:t>
      </w:r>
      <w:r w:rsidRPr="00ED240D">
        <w:rPr>
          <w:rFonts w:ascii="Times New Roman" w:hAnsi="Times New Roman" w:cs="Times New Roman"/>
          <w:sz w:val="24"/>
        </w:rPr>
        <w:t xml:space="preserve">Developers must choose to meet one of two restrictions </w:t>
      </w:r>
      <w:r w:rsidR="002608B7" w:rsidRPr="00ED240D">
        <w:rPr>
          <w:rFonts w:ascii="Times New Roman" w:hAnsi="Times New Roman" w:cs="Times New Roman"/>
          <w:sz w:val="24"/>
        </w:rPr>
        <w:t xml:space="preserve">on who to serve with the units built or renovated. The </w:t>
      </w:r>
      <w:r w:rsidR="002608B7" w:rsidRPr="00ED240D">
        <w:rPr>
          <w:rFonts w:ascii="Times New Roman" w:hAnsi="Times New Roman" w:cs="Times New Roman"/>
          <w:sz w:val="24"/>
        </w:rPr>
        <w:lastRenderedPageBreak/>
        <w:t>program requires either that greater than or equal to 40 percent of the units have to be occupied by tenants making less than 60% of the Area Median Income (AMI) or greater than or equal to 20 percent of the units must be occupied by tenants making less than 50% of the AMI.</w:t>
      </w:r>
      <w:r w:rsidR="002608B7" w:rsidRPr="00ED240D">
        <w:rPr>
          <w:rStyle w:val="FootnoteReference"/>
          <w:rFonts w:ascii="Times New Roman" w:hAnsi="Times New Roman" w:cs="Times New Roman"/>
          <w:sz w:val="24"/>
        </w:rPr>
        <w:footnoteReference w:id="7"/>
      </w:r>
      <w:r w:rsidR="00200EA8" w:rsidRPr="00ED240D">
        <w:rPr>
          <w:rFonts w:ascii="Times New Roman" w:hAnsi="Times New Roman" w:cs="Times New Roman"/>
          <w:sz w:val="24"/>
        </w:rPr>
        <w:t xml:space="preserve"> These income eligibility and affordability requirements are the means of this policy to make rental units more affordable for low-income households. Developers in exchange for this credit or subsidy cap their rents at prices below market rents</w:t>
      </w:r>
      <w:r w:rsidR="004702C5" w:rsidRPr="00ED240D">
        <w:rPr>
          <w:rFonts w:ascii="Times New Roman" w:hAnsi="Times New Roman" w:cs="Times New Roman"/>
          <w:sz w:val="24"/>
        </w:rPr>
        <w:t>, essentially creating a rent ceiling</w:t>
      </w:r>
      <w:r w:rsidR="00200EA8" w:rsidRPr="00ED240D">
        <w:rPr>
          <w:rFonts w:ascii="Times New Roman" w:hAnsi="Times New Roman" w:cs="Times New Roman"/>
          <w:sz w:val="24"/>
        </w:rPr>
        <w:t>. The “affordability” requirement states that rents must be at prices less than 30% of the income of eligible households for 30-year periods since the policy was changed in 1989.</w:t>
      </w:r>
      <w:r w:rsidR="00200EA8" w:rsidRPr="00ED240D">
        <w:rPr>
          <w:rStyle w:val="FootnoteReference"/>
          <w:rFonts w:ascii="Times New Roman" w:hAnsi="Times New Roman" w:cs="Times New Roman"/>
          <w:sz w:val="24"/>
        </w:rPr>
        <w:footnoteReference w:id="8"/>
      </w:r>
      <w:r w:rsidR="00200EA8" w:rsidRPr="00ED240D">
        <w:rPr>
          <w:rFonts w:ascii="Times New Roman" w:hAnsi="Times New Roman" w:cs="Times New Roman"/>
          <w:sz w:val="24"/>
        </w:rPr>
        <w:t xml:space="preserve"> </w:t>
      </w:r>
    </w:p>
    <w:p w14:paraId="60EAFA4E" w14:textId="77777777" w:rsidR="00BC3A95" w:rsidRPr="00ED240D" w:rsidRDefault="00E56166" w:rsidP="00254B1A">
      <w:pPr>
        <w:spacing w:line="360" w:lineRule="auto"/>
        <w:ind w:firstLine="720"/>
        <w:rPr>
          <w:rFonts w:ascii="Times New Roman" w:hAnsi="Times New Roman" w:cs="Times New Roman"/>
          <w:sz w:val="24"/>
        </w:rPr>
      </w:pPr>
      <w:r w:rsidRPr="00ED240D">
        <w:rPr>
          <w:rFonts w:ascii="Times New Roman" w:hAnsi="Times New Roman" w:cs="Times New Roman"/>
          <w:sz w:val="24"/>
        </w:rPr>
        <w:t>Selected d</w:t>
      </w:r>
      <w:r w:rsidR="00BC3A95" w:rsidRPr="00ED240D">
        <w:rPr>
          <w:rFonts w:ascii="Times New Roman" w:hAnsi="Times New Roman" w:cs="Times New Roman"/>
          <w:sz w:val="24"/>
        </w:rPr>
        <w:t xml:space="preserve">evelopers receive a tax credit </w:t>
      </w:r>
      <w:r w:rsidR="00513D33" w:rsidRPr="00ED240D">
        <w:rPr>
          <w:rFonts w:ascii="Times New Roman" w:hAnsi="Times New Roman" w:cs="Times New Roman"/>
          <w:sz w:val="24"/>
        </w:rPr>
        <w:t xml:space="preserve">equal to 4 or 9 percent of a project’s cost of construction </w:t>
      </w:r>
      <w:r w:rsidR="00C03833" w:rsidRPr="00ED240D">
        <w:rPr>
          <w:rFonts w:ascii="Times New Roman" w:hAnsi="Times New Roman" w:cs="Times New Roman"/>
          <w:sz w:val="24"/>
        </w:rPr>
        <w:t xml:space="preserve">to be </w:t>
      </w:r>
      <w:r w:rsidR="00513D33" w:rsidRPr="00ED240D">
        <w:rPr>
          <w:rFonts w:ascii="Times New Roman" w:hAnsi="Times New Roman" w:cs="Times New Roman"/>
          <w:sz w:val="24"/>
        </w:rPr>
        <w:t xml:space="preserve">claimed </w:t>
      </w:r>
      <w:r w:rsidR="00C03833" w:rsidRPr="00ED240D">
        <w:rPr>
          <w:rFonts w:ascii="Times New Roman" w:hAnsi="Times New Roman" w:cs="Times New Roman"/>
          <w:sz w:val="24"/>
        </w:rPr>
        <w:t xml:space="preserve">over </w:t>
      </w:r>
      <w:r w:rsidR="00BC3A95" w:rsidRPr="00ED240D">
        <w:rPr>
          <w:rFonts w:ascii="Times New Roman" w:hAnsi="Times New Roman" w:cs="Times New Roman"/>
          <w:sz w:val="24"/>
        </w:rPr>
        <w:t xml:space="preserve">a </w:t>
      </w:r>
      <w:r w:rsidR="002F27A4" w:rsidRPr="00ED240D">
        <w:rPr>
          <w:rFonts w:ascii="Times New Roman" w:hAnsi="Times New Roman" w:cs="Times New Roman"/>
          <w:sz w:val="24"/>
        </w:rPr>
        <w:t>10-year</w:t>
      </w:r>
      <w:r w:rsidR="00BC3A95" w:rsidRPr="00ED240D">
        <w:rPr>
          <w:rFonts w:ascii="Times New Roman" w:hAnsi="Times New Roman" w:cs="Times New Roman"/>
          <w:sz w:val="24"/>
        </w:rPr>
        <w:t xml:space="preserve"> </w:t>
      </w:r>
      <w:r w:rsidR="00513D33" w:rsidRPr="00ED240D">
        <w:rPr>
          <w:rFonts w:ascii="Times New Roman" w:hAnsi="Times New Roman" w:cs="Times New Roman"/>
          <w:sz w:val="24"/>
        </w:rPr>
        <w:t>period</w:t>
      </w:r>
      <w:r w:rsidR="004702C5" w:rsidRPr="00ED240D">
        <w:rPr>
          <w:rFonts w:ascii="Times New Roman" w:hAnsi="Times New Roman" w:cs="Times New Roman"/>
          <w:sz w:val="24"/>
        </w:rPr>
        <w:t xml:space="preserve"> as soon as the project has been built and placed in service. </w:t>
      </w:r>
    </w:p>
    <w:p w14:paraId="3191628C" w14:textId="77777777" w:rsidR="00F83BB6" w:rsidRPr="00ED240D" w:rsidRDefault="002F27A4" w:rsidP="00254B1A">
      <w:pPr>
        <w:spacing w:line="360" w:lineRule="auto"/>
        <w:ind w:firstLine="720"/>
        <w:rPr>
          <w:rFonts w:ascii="Times New Roman" w:hAnsi="Times New Roman" w:cs="Times New Roman"/>
          <w:sz w:val="24"/>
        </w:rPr>
      </w:pPr>
      <w:r w:rsidRPr="00ED240D">
        <w:rPr>
          <w:rFonts w:ascii="Times New Roman" w:hAnsi="Times New Roman" w:cs="Times New Roman"/>
          <w:sz w:val="24"/>
        </w:rPr>
        <w:t>An example to understand the LIHTC project construction costs compared to the foregone tax revenue for the federal government. Let there be a new LIHTC project selected by the State of Virginia for a 9% tax credit and constructed by a developer in year 2000. The new affordable housing rental units cost $</w:t>
      </w:r>
      <w:r w:rsidR="00601A07" w:rsidRPr="00ED240D">
        <w:rPr>
          <w:rFonts w:ascii="Times New Roman" w:hAnsi="Times New Roman" w:cs="Times New Roman"/>
          <w:sz w:val="24"/>
        </w:rPr>
        <w:t>1</w:t>
      </w:r>
      <w:r w:rsidRPr="00ED240D">
        <w:rPr>
          <w:rFonts w:ascii="Times New Roman" w:hAnsi="Times New Roman" w:cs="Times New Roman"/>
          <w:sz w:val="24"/>
        </w:rPr>
        <w:t xml:space="preserve"> million. The 9% tax credit applied to the $1 million cost of construction produces a $90,000 nonrefundable tax credit </w:t>
      </w:r>
      <w:r w:rsidR="00601A07" w:rsidRPr="00ED240D">
        <w:rPr>
          <w:rFonts w:ascii="Times New Roman" w:hAnsi="Times New Roman" w:cs="Times New Roman"/>
          <w:sz w:val="24"/>
        </w:rPr>
        <w:t>a</w:t>
      </w:r>
      <w:r w:rsidRPr="00ED240D">
        <w:rPr>
          <w:rFonts w:ascii="Times New Roman" w:hAnsi="Times New Roman" w:cs="Times New Roman"/>
          <w:sz w:val="24"/>
        </w:rPr>
        <w:t xml:space="preserve"> year for 10 years. Assuming a 2.5% interest over the 10-year period, the $900,000 total value of tax credits would have a present value of approximately $700,000 which is relatively 70% of the construction costs.</w:t>
      </w:r>
      <w:r w:rsidR="00601A07" w:rsidRPr="00ED240D">
        <w:rPr>
          <w:rFonts w:ascii="Times New Roman" w:hAnsi="Times New Roman" w:cs="Times New Roman"/>
          <w:sz w:val="24"/>
        </w:rPr>
        <w:t xml:space="preserve"> Historically the 9% tax credit has produced a subsidy of around 70% and the 4% tax credit produces a 30% subsidy. </w:t>
      </w:r>
    </w:p>
    <w:p w14:paraId="317E5107" w14:textId="77777777" w:rsidR="00AC7322" w:rsidRPr="00254B1A" w:rsidRDefault="00D212CF" w:rsidP="00254B1A">
      <w:pPr>
        <w:spacing w:line="360" w:lineRule="auto"/>
        <w:ind w:firstLine="720"/>
        <w:rPr>
          <w:rFonts w:ascii="Times New Roman" w:hAnsi="Times New Roman" w:cs="Times New Roman"/>
          <w:sz w:val="24"/>
        </w:rPr>
      </w:pPr>
      <w:r w:rsidRPr="00ED240D">
        <w:rPr>
          <w:rFonts w:ascii="Times New Roman" w:hAnsi="Times New Roman" w:cs="Times New Roman"/>
          <w:sz w:val="24"/>
        </w:rPr>
        <w:t>Another important aspect of the allocation process to consider is that there are extra tax incentives available for properties that are located within a qualified census tract</w:t>
      </w:r>
      <w:r w:rsidR="00E04F98" w:rsidRPr="00ED240D">
        <w:rPr>
          <w:rFonts w:ascii="Times New Roman" w:hAnsi="Times New Roman" w:cs="Times New Roman"/>
          <w:sz w:val="24"/>
        </w:rPr>
        <w:t xml:space="preserve"> (QCT)</w:t>
      </w:r>
      <w:r w:rsidRPr="00ED240D">
        <w:rPr>
          <w:rFonts w:ascii="Times New Roman" w:hAnsi="Times New Roman" w:cs="Times New Roman"/>
          <w:sz w:val="24"/>
        </w:rPr>
        <w:t>.</w:t>
      </w:r>
      <w:r w:rsidR="00E04F98" w:rsidRPr="00ED240D">
        <w:rPr>
          <w:rFonts w:ascii="Times New Roman" w:hAnsi="Times New Roman" w:cs="Times New Roman"/>
          <w:sz w:val="24"/>
        </w:rPr>
        <w:t xml:space="preserve"> Tracts that have 50% of households with incomes less than 60 percent of the area median income or the poverty rate is greater than 25 percent can be deemed as a QCT. Every year the HUD determines and releases which tracts with high-poverty receive QCT status. If a project is placed in a QCT than the project is eligible to claim 30% more in tax credits.</w:t>
      </w:r>
      <w:r w:rsidRPr="00ED240D">
        <w:rPr>
          <w:rFonts w:ascii="Times New Roman" w:hAnsi="Times New Roman" w:cs="Times New Roman"/>
          <w:sz w:val="24"/>
        </w:rPr>
        <w:t xml:space="preserve"> </w:t>
      </w:r>
      <w:r w:rsidRPr="00ED240D">
        <w:rPr>
          <w:rFonts w:ascii="Times New Roman" w:hAnsi="Times New Roman" w:cs="Times New Roman"/>
          <w:b/>
          <w:sz w:val="24"/>
        </w:rPr>
        <w:t>(Freedman and Owens, 2011)</w:t>
      </w:r>
      <w:r w:rsidRPr="00ED240D">
        <w:rPr>
          <w:rFonts w:ascii="Times New Roman" w:hAnsi="Times New Roman" w:cs="Times New Roman"/>
          <w:sz w:val="24"/>
        </w:rPr>
        <w:t xml:space="preserve">. </w:t>
      </w:r>
    </w:p>
    <w:p w14:paraId="55F74DE9" w14:textId="77777777" w:rsidR="00361433" w:rsidRPr="00ED240D" w:rsidRDefault="000A1403" w:rsidP="00ED240D">
      <w:pPr>
        <w:spacing w:line="360" w:lineRule="auto"/>
        <w:rPr>
          <w:rFonts w:ascii="Times New Roman" w:hAnsi="Times New Roman" w:cs="Times New Roman"/>
          <w:i/>
          <w:sz w:val="24"/>
        </w:rPr>
      </w:pPr>
      <w:r w:rsidRPr="00ED240D">
        <w:rPr>
          <w:rFonts w:ascii="Times New Roman" w:hAnsi="Times New Roman" w:cs="Times New Roman"/>
          <w:b/>
          <w:i/>
          <w:sz w:val="24"/>
        </w:rPr>
        <w:lastRenderedPageBreak/>
        <w:t xml:space="preserve">3. </w:t>
      </w:r>
      <w:r w:rsidR="003B1928" w:rsidRPr="00ED240D">
        <w:rPr>
          <w:rFonts w:ascii="Times New Roman" w:hAnsi="Times New Roman" w:cs="Times New Roman"/>
          <w:b/>
          <w:i/>
          <w:sz w:val="24"/>
        </w:rPr>
        <w:t>Data</w:t>
      </w:r>
    </w:p>
    <w:p w14:paraId="0B74D1B8" w14:textId="77777777" w:rsidR="00A06A30" w:rsidRPr="00ED240D" w:rsidRDefault="00A06A30" w:rsidP="00ED240D">
      <w:pPr>
        <w:spacing w:line="360" w:lineRule="auto"/>
        <w:ind w:firstLine="720"/>
        <w:rPr>
          <w:rFonts w:ascii="Times New Roman" w:hAnsi="Times New Roman" w:cs="Times New Roman"/>
          <w:sz w:val="24"/>
        </w:rPr>
      </w:pPr>
      <w:r w:rsidRPr="00ED240D">
        <w:rPr>
          <w:rFonts w:ascii="Times New Roman" w:hAnsi="Times New Roman" w:cs="Times New Roman"/>
          <w:sz w:val="24"/>
        </w:rPr>
        <w:t>The data comes from two sources. The first is administrative data. The Department of Housing and Urban Development maintains the National Low-Income Housing Tax Credit Database that lists all of the LIHTC projects placed in service since the program’s start</w:t>
      </w:r>
      <w:r w:rsidR="00C90E8E" w:rsidRPr="00ED240D">
        <w:rPr>
          <w:rFonts w:ascii="Times New Roman" w:hAnsi="Times New Roman" w:cs="Times New Roman"/>
          <w:sz w:val="24"/>
        </w:rPr>
        <w:t xml:space="preserve"> in 1987</w:t>
      </w:r>
      <w:r w:rsidR="007019D1" w:rsidRPr="00ED240D">
        <w:rPr>
          <w:rFonts w:ascii="Times New Roman" w:hAnsi="Times New Roman" w:cs="Times New Roman"/>
          <w:sz w:val="24"/>
        </w:rPr>
        <w:t xml:space="preserve"> until 2016</w:t>
      </w:r>
      <w:r w:rsidRPr="00ED240D">
        <w:rPr>
          <w:rFonts w:ascii="Times New Roman" w:hAnsi="Times New Roman" w:cs="Times New Roman"/>
          <w:sz w:val="24"/>
        </w:rPr>
        <w:t>.</w:t>
      </w:r>
      <w:r w:rsidR="00012F6E" w:rsidRPr="00ED240D">
        <w:rPr>
          <w:rFonts w:ascii="Times New Roman" w:hAnsi="Times New Roman" w:cs="Times New Roman"/>
          <w:sz w:val="24"/>
        </w:rPr>
        <w:t xml:space="preserve"> The dataset includes 46,544 different properties in the United States. </w:t>
      </w:r>
      <w:r w:rsidR="00473B07" w:rsidRPr="00ED240D">
        <w:rPr>
          <w:rFonts w:ascii="Times New Roman" w:hAnsi="Times New Roman" w:cs="Times New Roman"/>
          <w:sz w:val="24"/>
        </w:rPr>
        <w:t>Missing data is a major concern</w:t>
      </w:r>
      <w:r w:rsidR="007019D1" w:rsidRPr="00ED240D">
        <w:rPr>
          <w:rFonts w:ascii="Times New Roman" w:hAnsi="Times New Roman" w:cs="Times New Roman"/>
          <w:sz w:val="24"/>
        </w:rPr>
        <w:t>. 7.82% of observations were missing data on the number of low-income units for each project. A</w:t>
      </w:r>
      <w:r w:rsidR="002A601E" w:rsidRPr="00ED240D">
        <w:rPr>
          <w:rFonts w:ascii="Times New Roman" w:hAnsi="Times New Roman" w:cs="Times New Roman"/>
          <w:sz w:val="24"/>
        </w:rPr>
        <w:t>fter deleting cases with missing values for number of units and year placed in service, only 34</w:t>
      </w:r>
      <w:r w:rsidR="00F83BB6" w:rsidRPr="00ED240D">
        <w:rPr>
          <w:rFonts w:ascii="Times New Roman" w:hAnsi="Times New Roman" w:cs="Times New Roman"/>
          <w:sz w:val="24"/>
        </w:rPr>
        <w:t>,</w:t>
      </w:r>
      <w:r w:rsidR="002A601E" w:rsidRPr="00ED240D">
        <w:rPr>
          <w:rFonts w:ascii="Times New Roman" w:hAnsi="Times New Roman" w:cs="Times New Roman"/>
          <w:sz w:val="24"/>
        </w:rPr>
        <w:t>767 projects remained</w:t>
      </w:r>
      <w:r w:rsidR="007019D1" w:rsidRPr="00ED240D">
        <w:rPr>
          <w:rFonts w:ascii="Times New Roman" w:hAnsi="Times New Roman" w:cs="Times New Roman"/>
          <w:sz w:val="24"/>
        </w:rPr>
        <w:t xml:space="preserve">. </w:t>
      </w:r>
      <w:r w:rsidRPr="00ED240D">
        <w:rPr>
          <w:rFonts w:ascii="Times New Roman" w:hAnsi="Times New Roman" w:cs="Times New Roman"/>
          <w:sz w:val="24"/>
        </w:rPr>
        <w:t xml:space="preserve">Each </w:t>
      </w:r>
      <w:r w:rsidR="00C90E8E" w:rsidRPr="00ED240D">
        <w:rPr>
          <w:rFonts w:ascii="Times New Roman" w:hAnsi="Times New Roman" w:cs="Times New Roman"/>
          <w:sz w:val="24"/>
        </w:rPr>
        <w:t>observation or property ha</w:t>
      </w:r>
      <w:r w:rsidR="002A601E" w:rsidRPr="00ED240D">
        <w:rPr>
          <w:rFonts w:ascii="Times New Roman" w:hAnsi="Times New Roman" w:cs="Times New Roman"/>
          <w:sz w:val="24"/>
        </w:rPr>
        <w:t>d</w:t>
      </w:r>
      <w:r w:rsidR="00C90E8E" w:rsidRPr="00ED240D">
        <w:rPr>
          <w:rFonts w:ascii="Times New Roman" w:hAnsi="Times New Roman" w:cs="Times New Roman"/>
          <w:sz w:val="24"/>
        </w:rPr>
        <w:t xml:space="preserve"> several variables of interest including street address, total number of low-income units, elected rent and income ceiling, year placed in service, information on other federal or state financial assistance, and whether the project is new production or preservation (rehabilitation). </w:t>
      </w:r>
      <w:r w:rsidR="006A4A23" w:rsidRPr="00ED240D">
        <w:rPr>
          <w:rFonts w:ascii="Times New Roman" w:hAnsi="Times New Roman" w:cs="Times New Roman"/>
          <w:sz w:val="24"/>
        </w:rPr>
        <w:t xml:space="preserve">The data available only presents the condition and characteristics of each LIHTC project for the year placed in service. </w:t>
      </w:r>
      <w:r w:rsidR="00B65B4B" w:rsidRPr="00ED240D">
        <w:rPr>
          <w:rFonts w:ascii="Times New Roman" w:hAnsi="Times New Roman" w:cs="Times New Roman"/>
          <w:sz w:val="24"/>
        </w:rPr>
        <w:t xml:space="preserve">The lack of data on projects throughout their history diminishes the accuracy of the results. </w:t>
      </w:r>
    </w:p>
    <w:p w14:paraId="1B9E2CCE" w14:textId="77777777" w:rsidR="00E60F87" w:rsidRPr="00ED240D" w:rsidRDefault="00E60F87" w:rsidP="00ED240D">
      <w:pPr>
        <w:spacing w:line="360" w:lineRule="auto"/>
        <w:ind w:firstLine="720"/>
        <w:rPr>
          <w:rFonts w:ascii="Times New Roman" w:hAnsi="Times New Roman" w:cs="Times New Roman"/>
          <w:sz w:val="24"/>
        </w:rPr>
      </w:pPr>
      <w:r w:rsidRPr="00ED240D">
        <w:rPr>
          <w:rFonts w:ascii="Times New Roman" w:hAnsi="Times New Roman" w:cs="Times New Roman"/>
          <w:sz w:val="24"/>
        </w:rPr>
        <w:t xml:space="preserve">Table 1 presents summary statistics of the LIHTC data. </w:t>
      </w:r>
      <w:r w:rsidR="00174F75" w:rsidRPr="00ED240D">
        <w:rPr>
          <w:rFonts w:ascii="Times New Roman" w:hAnsi="Times New Roman" w:cs="Times New Roman"/>
          <w:sz w:val="24"/>
        </w:rPr>
        <w:t xml:space="preserve">The average dollar amount allocated for each LIHTC project was $391,103.90. The total number of units and the total number of low-income units has a gap indicating not all apartment complexes are 100% full of LIHTC units. </w:t>
      </w:r>
    </w:p>
    <w:tbl>
      <w:tblPr>
        <w:tblStyle w:val="TableGrid"/>
        <w:tblW w:w="9270" w:type="dxa"/>
        <w:tblLook w:val="04A0" w:firstRow="1" w:lastRow="0" w:firstColumn="1" w:lastColumn="0" w:noHBand="0" w:noVBand="1"/>
      </w:tblPr>
      <w:tblGrid>
        <w:gridCol w:w="1329"/>
        <w:gridCol w:w="3063"/>
        <w:gridCol w:w="1069"/>
        <w:gridCol w:w="687"/>
        <w:gridCol w:w="332"/>
        <w:gridCol w:w="885"/>
        <w:gridCol w:w="895"/>
        <w:gridCol w:w="1010"/>
      </w:tblGrid>
      <w:tr w:rsidR="00A90824" w:rsidRPr="00A90824" w14:paraId="386CECD3" w14:textId="77777777" w:rsidTr="00CA72E7">
        <w:trPr>
          <w:trHeight w:val="458"/>
        </w:trPr>
        <w:tc>
          <w:tcPr>
            <w:tcW w:w="6148" w:type="dxa"/>
            <w:gridSpan w:val="4"/>
            <w:tcBorders>
              <w:top w:val="nil"/>
              <w:left w:val="nil"/>
              <w:bottom w:val="single" w:sz="4" w:space="0" w:color="auto"/>
              <w:right w:val="nil"/>
            </w:tcBorders>
          </w:tcPr>
          <w:p w14:paraId="1E298DB7" w14:textId="77777777" w:rsidR="00A90824" w:rsidRPr="00A90824" w:rsidRDefault="00A90824" w:rsidP="00C47083">
            <w:pPr>
              <w:ind w:left="-108" w:right="-102"/>
              <w:rPr>
                <w:rFonts w:ascii="Times New Roman" w:hAnsi="Times New Roman" w:cs="Times New Roman"/>
                <w:b/>
                <w:sz w:val="16"/>
                <w:szCs w:val="16"/>
              </w:rPr>
            </w:pPr>
            <w:r w:rsidRPr="00A90824">
              <w:rPr>
                <w:rFonts w:ascii="Times New Roman" w:hAnsi="Times New Roman" w:cs="Times New Roman"/>
                <w:b/>
                <w:sz w:val="16"/>
                <w:szCs w:val="16"/>
              </w:rPr>
              <w:t>Table 1</w:t>
            </w:r>
          </w:p>
          <w:p w14:paraId="3B2E65C5" w14:textId="77777777" w:rsidR="00A90824" w:rsidRPr="00CA72E7" w:rsidRDefault="00A90824" w:rsidP="00C47083">
            <w:pPr>
              <w:ind w:left="-108" w:right="-102"/>
              <w:rPr>
                <w:rFonts w:ascii="Times New Roman" w:hAnsi="Times New Roman" w:cs="Times New Roman"/>
                <w:sz w:val="16"/>
                <w:szCs w:val="16"/>
              </w:rPr>
            </w:pPr>
            <w:r w:rsidRPr="00CA72E7">
              <w:rPr>
                <w:rFonts w:ascii="Times New Roman" w:hAnsi="Times New Roman" w:cs="Times New Roman"/>
                <w:sz w:val="16"/>
                <w:szCs w:val="16"/>
              </w:rPr>
              <w:t>Summary Statistics of the LIHTC data</w:t>
            </w:r>
            <w:r w:rsidR="00CA72E7" w:rsidRPr="00CA72E7">
              <w:rPr>
                <w:rFonts w:ascii="Times New Roman" w:hAnsi="Times New Roman" w:cs="Times New Roman"/>
                <w:sz w:val="16"/>
                <w:szCs w:val="16"/>
              </w:rPr>
              <w:t>. (Selected variables of interest)</w:t>
            </w:r>
          </w:p>
        </w:tc>
        <w:tc>
          <w:tcPr>
            <w:tcW w:w="332" w:type="dxa"/>
            <w:tcBorders>
              <w:top w:val="nil"/>
              <w:left w:val="nil"/>
              <w:bottom w:val="single" w:sz="4" w:space="0" w:color="auto"/>
              <w:right w:val="nil"/>
            </w:tcBorders>
          </w:tcPr>
          <w:p w14:paraId="7E030A8F" w14:textId="77777777" w:rsidR="00A90824" w:rsidRPr="00A90824" w:rsidRDefault="00A90824" w:rsidP="00C47083">
            <w:pPr>
              <w:ind w:left="-108"/>
              <w:rPr>
                <w:rFonts w:ascii="Times New Roman" w:hAnsi="Times New Roman" w:cs="Times New Roman"/>
                <w:sz w:val="16"/>
                <w:szCs w:val="16"/>
              </w:rPr>
            </w:pPr>
          </w:p>
        </w:tc>
        <w:tc>
          <w:tcPr>
            <w:tcW w:w="885" w:type="dxa"/>
            <w:tcBorders>
              <w:top w:val="nil"/>
              <w:left w:val="nil"/>
              <w:bottom w:val="single" w:sz="4" w:space="0" w:color="auto"/>
              <w:right w:val="nil"/>
            </w:tcBorders>
          </w:tcPr>
          <w:p w14:paraId="55B9018A" w14:textId="77777777" w:rsidR="00A90824" w:rsidRPr="00A90824" w:rsidRDefault="00A90824" w:rsidP="00C47083">
            <w:pPr>
              <w:ind w:left="-108"/>
              <w:rPr>
                <w:rFonts w:ascii="Times New Roman" w:hAnsi="Times New Roman" w:cs="Times New Roman"/>
                <w:sz w:val="16"/>
                <w:szCs w:val="16"/>
              </w:rPr>
            </w:pPr>
          </w:p>
        </w:tc>
        <w:tc>
          <w:tcPr>
            <w:tcW w:w="895" w:type="dxa"/>
            <w:tcBorders>
              <w:top w:val="nil"/>
              <w:left w:val="nil"/>
              <w:bottom w:val="single" w:sz="4" w:space="0" w:color="auto"/>
              <w:right w:val="nil"/>
            </w:tcBorders>
          </w:tcPr>
          <w:p w14:paraId="357CF30F" w14:textId="77777777" w:rsidR="00A90824" w:rsidRPr="00A90824" w:rsidRDefault="00A90824" w:rsidP="00C47083">
            <w:pPr>
              <w:ind w:left="-108"/>
              <w:rPr>
                <w:rFonts w:ascii="Times New Roman" w:hAnsi="Times New Roman" w:cs="Times New Roman"/>
                <w:sz w:val="16"/>
                <w:szCs w:val="16"/>
              </w:rPr>
            </w:pPr>
          </w:p>
        </w:tc>
        <w:tc>
          <w:tcPr>
            <w:tcW w:w="1010" w:type="dxa"/>
            <w:tcBorders>
              <w:top w:val="nil"/>
              <w:left w:val="nil"/>
              <w:bottom w:val="single" w:sz="4" w:space="0" w:color="auto"/>
              <w:right w:val="nil"/>
            </w:tcBorders>
          </w:tcPr>
          <w:p w14:paraId="15855DD2" w14:textId="77777777" w:rsidR="00A90824" w:rsidRPr="00A90824" w:rsidRDefault="00A90824" w:rsidP="00C47083">
            <w:pPr>
              <w:ind w:left="-108"/>
              <w:rPr>
                <w:rFonts w:ascii="Times New Roman" w:hAnsi="Times New Roman" w:cs="Times New Roman"/>
                <w:sz w:val="16"/>
                <w:szCs w:val="16"/>
              </w:rPr>
            </w:pPr>
          </w:p>
        </w:tc>
      </w:tr>
      <w:tr w:rsidR="00A90824" w:rsidRPr="00A90824" w14:paraId="16C2ED1F" w14:textId="77777777" w:rsidTr="00CA72E7">
        <w:trPr>
          <w:trHeight w:val="288"/>
        </w:trPr>
        <w:tc>
          <w:tcPr>
            <w:tcW w:w="1329" w:type="dxa"/>
            <w:tcBorders>
              <w:top w:val="single" w:sz="4" w:space="0" w:color="auto"/>
              <w:left w:val="nil"/>
              <w:bottom w:val="single" w:sz="4" w:space="0" w:color="auto"/>
              <w:right w:val="nil"/>
            </w:tcBorders>
            <w:vAlign w:val="center"/>
          </w:tcPr>
          <w:p w14:paraId="45C62295" w14:textId="77777777" w:rsidR="00A90824" w:rsidRPr="00A90824" w:rsidRDefault="00A90824" w:rsidP="00C47083">
            <w:pPr>
              <w:rPr>
                <w:rFonts w:ascii="Times New Roman" w:hAnsi="Times New Roman" w:cs="Times New Roman"/>
                <w:sz w:val="16"/>
                <w:szCs w:val="16"/>
              </w:rPr>
            </w:pPr>
            <w:r w:rsidRPr="00A90824">
              <w:rPr>
                <w:rFonts w:ascii="Times New Roman" w:hAnsi="Times New Roman" w:cs="Times New Roman"/>
                <w:sz w:val="16"/>
                <w:szCs w:val="16"/>
              </w:rPr>
              <w:t>Variables</w:t>
            </w:r>
          </w:p>
        </w:tc>
        <w:tc>
          <w:tcPr>
            <w:tcW w:w="3063" w:type="dxa"/>
            <w:tcBorders>
              <w:top w:val="single" w:sz="4" w:space="0" w:color="auto"/>
              <w:left w:val="nil"/>
              <w:bottom w:val="single" w:sz="4" w:space="0" w:color="auto"/>
              <w:right w:val="nil"/>
            </w:tcBorders>
            <w:vAlign w:val="center"/>
          </w:tcPr>
          <w:p w14:paraId="5D29965A" w14:textId="77777777" w:rsidR="00A90824" w:rsidRPr="00A90824" w:rsidRDefault="00A90824" w:rsidP="00A90824">
            <w:pPr>
              <w:rPr>
                <w:rFonts w:ascii="Times New Roman" w:hAnsi="Times New Roman" w:cs="Times New Roman"/>
                <w:sz w:val="16"/>
                <w:szCs w:val="16"/>
              </w:rPr>
            </w:pPr>
            <w:r w:rsidRPr="00A90824">
              <w:rPr>
                <w:rFonts w:ascii="Times New Roman" w:hAnsi="Times New Roman" w:cs="Times New Roman"/>
                <w:sz w:val="16"/>
                <w:szCs w:val="16"/>
              </w:rPr>
              <w:t>Variable Description</w:t>
            </w:r>
          </w:p>
        </w:tc>
        <w:tc>
          <w:tcPr>
            <w:tcW w:w="1069" w:type="dxa"/>
            <w:tcBorders>
              <w:top w:val="single" w:sz="4" w:space="0" w:color="auto"/>
              <w:left w:val="nil"/>
              <w:bottom w:val="single" w:sz="4" w:space="0" w:color="auto"/>
              <w:right w:val="nil"/>
            </w:tcBorders>
            <w:vAlign w:val="center"/>
          </w:tcPr>
          <w:p w14:paraId="1F79EDF0" w14:textId="77777777" w:rsidR="00A90824" w:rsidRPr="00A90824" w:rsidRDefault="00A90824" w:rsidP="00C47083">
            <w:pPr>
              <w:rPr>
                <w:rFonts w:ascii="Times New Roman" w:hAnsi="Times New Roman" w:cs="Times New Roman"/>
                <w:sz w:val="16"/>
                <w:szCs w:val="16"/>
              </w:rPr>
            </w:pPr>
            <w:r w:rsidRPr="00A90824">
              <w:rPr>
                <w:rFonts w:ascii="Times New Roman" w:hAnsi="Times New Roman" w:cs="Times New Roman"/>
                <w:sz w:val="16"/>
                <w:szCs w:val="16"/>
              </w:rPr>
              <w:t>Mean</w:t>
            </w:r>
          </w:p>
        </w:tc>
        <w:tc>
          <w:tcPr>
            <w:tcW w:w="1019" w:type="dxa"/>
            <w:gridSpan w:val="2"/>
            <w:tcBorders>
              <w:top w:val="single" w:sz="4" w:space="0" w:color="auto"/>
              <w:left w:val="nil"/>
              <w:bottom w:val="single" w:sz="4" w:space="0" w:color="auto"/>
              <w:right w:val="nil"/>
            </w:tcBorders>
            <w:vAlign w:val="center"/>
          </w:tcPr>
          <w:p w14:paraId="23A9D19A" w14:textId="77777777" w:rsidR="00A90824" w:rsidRPr="00A90824" w:rsidRDefault="00A90824" w:rsidP="00C47083">
            <w:pPr>
              <w:rPr>
                <w:rFonts w:ascii="Times New Roman" w:hAnsi="Times New Roman" w:cs="Times New Roman"/>
                <w:sz w:val="16"/>
                <w:szCs w:val="16"/>
              </w:rPr>
            </w:pPr>
            <w:r w:rsidRPr="00A90824">
              <w:rPr>
                <w:rFonts w:ascii="Times New Roman" w:hAnsi="Times New Roman" w:cs="Times New Roman"/>
                <w:sz w:val="16"/>
                <w:szCs w:val="16"/>
              </w:rPr>
              <w:t>Std. dev.</w:t>
            </w:r>
          </w:p>
        </w:tc>
        <w:tc>
          <w:tcPr>
            <w:tcW w:w="885" w:type="dxa"/>
            <w:tcBorders>
              <w:top w:val="single" w:sz="4" w:space="0" w:color="auto"/>
              <w:left w:val="nil"/>
              <w:bottom w:val="single" w:sz="4" w:space="0" w:color="auto"/>
              <w:right w:val="nil"/>
            </w:tcBorders>
            <w:vAlign w:val="center"/>
          </w:tcPr>
          <w:p w14:paraId="44DACA60" w14:textId="77777777" w:rsidR="00A90824" w:rsidRPr="00A90824" w:rsidRDefault="00A90824" w:rsidP="00A90824">
            <w:pPr>
              <w:rPr>
                <w:rFonts w:ascii="Times New Roman" w:hAnsi="Times New Roman" w:cs="Times New Roman"/>
                <w:sz w:val="16"/>
                <w:szCs w:val="16"/>
              </w:rPr>
            </w:pPr>
            <w:r w:rsidRPr="00A90824">
              <w:rPr>
                <w:rFonts w:ascii="Times New Roman" w:hAnsi="Times New Roman" w:cs="Times New Roman"/>
                <w:sz w:val="16"/>
                <w:szCs w:val="16"/>
              </w:rPr>
              <w:t>Min</w:t>
            </w:r>
          </w:p>
        </w:tc>
        <w:tc>
          <w:tcPr>
            <w:tcW w:w="895" w:type="dxa"/>
            <w:tcBorders>
              <w:top w:val="single" w:sz="4" w:space="0" w:color="auto"/>
              <w:left w:val="nil"/>
              <w:bottom w:val="single" w:sz="4" w:space="0" w:color="auto"/>
              <w:right w:val="nil"/>
            </w:tcBorders>
            <w:vAlign w:val="center"/>
          </w:tcPr>
          <w:p w14:paraId="18929F04" w14:textId="77777777" w:rsidR="00A90824" w:rsidRPr="00A90824" w:rsidRDefault="00A90824" w:rsidP="00A90824">
            <w:pPr>
              <w:rPr>
                <w:rFonts w:ascii="Times New Roman" w:hAnsi="Times New Roman" w:cs="Times New Roman"/>
                <w:sz w:val="16"/>
                <w:szCs w:val="16"/>
              </w:rPr>
            </w:pPr>
            <w:r w:rsidRPr="00A90824">
              <w:rPr>
                <w:rFonts w:ascii="Times New Roman" w:hAnsi="Times New Roman" w:cs="Times New Roman"/>
                <w:sz w:val="16"/>
                <w:szCs w:val="16"/>
              </w:rPr>
              <w:t>Max</w:t>
            </w:r>
          </w:p>
        </w:tc>
        <w:tc>
          <w:tcPr>
            <w:tcW w:w="1010" w:type="dxa"/>
            <w:tcBorders>
              <w:top w:val="single" w:sz="4" w:space="0" w:color="auto"/>
              <w:left w:val="nil"/>
              <w:bottom w:val="single" w:sz="4" w:space="0" w:color="auto"/>
              <w:right w:val="nil"/>
            </w:tcBorders>
            <w:vAlign w:val="center"/>
          </w:tcPr>
          <w:p w14:paraId="4BEB23A2" w14:textId="77777777" w:rsidR="00A90824" w:rsidRPr="00A90824" w:rsidRDefault="00CA72E7" w:rsidP="00CA72E7">
            <w:pPr>
              <w:rPr>
                <w:rFonts w:ascii="Times New Roman" w:hAnsi="Times New Roman" w:cs="Times New Roman"/>
                <w:sz w:val="16"/>
                <w:szCs w:val="16"/>
              </w:rPr>
            </w:pPr>
            <w:r>
              <w:rPr>
                <w:rFonts w:ascii="Times New Roman" w:hAnsi="Times New Roman" w:cs="Times New Roman"/>
                <w:sz w:val="16"/>
                <w:szCs w:val="16"/>
              </w:rPr>
              <w:t xml:space="preserve">No. of obs. </w:t>
            </w:r>
          </w:p>
        </w:tc>
      </w:tr>
      <w:tr w:rsidR="00A90824" w:rsidRPr="00A90824" w14:paraId="47E65CCA" w14:textId="77777777" w:rsidTr="00CA72E7">
        <w:tc>
          <w:tcPr>
            <w:tcW w:w="1329" w:type="dxa"/>
            <w:tcBorders>
              <w:top w:val="single" w:sz="4" w:space="0" w:color="auto"/>
              <w:left w:val="nil"/>
              <w:bottom w:val="nil"/>
              <w:right w:val="nil"/>
            </w:tcBorders>
          </w:tcPr>
          <w:p w14:paraId="4F0F8DFC" w14:textId="77777777" w:rsidR="00A90824" w:rsidRPr="00A90824" w:rsidRDefault="00A90824" w:rsidP="00C47083">
            <w:pPr>
              <w:rPr>
                <w:rFonts w:ascii="Times New Roman" w:hAnsi="Times New Roman" w:cs="Times New Roman"/>
                <w:sz w:val="16"/>
                <w:szCs w:val="16"/>
              </w:rPr>
            </w:pPr>
            <w:proofErr w:type="spellStart"/>
            <w:r w:rsidRPr="00A90824">
              <w:rPr>
                <w:rFonts w:ascii="Times New Roman" w:hAnsi="Times New Roman" w:cs="Times New Roman"/>
                <w:sz w:val="16"/>
                <w:szCs w:val="16"/>
              </w:rPr>
              <w:t>allocamt</w:t>
            </w:r>
            <w:proofErr w:type="spellEnd"/>
          </w:p>
        </w:tc>
        <w:tc>
          <w:tcPr>
            <w:tcW w:w="3063" w:type="dxa"/>
            <w:tcBorders>
              <w:top w:val="single" w:sz="4" w:space="0" w:color="auto"/>
              <w:left w:val="nil"/>
              <w:bottom w:val="nil"/>
              <w:right w:val="nil"/>
            </w:tcBorders>
          </w:tcPr>
          <w:p w14:paraId="22C6E094" w14:textId="77777777" w:rsidR="00A90824" w:rsidRPr="00A90824" w:rsidRDefault="00A90824" w:rsidP="00C47083">
            <w:pPr>
              <w:rPr>
                <w:rFonts w:ascii="Times New Roman" w:hAnsi="Times New Roman" w:cs="Times New Roman"/>
                <w:sz w:val="16"/>
                <w:szCs w:val="16"/>
              </w:rPr>
            </w:pPr>
            <w:r w:rsidRPr="00A90824">
              <w:rPr>
                <w:rFonts w:ascii="Times New Roman" w:hAnsi="Times New Roman" w:cs="Times New Roman"/>
                <w:sz w:val="16"/>
                <w:szCs w:val="16"/>
              </w:rPr>
              <w:t>Dollar Amount of tax credits allocated</w:t>
            </w:r>
          </w:p>
        </w:tc>
        <w:tc>
          <w:tcPr>
            <w:tcW w:w="1069" w:type="dxa"/>
            <w:tcBorders>
              <w:top w:val="single" w:sz="4" w:space="0" w:color="auto"/>
              <w:left w:val="nil"/>
              <w:bottom w:val="nil"/>
              <w:right w:val="nil"/>
            </w:tcBorders>
          </w:tcPr>
          <w:p w14:paraId="42A2540C"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391103.9</w:t>
            </w:r>
          </w:p>
        </w:tc>
        <w:tc>
          <w:tcPr>
            <w:tcW w:w="1019" w:type="dxa"/>
            <w:gridSpan w:val="2"/>
            <w:tcBorders>
              <w:top w:val="single" w:sz="4" w:space="0" w:color="auto"/>
              <w:left w:val="nil"/>
              <w:bottom w:val="nil"/>
              <w:right w:val="nil"/>
            </w:tcBorders>
          </w:tcPr>
          <w:p w14:paraId="687F38BB"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314572.19</w:t>
            </w:r>
          </w:p>
        </w:tc>
        <w:tc>
          <w:tcPr>
            <w:tcW w:w="885" w:type="dxa"/>
            <w:tcBorders>
              <w:top w:val="single" w:sz="4" w:space="0" w:color="auto"/>
              <w:left w:val="nil"/>
              <w:bottom w:val="nil"/>
              <w:right w:val="nil"/>
            </w:tcBorders>
          </w:tcPr>
          <w:p w14:paraId="73B05F1B"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952</w:t>
            </w:r>
          </w:p>
        </w:tc>
        <w:tc>
          <w:tcPr>
            <w:tcW w:w="895" w:type="dxa"/>
            <w:tcBorders>
              <w:top w:val="single" w:sz="4" w:space="0" w:color="auto"/>
              <w:left w:val="nil"/>
              <w:bottom w:val="nil"/>
              <w:right w:val="nil"/>
            </w:tcBorders>
          </w:tcPr>
          <w:p w14:paraId="503D94B4"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3435616</w:t>
            </w:r>
          </w:p>
        </w:tc>
        <w:tc>
          <w:tcPr>
            <w:tcW w:w="1010" w:type="dxa"/>
            <w:tcBorders>
              <w:top w:val="single" w:sz="4" w:space="0" w:color="auto"/>
              <w:left w:val="nil"/>
              <w:bottom w:val="nil"/>
              <w:right w:val="nil"/>
            </w:tcBorders>
          </w:tcPr>
          <w:p w14:paraId="657EAE02" w14:textId="77777777" w:rsidR="00A90824" w:rsidRDefault="00CA72E7" w:rsidP="00C47083">
            <w:pPr>
              <w:rPr>
                <w:rFonts w:ascii="Times New Roman" w:hAnsi="Times New Roman" w:cs="Times New Roman"/>
                <w:sz w:val="16"/>
                <w:szCs w:val="16"/>
              </w:rPr>
            </w:pPr>
            <w:r>
              <w:rPr>
                <w:rFonts w:ascii="Times New Roman" w:hAnsi="Times New Roman" w:cs="Times New Roman"/>
                <w:sz w:val="16"/>
                <w:szCs w:val="16"/>
              </w:rPr>
              <w:t>46544</w:t>
            </w:r>
          </w:p>
        </w:tc>
      </w:tr>
      <w:tr w:rsidR="00A90824" w:rsidRPr="00A90824" w14:paraId="0A850516" w14:textId="77777777" w:rsidTr="00CA72E7">
        <w:tc>
          <w:tcPr>
            <w:tcW w:w="1329" w:type="dxa"/>
            <w:tcBorders>
              <w:top w:val="nil"/>
              <w:left w:val="nil"/>
              <w:bottom w:val="nil"/>
              <w:right w:val="nil"/>
            </w:tcBorders>
          </w:tcPr>
          <w:p w14:paraId="6B8297F5" w14:textId="77777777" w:rsidR="00A90824" w:rsidRPr="00A90824" w:rsidRDefault="00A90824" w:rsidP="00C47083">
            <w:pPr>
              <w:rPr>
                <w:rFonts w:ascii="Times New Roman" w:hAnsi="Times New Roman" w:cs="Times New Roman"/>
                <w:sz w:val="16"/>
                <w:szCs w:val="16"/>
              </w:rPr>
            </w:pPr>
            <w:proofErr w:type="spellStart"/>
            <w:r w:rsidRPr="00A90824">
              <w:rPr>
                <w:rFonts w:ascii="Times New Roman" w:hAnsi="Times New Roman" w:cs="Times New Roman"/>
                <w:sz w:val="16"/>
                <w:szCs w:val="16"/>
              </w:rPr>
              <w:t>n_units</w:t>
            </w:r>
            <w:proofErr w:type="spellEnd"/>
          </w:p>
        </w:tc>
        <w:tc>
          <w:tcPr>
            <w:tcW w:w="3063" w:type="dxa"/>
            <w:tcBorders>
              <w:top w:val="nil"/>
              <w:left w:val="nil"/>
              <w:bottom w:val="nil"/>
              <w:right w:val="nil"/>
            </w:tcBorders>
          </w:tcPr>
          <w:p w14:paraId="0C0C8566" w14:textId="77777777" w:rsidR="00A90824" w:rsidRPr="00A90824" w:rsidRDefault="00A90824" w:rsidP="00C47083">
            <w:pPr>
              <w:rPr>
                <w:rFonts w:ascii="Times New Roman" w:hAnsi="Times New Roman" w:cs="Times New Roman"/>
                <w:sz w:val="16"/>
                <w:szCs w:val="16"/>
              </w:rPr>
            </w:pPr>
            <w:r w:rsidRPr="00A90824">
              <w:rPr>
                <w:rFonts w:ascii="Times New Roman" w:hAnsi="Times New Roman" w:cs="Times New Roman"/>
                <w:sz w:val="16"/>
                <w:szCs w:val="16"/>
              </w:rPr>
              <w:t>Total number of units</w:t>
            </w:r>
          </w:p>
        </w:tc>
        <w:tc>
          <w:tcPr>
            <w:tcW w:w="1069" w:type="dxa"/>
            <w:tcBorders>
              <w:top w:val="nil"/>
              <w:left w:val="nil"/>
              <w:bottom w:val="nil"/>
              <w:right w:val="nil"/>
            </w:tcBorders>
          </w:tcPr>
          <w:p w14:paraId="5766430A"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91.4</w:t>
            </w:r>
          </w:p>
        </w:tc>
        <w:tc>
          <w:tcPr>
            <w:tcW w:w="1019" w:type="dxa"/>
            <w:gridSpan w:val="2"/>
            <w:tcBorders>
              <w:top w:val="nil"/>
              <w:left w:val="nil"/>
              <w:bottom w:val="nil"/>
              <w:right w:val="nil"/>
            </w:tcBorders>
          </w:tcPr>
          <w:p w14:paraId="0926BE30"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72.40</w:t>
            </w:r>
          </w:p>
        </w:tc>
        <w:tc>
          <w:tcPr>
            <w:tcW w:w="885" w:type="dxa"/>
            <w:tcBorders>
              <w:top w:val="nil"/>
              <w:left w:val="nil"/>
              <w:bottom w:val="nil"/>
              <w:right w:val="nil"/>
            </w:tcBorders>
          </w:tcPr>
          <w:p w14:paraId="2E5AEBF7"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1</w:t>
            </w:r>
          </w:p>
        </w:tc>
        <w:tc>
          <w:tcPr>
            <w:tcW w:w="895" w:type="dxa"/>
            <w:tcBorders>
              <w:top w:val="nil"/>
              <w:left w:val="nil"/>
              <w:bottom w:val="nil"/>
              <w:right w:val="nil"/>
            </w:tcBorders>
          </w:tcPr>
          <w:p w14:paraId="711B22DE"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512</w:t>
            </w:r>
          </w:p>
        </w:tc>
        <w:tc>
          <w:tcPr>
            <w:tcW w:w="1010" w:type="dxa"/>
            <w:tcBorders>
              <w:top w:val="nil"/>
              <w:left w:val="nil"/>
              <w:bottom w:val="nil"/>
              <w:right w:val="nil"/>
            </w:tcBorders>
          </w:tcPr>
          <w:p w14:paraId="39158B12" w14:textId="77777777" w:rsidR="00A90824" w:rsidRDefault="00CA72E7" w:rsidP="00C47083">
            <w:pPr>
              <w:rPr>
                <w:rFonts w:ascii="Times New Roman" w:hAnsi="Times New Roman" w:cs="Times New Roman"/>
                <w:sz w:val="16"/>
                <w:szCs w:val="16"/>
              </w:rPr>
            </w:pPr>
            <w:r>
              <w:rPr>
                <w:rFonts w:ascii="Times New Roman" w:hAnsi="Times New Roman" w:cs="Times New Roman"/>
                <w:sz w:val="16"/>
                <w:szCs w:val="16"/>
              </w:rPr>
              <w:t>46544</w:t>
            </w:r>
          </w:p>
        </w:tc>
      </w:tr>
      <w:tr w:rsidR="00A90824" w:rsidRPr="00A90824" w14:paraId="028E5D6A" w14:textId="77777777" w:rsidTr="00CA72E7">
        <w:tc>
          <w:tcPr>
            <w:tcW w:w="1329" w:type="dxa"/>
            <w:tcBorders>
              <w:top w:val="nil"/>
              <w:left w:val="nil"/>
              <w:bottom w:val="nil"/>
              <w:right w:val="nil"/>
            </w:tcBorders>
          </w:tcPr>
          <w:p w14:paraId="2C20E4C6" w14:textId="77777777" w:rsidR="00A90824" w:rsidRPr="00A90824" w:rsidRDefault="00A90824" w:rsidP="00C47083">
            <w:pPr>
              <w:rPr>
                <w:rFonts w:ascii="Times New Roman" w:hAnsi="Times New Roman" w:cs="Times New Roman"/>
                <w:sz w:val="16"/>
                <w:szCs w:val="16"/>
              </w:rPr>
            </w:pPr>
            <w:proofErr w:type="spellStart"/>
            <w:r w:rsidRPr="00A90824">
              <w:rPr>
                <w:rFonts w:ascii="Times New Roman" w:hAnsi="Times New Roman" w:cs="Times New Roman"/>
                <w:sz w:val="16"/>
                <w:szCs w:val="16"/>
              </w:rPr>
              <w:t>li_units</w:t>
            </w:r>
            <w:proofErr w:type="spellEnd"/>
          </w:p>
        </w:tc>
        <w:tc>
          <w:tcPr>
            <w:tcW w:w="3063" w:type="dxa"/>
            <w:tcBorders>
              <w:top w:val="nil"/>
              <w:left w:val="nil"/>
              <w:bottom w:val="nil"/>
              <w:right w:val="nil"/>
            </w:tcBorders>
          </w:tcPr>
          <w:p w14:paraId="04F55A39" w14:textId="77777777" w:rsidR="00A90824" w:rsidRPr="00A90824" w:rsidRDefault="00A90824" w:rsidP="00C47083">
            <w:pPr>
              <w:rPr>
                <w:rFonts w:ascii="Times New Roman" w:hAnsi="Times New Roman" w:cs="Times New Roman"/>
                <w:sz w:val="16"/>
                <w:szCs w:val="16"/>
              </w:rPr>
            </w:pPr>
            <w:r w:rsidRPr="00A90824">
              <w:rPr>
                <w:rFonts w:ascii="Times New Roman" w:hAnsi="Times New Roman" w:cs="Times New Roman"/>
                <w:sz w:val="16"/>
                <w:szCs w:val="16"/>
              </w:rPr>
              <w:t>Total number of low-income units</w:t>
            </w:r>
          </w:p>
        </w:tc>
        <w:tc>
          <w:tcPr>
            <w:tcW w:w="1069" w:type="dxa"/>
            <w:tcBorders>
              <w:top w:val="nil"/>
              <w:left w:val="nil"/>
              <w:bottom w:val="nil"/>
              <w:right w:val="nil"/>
            </w:tcBorders>
          </w:tcPr>
          <w:p w14:paraId="5392EB76"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87.5</w:t>
            </w:r>
          </w:p>
        </w:tc>
        <w:tc>
          <w:tcPr>
            <w:tcW w:w="1019" w:type="dxa"/>
            <w:gridSpan w:val="2"/>
            <w:tcBorders>
              <w:top w:val="nil"/>
              <w:left w:val="nil"/>
              <w:bottom w:val="nil"/>
              <w:right w:val="nil"/>
            </w:tcBorders>
          </w:tcPr>
          <w:p w14:paraId="465FF4E5"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67.94</w:t>
            </w:r>
          </w:p>
        </w:tc>
        <w:tc>
          <w:tcPr>
            <w:tcW w:w="885" w:type="dxa"/>
            <w:tcBorders>
              <w:top w:val="nil"/>
              <w:left w:val="nil"/>
              <w:bottom w:val="nil"/>
              <w:right w:val="nil"/>
            </w:tcBorders>
          </w:tcPr>
          <w:p w14:paraId="6A42C5AA"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1</w:t>
            </w:r>
          </w:p>
        </w:tc>
        <w:tc>
          <w:tcPr>
            <w:tcW w:w="895" w:type="dxa"/>
            <w:tcBorders>
              <w:top w:val="nil"/>
              <w:left w:val="nil"/>
              <w:bottom w:val="nil"/>
              <w:right w:val="nil"/>
            </w:tcBorders>
          </w:tcPr>
          <w:p w14:paraId="1EA5E7BF"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494</w:t>
            </w:r>
          </w:p>
        </w:tc>
        <w:tc>
          <w:tcPr>
            <w:tcW w:w="1010" w:type="dxa"/>
            <w:tcBorders>
              <w:top w:val="nil"/>
              <w:left w:val="nil"/>
              <w:bottom w:val="nil"/>
              <w:right w:val="nil"/>
            </w:tcBorders>
          </w:tcPr>
          <w:p w14:paraId="5DB84DD2" w14:textId="77777777" w:rsidR="00A90824" w:rsidRDefault="00CA72E7" w:rsidP="00C47083">
            <w:pPr>
              <w:rPr>
                <w:rFonts w:ascii="Times New Roman" w:hAnsi="Times New Roman" w:cs="Times New Roman"/>
                <w:sz w:val="16"/>
                <w:szCs w:val="16"/>
              </w:rPr>
            </w:pPr>
            <w:r>
              <w:rPr>
                <w:rFonts w:ascii="Times New Roman" w:hAnsi="Times New Roman" w:cs="Times New Roman"/>
                <w:sz w:val="16"/>
                <w:szCs w:val="16"/>
              </w:rPr>
              <w:t>46544</w:t>
            </w:r>
          </w:p>
        </w:tc>
      </w:tr>
      <w:tr w:rsidR="00A90824" w:rsidRPr="00A90824" w14:paraId="41921F20" w14:textId="77777777" w:rsidTr="00CA72E7">
        <w:tc>
          <w:tcPr>
            <w:tcW w:w="1329" w:type="dxa"/>
            <w:tcBorders>
              <w:top w:val="nil"/>
              <w:left w:val="nil"/>
              <w:bottom w:val="nil"/>
              <w:right w:val="nil"/>
            </w:tcBorders>
          </w:tcPr>
          <w:p w14:paraId="2AA2631B" w14:textId="77777777" w:rsidR="00A90824" w:rsidRPr="00A90824" w:rsidRDefault="00A90824" w:rsidP="00C47083">
            <w:pPr>
              <w:rPr>
                <w:rFonts w:ascii="Times New Roman" w:hAnsi="Times New Roman" w:cs="Times New Roman"/>
                <w:sz w:val="16"/>
                <w:szCs w:val="16"/>
              </w:rPr>
            </w:pPr>
            <w:proofErr w:type="spellStart"/>
            <w:r w:rsidRPr="00A90824">
              <w:rPr>
                <w:rFonts w:ascii="Times New Roman" w:hAnsi="Times New Roman" w:cs="Times New Roman"/>
                <w:sz w:val="16"/>
                <w:szCs w:val="16"/>
              </w:rPr>
              <w:t>inc_ceil</w:t>
            </w:r>
            <w:proofErr w:type="spellEnd"/>
          </w:p>
        </w:tc>
        <w:tc>
          <w:tcPr>
            <w:tcW w:w="3063" w:type="dxa"/>
            <w:tcBorders>
              <w:top w:val="nil"/>
              <w:left w:val="nil"/>
              <w:bottom w:val="nil"/>
              <w:right w:val="nil"/>
            </w:tcBorders>
          </w:tcPr>
          <w:p w14:paraId="32C0D41C" w14:textId="77777777" w:rsidR="00A90824" w:rsidRPr="00A90824" w:rsidRDefault="00A90824" w:rsidP="00C47083">
            <w:pPr>
              <w:rPr>
                <w:rFonts w:ascii="Times New Roman" w:hAnsi="Times New Roman" w:cs="Times New Roman"/>
                <w:sz w:val="16"/>
                <w:szCs w:val="16"/>
              </w:rPr>
            </w:pPr>
            <w:r w:rsidRPr="00A90824">
              <w:rPr>
                <w:rFonts w:ascii="Times New Roman" w:hAnsi="Times New Roman" w:cs="Times New Roman"/>
                <w:sz w:val="16"/>
                <w:szCs w:val="16"/>
              </w:rPr>
              <w:t xml:space="preserve">Elected rent ceiling for </w:t>
            </w:r>
            <w:r>
              <w:rPr>
                <w:rFonts w:ascii="Times New Roman" w:hAnsi="Times New Roman" w:cs="Times New Roman"/>
                <w:sz w:val="16"/>
                <w:szCs w:val="16"/>
              </w:rPr>
              <w:t>low income units</w:t>
            </w:r>
          </w:p>
        </w:tc>
        <w:tc>
          <w:tcPr>
            <w:tcW w:w="1069" w:type="dxa"/>
            <w:tcBorders>
              <w:top w:val="nil"/>
              <w:left w:val="nil"/>
              <w:bottom w:val="nil"/>
              <w:right w:val="nil"/>
            </w:tcBorders>
          </w:tcPr>
          <w:p w14:paraId="2A9603B9"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1.7</w:t>
            </w:r>
          </w:p>
        </w:tc>
        <w:tc>
          <w:tcPr>
            <w:tcW w:w="1019" w:type="dxa"/>
            <w:gridSpan w:val="2"/>
            <w:tcBorders>
              <w:top w:val="nil"/>
              <w:left w:val="nil"/>
              <w:bottom w:val="nil"/>
              <w:right w:val="nil"/>
            </w:tcBorders>
          </w:tcPr>
          <w:p w14:paraId="5819A9F8"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0.46</w:t>
            </w:r>
          </w:p>
        </w:tc>
        <w:tc>
          <w:tcPr>
            <w:tcW w:w="885" w:type="dxa"/>
            <w:tcBorders>
              <w:top w:val="nil"/>
              <w:left w:val="nil"/>
              <w:bottom w:val="nil"/>
              <w:right w:val="nil"/>
            </w:tcBorders>
          </w:tcPr>
          <w:p w14:paraId="6B9A8029"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1</w:t>
            </w:r>
          </w:p>
        </w:tc>
        <w:tc>
          <w:tcPr>
            <w:tcW w:w="895" w:type="dxa"/>
            <w:tcBorders>
              <w:top w:val="nil"/>
              <w:left w:val="nil"/>
              <w:bottom w:val="nil"/>
              <w:right w:val="nil"/>
            </w:tcBorders>
          </w:tcPr>
          <w:p w14:paraId="21338268"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2</w:t>
            </w:r>
          </w:p>
        </w:tc>
        <w:tc>
          <w:tcPr>
            <w:tcW w:w="1010" w:type="dxa"/>
            <w:tcBorders>
              <w:top w:val="nil"/>
              <w:left w:val="nil"/>
              <w:bottom w:val="nil"/>
              <w:right w:val="nil"/>
            </w:tcBorders>
          </w:tcPr>
          <w:p w14:paraId="501E9DA2" w14:textId="77777777" w:rsidR="00A90824" w:rsidRDefault="00CA72E7" w:rsidP="00C47083">
            <w:pPr>
              <w:rPr>
                <w:rFonts w:ascii="Times New Roman" w:hAnsi="Times New Roman" w:cs="Times New Roman"/>
                <w:sz w:val="16"/>
                <w:szCs w:val="16"/>
              </w:rPr>
            </w:pPr>
            <w:r>
              <w:rPr>
                <w:rFonts w:ascii="Times New Roman" w:hAnsi="Times New Roman" w:cs="Times New Roman"/>
                <w:sz w:val="16"/>
                <w:szCs w:val="16"/>
              </w:rPr>
              <w:t>46544</w:t>
            </w:r>
          </w:p>
        </w:tc>
      </w:tr>
      <w:tr w:rsidR="00A90824" w:rsidRPr="00A90824" w14:paraId="6EC92D23" w14:textId="77777777" w:rsidTr="00CA72E7">
        <w:tc>
          <w:tcPr>
            <w:tcW w:w="1329" w:type="dxa"/>
            <w:tcBorders>
              <w:top w:val="nil"/>
              <w:left w:val="nil"/>
              <w:bottom w:val="nil"/>
              <w:right w:val="nil"/>
            </w:tcBorders>
          </w:tcPr>
          <w:p w14:paraId="1DC0EF36" w14:textId="77777777" w:rsidR="00A90824" w:rsidRPr="00A90824" w:rsidRDefault="00A90824" w:rsidP="00C47083">
            <w:pPr>
              <w:rPr>
                <w:rFonts w:ascii="Times New Roman" w:hAnsi="Times New Roman" w:cs="Times New Roman"/>
                <w:sz w:val="16"/>
                <w:szCs w:val="16"/>
              </w:rPr>
            </w:pPr>
            <w:r w:rsidRPr="00A90824">
              <w:rPr>
                <w:rFonts w:ascii="Times New Roman" w:hAnsi="Times New Roman" w:cs="Times New Roman"/>
                <w:sz w:val="16"/>
                <w:szCs w:val="16"/>
              </w:rPr>
              <w:t>type</w:t>
            </w:r>
          </w:p>
        </w:tc>
        <w:tc>
          <w:tcPr>
            <w:tcW w:w="3063" w:type="dxa"/>
            <w:tcBorders>
              <w:top w:val="nil"/>
              <w:left w:val="nil"/>
              <w:bottom w:val="nil"/>
              <w:right w:val="nil"/>
            </w:tcBorders>
          </w:tcPr>
          <w:p w14:paraId="0DA5A344" w14:textId="77777777" w:rsidR="00A90824" w:rsidRPr="00A90824" w:rsidRDefault="00A90824" w:rsidP="00C47083">
            <w:pPr>
              <w:rPr>
                <w:rFonts w:ascii="Times New Roman" w:hAnsi="Times New Roman" w:cs="Times New Roman"/>
                <w:sz w:val="16"/>
                <w:szCs w:val="16"/>
              </w:rPr>
            </w:pPr>
            <w:r w:rsidRPr="00A90824">
              <w:rPr>
                <w:rFonts w:ascii="Times New Roman" w:hAnsi="Times New Roman" w:cs="Times New Roman"/>
                <w:sz w:val="16"/>
                <w:szCs w:val="16"/>
              </w:rPr>
              <w:t>Type of credit percentage</w:t>
            </w:r>
          </w:p>
        </w:tc>
        <w:tc>
          <w:tcPr>
            <w:tcW w:w="1069" w:type="dxa"/>
            <w:tcBorders>
              <w:top w:val="nil"/>
              <w:left w:val="nil"/>
              <w:bottom w:val="nil"/>
              <w:right w:val="nil"/>
            </w:tcBorders>
          </w:tcPr>
          <w:p w14:paraId="26752778"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1.5</w:t>
            </w:r>
          </w:p>
        </w:tc>
        <w:tc>
          <w:tcPr>
            <w:tcW w:w="1019" w:type="dxa"/>
            <w:gridSpan w:val="2"/>
            <w:tcBorders>
              <w:top w:val="nil"/>
              <w:left w:val="nil"/>
              <w:bottom w:val="nil"/>
              <w:right w:val="nil"/>
            </w:tcBorders>
          </w:tcPr>
          <w:p w14:paraId="7777F02C"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0.59</w:t>
            </w:r>
          </w:p>
        </w:tc>
        <w:tc>
          <w:tcPr>
            <w:tcW w:w="885" w:type="dxa"/>
            <w:tcBorders>
              <w:top w:val="nil"/>
              <w:left w:val="nil"/>
              <w:bottom w:val="nil"/>
              <w:right w:val="nil"/>
            </w:tcBorders>
          </w:tcPr>
          <w:p w14:paraId="4F45B00F"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1</w:t>
            </w:r>
          </w:p>
        </w:tc>
        <w:tc>
          <w:tcPr>
            <w:tcW w:w="895" w:type="dxa"/>
            <w:tcBorders>
              <w:top w:val="nil"/>
              <w:left w:val="nil"/>
              <w:bottom w:val="nil"/>
              <w:right w:val="nil"/>
            </w:tcBorders>
          </w:tcPr>
          <w:p w14:paraId="3F8014D4"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3</w:t>
            </w:r>
          </w:p>
        </w:tc>
        <w:tc>
          <w:tcPr>
            <w:tcW w:w="1010" w:type="dxa"/>
            <w:tcBorders>
              <w:top w:val="nil"/>
              <w:left w:val="nil"/>
              <w:bottom w:val="nil"/>
              <w:right w:val="nil"/>
            </w:tcBorders>
          </w:tcPr>
          <w:p w14:paraId="2FABD9A4" w14:textId="77777777" w:rsidR="00A90824" w:rsidRDefault="00CA72E7" w:rsidP="00C47083">
            <w:pPr>
              <w:rPr>
                <w:rFonts w:ascii="Times New Roman" w:hAnsi="Times New Roman" w:cs="Times New Roman"/>
                <w:sz w:val="16"/>
                <w:szCs w:val="16"/>
              </w:rPr>
            </w:pPr>
            <w:r>
              <w:rPr>
                <w:rFonts w:ascii="Times New Roman" w:hAnsi="Times New Roman" w:cs="Times New Roman"/>
                <w:sz w:val="16"/>
                <w:szCs w:val="16"/>
              </w:rPr>
              <w:t>46544</w:t>
            </w:r>
          </w:p>
        </w:tc>
      </w:tr>
      <w:tr w:rsidR="00A90824" w:rsidRPr="00A90824" w14:paraId="65F56371" w14:textId="77777777" w:rsidTr="00CA72E7">
        <w:tc>
          <w:tcPr>
            <w:tcW w:w="1329" w:type="dxa"/>
            <w:tcBorders>
              <w:top w:val="nil"/>
              <w:left w:val="nil"/>
              <w:bottom w:val="nil"/>
              <w:right w:val="nil"/>
            </w:tcBorders>
          </w:tcPr>
          <w:p w14:paraId="36D57946" w14:textId="77777777" w:rsidR="00A90824" w:rsidRPr="00A90824" w:rsidRDefault="00A90824" w:rsidP="00C47083">
            <w:pPr>
              <w:rPr>
                <w:rFonts w:ascii="Times New Roman" w:hAnsi="Times New Roman" w:cs="Times New Roman"/>
                <w:sz w:val="16"/>
                <w:szCs w:val="16"/>
              </w:rPr>
            </w:pPr>
            <w:proofErr w:type="spellStart"/>
            <w:r w:rsidRPr="00A90824">
              <w:rPr>
                <w:rFonts w:ascii="Times New Roman" w:hAnsi="Times New Roman" w:cs="Times New Roman"/>
                <w:sz w:val="16"/>
                <w:szCs w:val="16"/>
              </w:rPr>
              <w:t>yr_pis</w:t>
            </w:r>
            <w:proofErr w:type="spellEnd"/>
          </w:p>
        </w:tc>
        <w:tc>
          <w:tcPr>
            <w:tcW w:w="3063" w:type="dxa"/>
            <w:tcBorders>
              <w:top w:val="nil"/>
              <w:left w:val="nil"/>
              <w:bottom w:val="nil"/>
              <w:right w:val="nil"/>
            </w:tcBorders>
          </w:tcPr>
          <w:p w14:paraId="369A3917" w14:textId="77777777" w:rsidR="00A90824" w:rsidRPr="00A90824" w:rsidRDefault="00A90824" w:rsidP="00C47083">
            <w:pPr>
              <w:rPr>
                <w:rFonts w:ascii="Times New Roman" w:hAnsi="Times New Roman" w:cs="Times New Roman"/>
                <w:sz w:val="16"/>
                <w:szCs w:val="16"/>
              </w:rPr>
            </w:pPr>
            <w:r w:rsidRPr="00A90824">
              <w:rPr>
                <w:rFonts w:ascii="Times New Roman" w:hAnsi="Times New Roman" w:cs="Times New Roman"/>
                <w:sz w:val="16"/>
                <w:szCs w:val="16"/>
              </w:rPr>
              <w:t>Year placed in service</w:t>
            </w:r>
          </w:p>
        </w:tc>
        <w:tc>
          <w:tcPr>
            <w:tcW w:w="1069" w:type="dxa"/>
            <w:tcBorders>
              <w:top w:val="nil"/>
              <w:left w:val="nil"/>
              <w:bottom w:val="nil"/>
              <w:right w:val="nil"/>
            </w:tcBorders>
          </w:tcPr>
          <w:p w14:paraId="558CE5D8"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2005</w:t>
            </w:r>
          </w:p>
        </w:tc>
        <w:tc>
          <w:tcPr>
            <w:tcW w:w="1019" w:type="dxa"/>
            <w:gridSpan w:val="2"/>
            <w:tcBorders>
              <w:top w:val="nil"/>
              <w:left w:val="nil"/>
              <w:bottom w:val="nil"/>
              <w:right w:val="nil"/>
            </w:tcBorders>
          </w:tcPr>
          <w:p w14:paraId="195A7C0B"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6.26</w:t>
            </w:r>
          </w:p>
        </w:tc>
        <w:tc>
          <w:tcPr>
            <w:tcW w:w="885" w:type="dxa"/>
            <w:tcBorders>
              <w:top w:val="nil"/>
              <w:left w:val="nil"/>
              <w:bottom w:val="nil"/>
              <w:right w:val="nil"/>
            </w:tcBorders>
          </w:tcPr>
          <w:p w14:paraId="3F556D0A"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1988</w:t>
            </w:r>
          </w:p>
        </w:tc>
        <w:tc>
          <w:tcPr>
            <w:tcW w:w="895" w:type="dxa"/>
            <w:tcBorders>
              <w:top w:val="nil"/>
              <w:left w:val="nil"/>
              <w:bottom w:val="nil"/>
              <w:right w:val="nil"/>
            </w:tcBorders>
          </w:tcPr>
          <w:p w14:paraId="4B44F791" w14:textId="77777777" w:rsidR="00A90824" w:rsidRPr="00A90824" w:rsidRDefault="00A90824" w:rsidP="00C47083">
            <w:pPr>
              <w:rPr>
                <w:rFonts w:ascii="Times New Roman" w:hAnsi="Times New Roman" w:cs="Times New Roman"/>
                <w:sz w:val="16"/>
                <w:szCs w:val="16"/>
              </w:rPr>
            </w:pPr>
            <w:r>
              <w:rPr>
                <w:rFonts w:ascii="Times New Roman" w:hAnsi="Times New Roman" w:cs="Times New Roman"/>
                <w:sz w:val="16"/>
                <w:szCs w:val="16"/>
              </w:rPr>
              <w:t>2016</w:t>
            </w:r>
          </w:p>
        </w:tc>
        <w:tc>
          <w:tcPr>
            <w:tcW w:w="1010" w:type="dxa"/>
            <w:tcBorders>
              <w:top w:val="nil"/>
              <w:left w:val="nil"/>
              <w:bottom w:val="nil"/>
              <w:right w:val="nil"/>
            </w:tcBorders>
          </w:tcPr>
          <w:p w14:paraId="2FDA54D6" w14:textId="77777777" w:rsidR="00A90824" w:rsidRDefault="00CA72E7" w:rsidP="00C47083">
            <w:pPr>
              <w:rPr>
                <w:rFonts w:ascii="Times New Roman" w:hAnsi="Times New Roman" w:cs="Times New Roman"/>
                <w:sz w:val="16"/>
                <w:szCs w:val="16"/>
              </w:rPr>
            </w:pPr>
            <w:r>
              <w:rPr>
                <w:rFonts w:ascii="Times New Roman" w:hAnsi="Times New Roman" w:cs="Times New Roman"/>
                <w:sz w:val="16"/>
                <w:szCs w:val="16"/>
              </w:rPr>
              <w:t>46544</w:t>
            </w:r>
          </w:p>
        </w:tc>
      </w:tr>
      <w:tr w:rsidR="00A90824" w:rsidRPr="00A90824" w14:paraId="1F1D3CD3" w14:textId="77777777" w:rsidTr="00CA72E7">
        <w:tc>
          <w:tcPr>
            <w:tcW w:w="1329" w:type="dxa"/>
            <w:tcBorders>
              <w:top w:val="nil"/>
              <w:left w:val="nil"/>
              <w:bottom w:val="nil"/>
              <w:right w:val="nil"/>
            </w:tcBorders>
          </w:tcPr>
          <w:p w14:paraId="11F4CDC1" w14:textId="77777777" w:rsidR="00A90824" w:rsidRPr="00A90824" w:rsidRDefault="00A90824" w:rsidP="00C47083">
            <w:pPr>
              <w:rPr>
                <w:rFonts w:ascii="Times New Roman" w:hAnsi="Times New Roman" w:cs="Times New Roman"/>
                <w:sz w:val="16"/>
                <w:szCs w:val="16"/>
              </w:rPr>
            </w:pPr>
          </w:p>
        </w:tc>
        <w:tc>
          <w:tcPr>
            <w:tcW w:w="3063" w:type="dxa"/>
            <w:tcBorders>
              <w:top w:val="nil"/>
              <w:left w:val="nil"/>
              <w:bottom w:val="nil"/>
              <w:right w:val="nil"/>
            </w:tcBorders>
          </w:tcPr>
          <w:p w14:paraId="77862792" w14:textId="77777777" w:rsidR="00A90824" w:rsidRPr="00A90824" w:rsidRDefault="00A90824" w:rsidP="00C47083">
            <w:pPr>
              <w:rPr>
                <w:rFonts w:ascii="Times New Roman" w:hAnsi="Times New Roman" w:cs="Times New Roman"/>
                <w:sz w:val="16"/>
                <w:szCs w:val="16"/>
              </w:rPr>
            </w:pPr>
            <w:proofErr w:type="spellStart"/>
            <w:r w:rsidRPr="00A90824">
              <w:rPr>
                <w:rFonts w:ascii="Times New Roman" w:hAnsi="Times New Roman" w:cs="Times New Roman"/>
                <w:sz w:val="16"/>
                <w:szCs w:val="16"/>
              </w:rPr>
              <w:t>yr_pis</w:t>
            </w:r>
            <w:proofErr w:type="spellEnd"/>
            <w:r w:rsidRPr="00A90824">
              <w:rPr>
                <w:rFonts w:ascii="Times New Roman" w:hAnsi="Times New Roman" w:cs="Times New Roman"/>
                <w:sz w:val="16"/>
                <w:szCs w:val="16"/>
              </w:rPr>
              <w:t xml:space="preserve"> </w:t>
            </w:r>
            <w:r w:rsidR="00CA72E7">
              <w:rPr>
                <w:rFonts w:ascii="Times New Roman" w:hAnsi="Times New Roman" w:cs="Times New Roman"/>
                <w:sz w:val="16"/>
                <w:szCs w:val="16"/>
              </w:rPr>
              <w:t>&lt; 2000</w:t>
            </w:r>
            <w:r w:rsidRPr="00A90824">
              <w:rPr>
                <w:rFonts w:ascii="Times New Roman" w:hAnsi="Times New Roman" w:cs="Times New Roman"/>
                <w:sz w:val="16"/>
                <w:szCs w:val="16"/>
              </w:rPr>
              <w:t xml:space="preserve"> </w:t>
            </w:r>
          </w:p>
        </w:tc>
        <w:tc>
          <w:tcPr>
            <w:tcW w:w="1069" w:type="dxa"/>
            <w:tcBorders>
              <w:top w:val="nil"/>
              <w:left w:val="nil"/>
              <w:bottom w:val="nil"/>
              <w:right w:val="nil"/>
            </w:tcBorders>
          </w:tcPr>
          <w:p w14:paraId="70A910A9" w14:textId="77777777" w:rsidR="00A90824" w:rsidRPr="00A90824" w:rsidRDefault="00A90824" w:rsidP="00C47083">
            <w:pPr>
              <w:rPr>
                <w:rFonts w:ascii="Times New Roman" w:hAnsi="Times New Roman" w:cs="Times New Roman"/>
                <w:sz w:val="16"/>
                <w:szCs w:val="16"/>
              </w:rPr>
            </w:pPr>
          </w:p>
        </w:tc>
        <w:tc>
          <w:tcPr>
            <w:tcW w:w="1019" w:type="dxa"/>
            <w:gridSpan w:val="2"/>
            <w:tcBorders>
              <w:top w:val="nil"/>
              <w:left w:val="nil"/>
              <w:bottom w:val="nil"/>
              <w:right w:val="nil"/>
            </w:tcBorders>
          </w:tcPr>
          <w:p w14:paraId="20F110B8" w14:textId="77777777" w:rsidR="00A90824" w:rsidRPr="00A90824" w:rsidRDefault="00A90824" w:rsidP="00C47083">
            <w:pPr>
              <w:rPr>
                <w:rFonts w:ascii="Times New Roman" w:hAnsi="Times New Roman" w:cs="Times New Roman"/>
                <w:sz w:val="16"/>
                <w:szCs w:val="16"/>
              </w:rPr>
            </w:pPr>
          </w:p>
        </w:tc>
        <w:tc>
          <w:tcPr>
            <w:tcW w:w="885" w:type="dxa"/>
            <w:tcBorders>
              <w:top w:val="nil"/>
              <w:left w:val="nil"/>
              <w:bottom w:val="nil"/>
              <w:right w:val="nil"/>
            </w:tcBorders>
          </w:tcPr>
          <w:p w14:paraId="5B1B16EB" w14:textId="77777777" w:rsidR="00A90824" w:rsidRPr="00A90824" w:rsidRDefault="00A90824" w:rsidP="00C47083">
            <w:pPr>
              <w:rPr>
                <w:rFonts w:ascii="Times New Roman" w:hAnsi="Times New Roman" w:cs="Times New Roman"/>
                <w:sz w:val="16"/>
                <w:szCs w:val="16"/>
              </w:rPr>
            </w:pPr>
          </w:p>
        </w:tc>
        <w:tc>
          <w:tcPr>
            <w:tcW w:w="895" w:type="dxa"/>
            <w:tcBorders>
              <w:top w:val="nil"/>
              <w:left w:val="nil"/>
              <w:bottom w:val="nil"/>
              <w:right w:val="nil"/>
            </w:tcBorders>
          </w:tcPr>
          <w:p w14:paraId="394B186D" w14:textId="77777777" w:rsidR="00A90824" w:rsidRPr="00A90824" w:rsidRDefault="00A90824" w:rsidP="00C47083">
            <w:pPr>
              <w:rPr>
                <w:rFonts w:ascii="Times New Roman" w:hAnsi="Times New Roman" w:cs="Times New Roman"/>
                <w:sz w:val="16"/>
                <w:szCs w:val="16"/>
              </w:rPr>
            </w:pPr>
          </w:p>
        </w:tc>
        <w:tc>
          <w:tcPr>
            <w:tcW w:w="1010" w:type="dxa"/>
            <w:tcBorders>
              <w:top w:val="nil"/>
              <w:left w:val="nil"/>
              <w:bottom w:val="nil"/>
              <w:right w:val="nil"/>
            </w:tcBorders>
          </w:tcPr>
          <w:p w14:paraId="10F4EC63" w14:textId="77777777" w:rsidR="00A90824" w:rsidRPr="00A90824" w:rsidRDefault="00CA72E7" w:rsidP="00C47083">
            <w:pPr>
              <w:rPr>
                <w:rFonts w:ascii="Times New Roman" w:hAnsi="Times New Roman" w:cs="Times New Roman"/>
                <w:sz w:val="16"/>
                <w:szCs w:val="16"/>
              </w:rPr>
            </w:pPr>
            <w:r>
              <w:rPr>
                <w:rFonts w:ascii="Times New Roman" w:hAnsi="Times New Roman" w:cs="Times New Roman"/>
                <w:sz w:val="16"/>
                <w:szCs w:val="16"/>
              </w:rPr>
              <w:t>18734</w:t>
            </w:r>
          </w:p>
        </w:tc>
      </w:tr>
      <w:tr w:rsidR="00CA72E7" w:rsidRPr="00A90824" w14:paraId="13988DBE" w14:textId="77777777" w:rsidTr="00CA72E7">
        <w:trPr>
          <w:trHeight w:val="288"/>
        </w:trPr>
        <w:tc>
          <w:tcPr>
            <w:tcW w:w="1329" w:type="dxa"/>
            <w:tcBorders>
              <w:top w:val="nil"/>
              <w:left w:val="nil"/>
              <w:bottom w:val="single" w:sz="4" w:space="0" w:color="auto"/>
              <w:right w:val="nil"/>
            </w:tcBorders>
          </w:tcPr>
          <w:p w14:paraId="3FB34098" w14:textId="77777777" w:rsidR="00CA72E7" w:rsidRPr="00A90824" w:rsidRDefault="00CA72E7" w:rsidP="00CA72E7">
            <w:pPr>
              <w:rPr>
                <w:rFonts w:ascii="Times New Roman" w:hAnsi="Times New Roman" w:cs="Times New Roman"/>
                <w:sz w:val="16"/>
                <w:szCs w:val="16"/>
              </w:rPr>
            </w:pPr>
          </w:p>
        </w:tc>
        <w:tc>
          <w:tcPr>
            <w:tcW w:w="3063" w:type="dxa"/>
            <w:tcBorders>
              <w:top w:val="nil"/>
              <w:left w:val="nil"/>
              <w:bottom w:val="single" w:sz="4" w:space="0" w:color="auto"/>
              <w:right w:val="nil"/>
            </w:tcBorders>
          </w:tcPr>
          <w:p w14:paraId="5AC1EE2B" w14:textId="77777777" w:rsidR="00CA72E7" w:rsidRPr="00A90824" w:rsidRDefault="00CA72E7" w:rsidP="00CA72E7">
            <w:pPr>
              <w:rPr>
                <w:rFonts w:ascii="Times New Roman" w:hAnsi="Times New Roman" w:cs="Times New Roman"/>
                <w:sz w:val="16"/>
                <w:szCs w:val="16"/>
              </w:rPr>
            </w:pPr>
            <w:proofErr w:type="spellStart"/>
            <w:r w:rsidRPr="00A90824">
              <w:rPr>
                <w:rFonts w:ascii="Times New Roman" w:hAnsi="Times New Roman" w:cs="Times New Roman"/>
                <w:sz w:val="16"/>
                <w:szCs w:val="16"/>
              </w:rPr>
              <w:t>yr_pis</w:t>
            </w:r>
            <w:proofErr w:type="spellEnd"/>
            <w:r>
              <w:rPr>
                <w:rFonts w:ascii="Times New Roman" w:hAnsi="Times New Roman" w:cs="Times New Roman"/>
                <w:sz w:val="16"/>
                <w:szCs w:val="16"/>
              </w:rPr>
              <w:t xml:space="preserve"> &gt;= 2000</w:t>
            </w:r>
          </w:p>
        </w:tc>
        <w:tc>
          <w:tcPr>
            <w:tcW w:w="1069" w:type="dxa"/>
            <w:tcBorders>
              <w:top w:val="nil"/>
              <w:left w:val="nil"/>
              <w:bottom w:val="single" w:sz="4" w:space="0" w:color="auto"/>
              <w:right w:val="nil"/>
            </w:tcBorders>
          </w:tcPr>
          <w:p w14:paraId="5CDAD77D" w14:textId="77777777" w:rsidR="00CA72E7" w:rsidRPr="00A90824" w:rsidRDefault="00CA72E7" w:rsidP="00CA72E7">
            <w:pPr>
              <w:rPr>
                <w:rFonts w:ascii="Times New Roman" w:hAnsi="Times New Roman" w:cs="Times New Roman"/>
                <w:sz w:val="16"/>
                <w:szCs w:val="16"/>
              </w:rPr>
            </w:pPr>
          </w:p>
        </w:tc>
        <w:tc>
          <w:tcPr>
            <w:tcW w:w="1019" w:type="dxa"/>
            <w:gridSpan w:val="2"/>
            <w:tcBorders>
              <w:top w:val="nil"/>
              <w:left w:val="nil"/>
              <w:bottom w:val="single" w:sz="4" w:space="0" w:color="auto"/>
              <w:right w:val="nil"/>
            </w:tcBorders>
          </w:tcPr>
          <w:p w14:paraId="5289B784" w14:textId="77777777" w:rsidR="00CA72E7" w:rsidRPr="00A90824" w:rsidRDefault="00CA72E7" w:rsidP="00CA72E7">
            <w:pPr>
              <w:rPr>
                <w:rFonts w:ascii="Times New Roman" w:hAnsi="Times New Roman" w:cs="Times New Roman"/>
                <w:sz w:val="16"/>
                <w:szCs w:val="16"/>
              </w:rPr>
            </w:pPr>
          </w:p>
        </w:tc>
        <w:tc>
          <w:tcPr>
            <w:tcW w:w="885" w:type="dxa"/>
            <w:tcBorders>
              <w:top w:val="nil"/>
              <w:left w:val="nil"/>
              <w:bottom w:val="single" w:sz="4" w:space="0" w:color="auto"/>
              <w:right w:val="nil"/>
            </w:tcBorders>
          </w:tcPr>
          <w:p w14:paraId="08522C62" w14:textId="77777777" w:rsidR="00CA72E7" w:rsidRPr="00A90824" w:rsidRDefault="00CA72E7" w:rsidP="00CA72E7">
            <w:pPr>
              <w:rPr>
                <w:rFonts w:ascii="Times New Roman" w:hAnsi="Times New Roman" w:cs="Times New Roman"/>
                <w:sz w:val="16"/>
                <w:szCs w:val="16"/>
              </w:rPr>
            </w:pPr>
          </w:p>
        </w:tc>
        <w:tc>
          <w:tcPr>
            <w:tcW w:w="895" w:type="dxa"/>
            <w:tcBorders>
              <w:top w:val="nil"/>
              <w:left w:val="nil"/>
              <w:bottom w:val="single" w:sz="4" w:space="0" w:color="auto"/>
              <w:right w:val="nil"/>
            </w:tcBorders>
          </w:tcPr>
          <w:p w14:paraId="537D4E84" w14:textId="77777777" w:rsidR="00CA72E7" w:rsidRPr="00A90824" w:rsidRDefault="00CA72E7" w:rsidP="00CA72E7">
            <w:pPr>
              <w:rPr>
                <w:rFonts w:ascii="Times New Roman" w:hAnsi="Times New Roman" w:cs="Times New Roman"/>
                <w:sz w:val="16"/>
                <w:szCs w:val="16"/>
              </w:rPr>
            </w:pPr>
          </w:p>
        </w:tc>
        <w:tc>
          <w:tcPr>
            <w:tcW w:w="1010" w:type="dxa"/>
            <w:tcBorders>
              <w:top w:val="nil"/>
              <w:left w:val="nil"/>
              <w:bottom w:val="single" w:sz="4" w:space="0" w:color="auto"/>
              <w:right w:val="nil"/>
            </w:tcBorders>
          </w:tcPr>
          <w:p w14:paraId="093A1086" w14:textId="77777777" w:rsidR="00CA72E7" w:rsidRPr="00A90824" w:rsidRDefault="00CA72E7" w:rsidP="00CA72E7">
            <w:pPr>
              <w:rPr>
                <w:rFonts w:ascii="Times New Roman" w:hAnsi="Times New Roman" w:cs="Times New Roman"/>
                <w:sz w:val="16"/>
                <w:szCs w:val="16"/>
              </w:rPr>
            </w:pPr>
            <w:r>
              <w:rPr>
                <w:rFonts w:ascii="Times New Roman" w:hAnsi="Times New Roman" w:cs="Times New Roman"/>
                <w:sz w:val="16"/>
                <w:szCs w:val="16"/>
              </w:rPr>
              <w:t>27820</w:t>
            </w:r>
          </w:p>
        </w:tc>
      </w:tr>
    </w:tbl>
    <w:p w14:paraId="5E827A2E" w14:textId="77777777" w:rsidR="00C47083" w:rsidRPr="00174F75" w:rsidRDefault="00C47083" w:rsidP="00E60F87">
      <w:pPr>
        <w:rPr>
          <w:rFonts w:ascii="Times New Roman" w:hAnsi="Times New Roman" w:cs="Times New Roman"/>
          <w:sz w:val="16"/>
          <w:szCs w:val="16"/>
        </w:rPr>
      </w:pPr>
      <w:r w:rsidRPr="00A90824">
        <w:rPr>
          <w:rFonts w:ascii="Times New Roman" w:hAnsi="Times New Roman" w:cs="Times New Roman"/>
          <w:i/>
          <w:sz w:val="16"/>
          <w:szCs w:val="16"/>
        </w:rPr>
        <w:t>SOURCE:</w:t>
      </w:r>
      <w:r w:rsidRPr="00A90824">
        <w:rPr>
          <w:rFonts w:ascii="Times New Roman" w:hAnsi="Times New Roman" w:cs="Times New Roman"/>
          <w:sz w:val="16"/>
          <w:szCs w:val="16"/>
        </w:rPr>
        <w:t xml:space="preserve"> Department of Housing and Urban Development National Low-Income Housing Tax Credit Database</w:t>
      </w:r>
    </w:p>
    <w:p w14:paraId="4E960D7A" w14:textId="77777777" w:rsidR="00401A15" w:rsidRPr="00ED240D" w:rsidRDefault="00A06A30" w:rsidP="00ED240D">
      <w:pPr>
        <w:spacing w:line="360" w:lineRule="auto"/>
        <w:ind w:firstLine="720"/>
        <w:rPr>
          <w:rFonts w:ascii="Times New Roman" w:hAnsi="Times New Roman" w:cs="Times New Roman"/>
          <w:sz w:val="24"/>
        </w:rPr>
      </w:pPr>
      <w:r w:rsidRPr="00ED240D">
        <w:rPr>
          <w:rFonts w:ascii="Times New Roman" w:hAnsi="Times New Roman" w:cs="Times New Roman"/>
          <w:sz w:val="24"/>
        </w:rPr>
        <w:t>The second source of data is fairly recent</w:t>
      </w:r>
      <w:r w:rsidR="00E60F87" w:rsidRPr="00ED240D">
        <w:rPr>
          <w:rFonts w:ascii="Times New Roman" w:hAnsi="Times New Roman" w:cs="Times New Roman"/>
          <w:sz w:val="24"/>
        </w:rPr>
        <w:t xml:space="preserve"> and formatted as panel data</w:t>
      </w:r>
      <w:r w:rsidRPr="00ED240D">
        <w:rPr>
          <w:rFonts w:ascii="Times New Roman" w:hAnsi="Times New Roman" w:cs="Times New Roman"/>
          <w:sz w:val="24"/>
        </w:rPr>
        <w:t xml:space="preserve">. </w:t>
      </w:r>
      <w:r w:rsidR="002D575C" w:rsidRPr="00ED240D">
        <w:rPr>
          <w:rFonts w:ascii="Times New Roman" w:hAnsi="Times New Roman" w:cs="Times New Roman"/>
          <w:sz w:val="24"/>
        </w:rPr>
        <w:t>The Eviction Lab at Princeton University</w:t>
      </w:r>
      <w:r w:rsidR="009C319D" w:rsidRPr="00ED240D">
        <w:rPr>
          <w:rFonts w:ascii="Times New Roman" w:hAnsi="Times New Roman" w:cs="Times New Roman"/>
          <w:sz w:val="24"/>
        </w:rPr>
        <w:t xml:space="preserve"> led by Matthew Desmond</w:t>
      </w:r>
      <w:r w:rsidR="002D575C" w:rsidRPr="00ED240D">
        <w:rPr>
          <w:rFonts w:ascii="Times New Roman" w:hAnsi="Times New Roman" w:cs="Times New Roman"/>
          <w:sz w:val="24"/>
        </w:rPr>
        <w:t xml:space="preserve"> created </w:t>
      </w:r>
      <w:r w:rsidR="009C319D" w:rsidRPr="00ED240D">
        <w:rPr>
          <w:rFonts w:ascii="Times New Roman" w:hAnsi="Times New Roman" w:cs="Times New Roman"/>
          <w:sz w:val="24"/>
        </w:rPr>
        <w:t xml:space="preserve">and aggregated </w:t>
      </w:r>
      <w:r w:rsidR="00F83BB6" w:rsidRPr="00ED240D">
        <w:rPr>
          <w:rFonts w:ascii="Times New Roman" w:hAnsi="Times New Roman" w:cs="Times New Roman"/>
          <w:sz w:val="24"/>
        </w:rPr>
        <w:t xml:space="preserve">data of </w:t>
      </w:r>
      <w:r w:rsidR="009C319D" w:rsidRPr="00ED240D">
        <w:rPr>
          <w:rFonts w:ascii="Times New Roman" w:hAnsi="Times New Roman" w:cs="Times New Roman"/>
          <w:sz w:val="24"/>
        </w:rPr>
        <w:t xml:space="preserve">83 million evictions from court </w:t>
      </w:r>
      <w:r w:rsidR="00E60F87" w:rsidRPr="00ED240D">
        <w:rPr>
          <w:rFonts w:ascii="Times New Roman" w:hAnsi="Times New Roman" w:cs="Times New Roman"/>
          <w:sz w:val="24"/>
        </w:rPr>
        <w:t>records</w:t>
      </w:r>
      <w:r w:rsidR="009C319D" w:rsidRPr="00ED240D">
        <w:rPr>
          <w:rFonts w:ascii="Times New Roman" w:hAnsi="Times New Roman" w:cs="Times New Roman"/>
          <w:sz w:val="24"/>
        </w:rPr>
        <w:t xml:space="preserve"> across the United States. From 2000 to 2016, the dataset </w:t>
      </w:r>
      <w:r w:rsidR="00E60F87" w:rsidRPr="00ED240D">
        <w:rPr>
          <w:rFonts w:ascii="Times New Roman" w:hAnsi="Times New Roman" w:cs="Times New Roman"/>
          <w:sz w:val="24"/>
        </w:rPr>
        <w:t>includes demographic and eviction measures readily available for analysis.</w:t>
      </w:r>
      <w:r w:rsidR="00D212CF" w:rsidRPr="00ED240D">
        <w:rPr>
          <w:rFonts w:ascii="Times New Roman" w:hAnsi="Times New Roman" w:cs="Times New Roman"/>
          <w:sz w:val="24"/>
        </w:rPr>
        <w:t xml:space="preserve"> This provides an easy measure of evictions.</w:t>
      </w:r>
      <w:r w:rsidR="00E60F87" w:rsidRPr="00ED240D">
        <w:rPr>
          <w:rFonts w:ascii="Times New Roman" w:hAnsi="Times New Roman" w:cs="Times New Roman"/>
          <w:sz w:val="24"/>
        </w:rPr>
        <w:t xml:space="preserve"> </w:t>
      </w:r>
      <w:r w:rsidR="003C7F92" w:rsidRPr="00ED240D">
        <w:rPr>
          <w:rFonts w:ascii="Times New Roman" w:hAnsi="Times New Roman" w:cs="Times New Roman"/>
          <w:sz w:val="24"/>
        </w:rPr>
        <w:t xml:space="preserve">This new availability of data provided an incentive to pursue the topic of this paper and understand the link between LIHTC policy and evictions. </w:t>
      </w:r>
      <w:r w:rsidR="00E60F87" w:rsidRPr="00ED240D">
        <w:rPr>
          <w:rFonts w:ascii="Times New Roman" w:hAnsi="Times New Roman" w:cs="Times New Roman"/>
          <w:sz w:val="24"/>
        </w:rPr>
        <w:t xml:space="preserve">Variables of interest include </w:t>
      </w:r>
      <w:r w:rsidR="00E60F87" w:rsidRPr="00ED240D">
        <w:rPr>
          <w:rFonts w:ascii="Times New Roman" w:hAnsi="Times New Roman" w:cs="Times New Roman"/>
          <w:sz w:val="24"/>
        </w:rPr>
        <w:lastRenderedPageBreak/>
        <w:t xml:space="preserve">population, percentages of racial groups, median household income, poverty rate, evictions, evictions filed, and eviction rate. </w:t>
      </w:r>
      <w:r w:rsidR="00401A15" w:rsidRPr="00ED240D">
        <w:rPr>
          <w:rFonts w:ascii="Times New Roman" w:hAnsi="Times New Roman" w:cs="Times New Roman"/>
          <w:sz w:val="24"/>
        </w:rPr>
        <w:t xml:space="preserve">This national dataset contains eviction data at the county-level. The impacts of LIHTC projects on eviction rates could be localized. Without knowing more detailed tract-level information, county-level was determined to be sufficient for this analysis. </w:t>
      </w:r>
      <w:r w:rsidR="00B65B4B" w:rsidRPr="00ED240D">
        <w:rPr>
          <w:rStyle w:val="FootnoteReference"/>
          <w:rFonts w:ascii="Times New Roman" w:hAnsi="Times New Roman" w:cs="Times New Roman"/>
          <w:sz w:val="24"/>
        </w:rPr>
        <w:footnoteReference w:id="9"/>
      </w:r>
    </w:p>
    <w:p w14:paraId="44CBAF10" w14:textId="77777777" w:rsidR="00E54436" w:rsidRPr="00ED240D" w:rsidRDefault="00356EAE" w:rsidP="00ED240D">
      <w:pPr>
        <w:spacing w:after="0" w:line="360" w:lineRule="auto"/>
        <w:ind w:firstLine="720"/>
        <w:rPr>
          <w:rFonts w:ascii="Times New Roman" w:hAnsi="Times New Roman" w:cs="Times New Roman"/>
          <w:sz w:val="24"/>
        </w:rPr>
      </w:pPr>
      <w:r w:rsidRPr="00ED240D">
        <w:rPr>
          <w:rFonts w:ascii="Times New Roman" w:hAnsi="Times New Roman" w:cs="Times New Roman"/>
          <w:sz w:val="24"/>
        </w:rPr>
        <w:t xml:space="preserve">The two datasets were merged with a </w:t>
      </w:r>
      <w:r w:rsidR="00E60F87" w:rsidRPr="00ED240D">
        <w:rPr>
          <w:rFonts w:ascii="Times New Roman" w:hAnsi="Times New Roman" w:cs="Times New Roman"/>
          <w:sz w:val="24"/>
        </w:rPr>
        <w:t>two-step process. First</w:t>
      </w:r>
      <w:r w:rsidR="000D06BF" w:rsidRPr="00ED240D">
        <w:rPr>
          <w:rFonts w:ascii="Times New Roman" w:hAnsi="Times New Roman" w:cs="Times New Roman"/>
          <w:sz w:val="24"/>
        </w:rPr>
        <w:t xml:space="preserve">, street addresses from the LIHTC database needed to match with county and independent cities from the eviction dataset. </w:t>
      </w:r>
      <w:r w:rsidR="00C90E8E" w:rsidRPr="00ED240D">
        <w:rPr>
          <w:rFonts w:ascii="Times New Roman" w:hAnsi="Times New Roman" w:cs="Times New Roman"/>
          <w:sz w:val="24"/>
        </w:rPr>
        <w:t xml:space="preserve">The </w:t>
      </w:r>
      <w:r w:rsidR="002A601E" w:rsidRPr="00ED240D">
        <w:rPr>
          <w:rFonts w:ascii="Times New Roman" w:hAnsi="Times New Roman" w:cs="Times New Roman"/>
          <w:sz w:val="24"/>
        </w:rPr>
        <w:t xml:space="preserve">mailing </w:t>
      </w:r>
      <w:r w:rsidR="00C90E8E" w:rsidRPr="00ED240D">
        <w:rPr>
          <w:rFonts w:ascii="Times New Roman" w:hAnsi="Times New Roman" w:cs="Times New Roman"/>
          <w:sz w:val="24"/>
        </w:rPr>
        <w:t>street address provided in the LIHTC database were address</w:t>
      </w:r>
      <w:r w:rsidR="002A601E" w:rsidRPr="00ED240D">
        <w:rPr>
          <w:rFonts w:ascii="Times New Roman" w:hAnsi="Times New Roman" w:cs="Times New Roman"/>
          <w:sz w:val="24"/>
        </w:rPr>
        <w:t xml:space="preserve">-geocoded to place each property within their respective county or </w:t>
      </w:r>
      <w:r w:rsidRPr="00ED240D">
        <w:rPr>
          <w:rFonts w:ascii="Times New Roman" w:hAnsi="Times New Roman" w:cs="Times New Roman"/>
          <w:sz w:val="24"/>
        </w:rPr>
        <w:t xml:space="preserve">independent </w:t>
      </w:r>
      <w:r w:rsidR="002A601E" w:rsidRPr="00ED240D">
        <w:rPr>
          <w:rFonts w:ascii="Times New Roman" w:hAnsi="Times New Roman" w:cs="Times New Roman"/>
          <w:sz w:val="24"/>
        </w:rPr>
        <w:t xml:space="preserve">city. </w:t>
      </w:r>
      <w:r w:rsidR="000D06BF" w:rsidRPr="00ED240D">
        <w:rPr>
          <w:rFonts w:ascii="Times New Roman" w:hAnsi="Times New Roman" w:cs="Times New Roman"/>
          <w:sz w:val="24"/>
        </w:rPr>
        <w:t>To create a final aggregate data set it was apparent that a restriction needed to be applied.</w:t>
      </w:r>
      <w:r w:rsidR="002A601E" w:rsidRPr="00ED240D">
        <w:rPr>
          <w:rStyle w:val="FootnoteReference"/>
          <w:rFonts w:ascii="Times New Roman" w:hAnsi="Times New Roman" w:cs="Times New Roman"/>
          <w:sz w:val="24"/>
        </w:rPr>
        <w:footnoteReference w:id="10"/>
      </w:r>
      <w:r w:rsidR="002D575C" w:rsidRPr="00ED240D">
        <w:rPr>
          <w:rFonts w:ascii="Times New Roman" w:hAnsi="Times New Roman" w:cs="Times New Roman"/>
          <w:sz w:val="24"/>
        </w:rPr>
        <w:t xml:space="preserve"> This study focused on the 135 counties and independent cities located within the state of Virginia.</w:t>
      </w:r>
      <w:r w:rsidR="00E60F87" w:rsidRPr="00ED240D">
        <w:rPr>
          <w:rFonts w:ascii="Times New Roman" w:hAnsi="Times New Roman" w:cs="Times New Roman"/>
          <w:sz w:val="24"/>
        </w:rPr>
        <w:t xml:space="preserve"> </w:t>
      </w:r>
      <w:r w:rsidRPr="00ED240D">
        <w:rPr>
          <w:rFonts w:ascii="Times New Roman" w:hAnsi="Times New Roman" w:cs="Times New Roman"/>
          <w:sz w:val="24"/>
        </w:rPr>
        <w:t>Next, for each specific year, the number of low-income units for each property were summed</w:t>
      </w:r>
      <w:r w:rsidR="00B65B4B" w:rsidRPr="00ED240D">
        <w:rPr>
          <w:rFonts w:ascii="Times New Roman" w:hAnsi="Times New Roman" w:cs="Times New Roman"/>
          <w:sz w:val="24"/>
        </w:rPr>
        <w:t xml:space="preserve"> </w:t>
      </w:r>
      <w:r w:rsidRPr="00ED240D">
        <w:rPr>
          <w:rFonts w:ascii="Times New Roman" w:hAnsi="Times New Roman" w:cs="Times New Roman"/>
          <w:sz w:val="24"/>
        </w:rPr>
        <w:t xml:space="preserve">cumulatively for each </w:t>
      </w:r>
      <w:r w:rsidR="002D575C" w:rsidRPr="00ED240D">
        <w:rPr>
          <w:rFonts w:ascii="Times New Roman" w:hAnsi="Times New Roman" w:cs="Times New Roman"/>
          <w:sz w:val="24"/>
        </w:rPr>
        <w:t>individual</w:t>
      </w:r>
      <w:r w:rsidRPr="00ED240D">
        <w:rPr>
          <w:rFonts w:ascii="Times New Roman" w:hAnsi="Times New Roman" w:cs="Times New Roman"/>
          <w:sz w:val="24"/>
        </w:rPr>
        <w:t xml:space="preserve"> county.</w:t>
      </w:r>
      <w:r w:rsidR="002D575C" w:rsidRPr="00ED240D">
        <w:rPr>
          <w:rFonts w:ascii="Times New Roman" w:hAnsi="Times New Roman" w:cs="Times New Roman"/>
          <w:sz w:val="24"/>
        </w:rPr>
        <w:t xml:space="preserve"> Properties placed</w:t>
      </w:r>
      <w:r w:rsidR="008B1105" w:rsidRPr="00ED240D">
        <w:rPr>
          <w:rFonts w:ascii="Times New Roman" w:hAnsi="Times New Roman" w:cs="Times New Roman"/>
          <w:sz w:val="24"/>
        </w:rPr>
        <w:t xml:space="preserve"> in service</w:t>
      </w:r>
      <w:r w:rsidR="002D575C" w:rsidRPr="00ED240D">
        <w:rPr>
          <w:rFonts w:ascii="Times New Roman" w:hAnsi="Times New Roman" w:cs="Times New Roman"/>
          <w:sz w:val="24"/>
        </w:rPr>
        <w:t xml:space="preserve"> before 2000 </w:t>
      </w:r>
      <w:r w:rsidR="008B1105" w:rsidRPr="00ED240D">
        <w:rPr>
          <w:rFonts w:ascii="Times New Roman" w:hAnsi="Times New Roman" w:cs="Times New Roman"/>
          <w:sz w:val="24"/>
        </w:rPr>
        <w:t>were summed in aggregate and assigned to year 2000.</w:t>
      </w:r>
      <w:r w:rsidRPr="00ED240D">
        <w:rPr>
          <w:rStyle w:val="FootnoteReference"/>
          <w:rFonts w:ascii="Times New Roman" w:hAnsi="Times New Roman" w:cs="Times New Roman"/>
          <w:sz w:val="24"/>
        </w:rPr>
        <w:footnoteReference w:id="11"/>
      </w:r>
      <w:r w:rsidR="00E60F87" w:rsidRPr="00ED240D">
        <w:rPr>
          <w:rFonts w:ascii="Times New Roman" w:hAnsi="Times New Roman" w:cs="Times New Roman"/>
          <w:sz w:val="24"/>
        </w:rPr>
        <w:t xml:space="preserve"> This determined the number of LIHTC rental units assigned to each county. </w:t>
      </w:r>
      <w:r w:rsidR="002A601E" w:rsidRPr="00ED240D">
        <w:rPr>
          <w:rFonts w:ascii="Times New Roman" w:hAnsi="Times New Roman" w:cs="Times New Roman"/>
          <w:sz w:val="24"/>
        </w:rPr>
        <w:t>There are 959 observations in th</w:t>
      </w:r>
      <w:r w:rsidR="00033E7C" w:rsidRPr="00ED240D">
        <w:rPr>
          <w:rFonts w:ascii="Times New Roman" w:hAnsi="Times New Roman" w:cs="Times New Roman"/>
          <w:sz w:val="24"/>
        </w:rPr>
        <w:t>is</w:t>
      </w:r>
      <w:r w:rsidR="002A601E" w:rsidRPr="00ED240D">
        <w:rPr>
          <w:rFonts w:ascii="Times New Roman" w:hAnsi="Times New Roman" w:cs="Times New Roman"/>
          <w:sz w:val="24"/>
        </w:rPr>
        <w:t xml:space="preserve"> </w:t>
      </w:r>
      <w:r w:rsidR="00ED240D" w:rsidRPr="00ED240D">
        <w:rPr>
          <w:rFonts w:ascii="Times New Roman" w:hAnsi="Times New Roman" w:cs="Times New Roman"/>
          <w:sz w:val="24"/>
        </w:rPr>
        <w:t xml:space="preserve">final </w:t>
      </w:r>
      <w:r w:rsidR="00E60F87" w:rsidRPr="00ED240D">
        <w:rPr>
          <w:rFonts w:ascii="Times New Roman" w:hAnsi="Times New Roman" w:cs="Times New Roman"/>
          <w:sz w:val="24"/>
        </w:rPr>
        <w:t xml:space="preserve">sample </w:t>
      </w:r>
      <w:r w:rsidR="002A601E" w:rsidRPr="00ED240D">
        <w:rPr>
          <w:rFonts w:ascii="Times New Roman" w:hAnsi="Times New Roman" w:cs="Times New Roman"/>
          <w:sz w:val="24"/>
        </w:rPr>
        <w:t>that account</w:t>
      </w:r>
      <w:r w:rsidR="00F83BB6" w:rsidRPr="00ED240D">
        <w:rPr>
          <w:rFonts w:ascii="Times New Roman" w:hAnsi="Times New Roman" w:cs="Times New Roman"/>
          <w:sz w:val="24"/>
        </w:rPr>
        <w:t>s</w:t>
      </w:r>
      <w:r w:rsidR="002A601E" w:rsidRPr="00ED240D">
        <w:rPr>
          <w:rFonts w:ascii="Times New Roman" w:hAnsi="Times New Roman" w:cs="Times New Roman"/>
          <w:sz w:val="24"/>
        </w:rPr>
        <w:t xml:space="preserve"> for </w:t>
      </w:r>
      <w:r w:rsidR="00F83BB6" w:rsidRPr="00ED240D">
        <w:rPr>
          <w:rFonts w:ascii="Times New Roman" w:hAnsi="Times New Roman" w:cs="Times New Roman"/>
          <w:sz w:val="24"/>
        </w:rPr>
        <w:t xml:space="preserve">83,962 rental units built </w:t>
      </w:r>
      <w:r w:rsidR="00E60F87" w:rsidRPr="00ED240D">
        <w:rPr>
          <w:rFonts w:ascii="Times New Roman" w:hAnsi="Times New Roman" w:cs="Times New Roman"/>
          <w:sz w:val="24"/>
        </w:rPr>
        <w:t xml:space="preserve">across the </w:t>
      </w:r>
      <w:r w:rsidR="00F83BB6" w:rsidRPr="00ED240D">
        <w:rPr>
          <w:rFonts w:ascii="Times New Roman" w:hAnsi="Times New Roman" w:cs="Times New Roman"/>
          <w:sz w:val="24"/>
        </w:rPr>
        <w:t>17-year</w:t>
      </w:r>
      <w:r w:rsidR="00E60F87" w:rsidRPr="00ED240D">
        <w:rPr>
          <w:rFonts w:ascii="Times New Roman" w:hAnsi="Times New Roman" w:cs="Times New Roman"/>
          <w:sz w:val="24"/>
        </w:rPr>
        <w:t xml:space="preserve"> period. </w:t>
      </w:r>
    </w:p>
    <w:p w14:paraId="46E61C60" w14:textId="77777777" w:rsidR="00A06A30" w:rsidRDefault="000D06BF" w:rsidP="00ED240D">
      <w:pPr>
        <w:spacing w:line="360" w:lineRule="auto"/>
        <w:ind w:firstLine="720"/>
        <w:rPr>
          <w:rFonts w:ascii="Times New Roman" w:hAnsi="Times New Roman" w:cs="Times New Roman"/>
          <w:sz w:val="24"/>
        </w:rPr>
      </w:pPr>
      <w:r w:rsidRPr="00ED240D">
        <w:rPr>
          <w:rFonts w:ascii="Times New Roman" w:hAnsi="Times New Roman" w:cs="Times New Roman"/>
          <w:sz w:val="24"/>
        </w:rPr>
        <w:t>Table 2 presents summary statistics of the Eviction Lab data</w:t>
      </w:r>
      <w:r w:rsidR="00CA72E7" w:rsidRPr="00ED240D">
        <w:rPr>
          <w:rFonts w:ascii="Times New Roman" w:hAnsi="Times New Roman" w:cs="Times New Roman"/>
          <w:sz w:val="24"/>
        </w:rPr>
        <w:t xml:space="preserve"> for Virginia</w:t>
      </w:r>
      <w:r w:rsidRPr="00ED240D">
        <w:rPr>
          <w:rFonts w:ascii="Times New Roman" w:hAnsi="Times New Roman" w:cs="Times New Roman"/>
          <w:sz w:val="24"/>
        </w:rPr>
        <w:t xml:space="preserve">. </w:t>
      </w:r>
      <w:r w:rsidR="00E61866" w:rsidRPr="00ED240D">
        <w:rPr>
          <w:rFonts w:ascii="Times New Roman" w:hAnsi="Times New Roman" w:cs="Times New Roman"/>
          <w:sz w:val="24"/>
        </w:rPr>
        <w:t xml:space="preserve">The average number of eviction filings and evictions in each county per year are 975.03 and 388.48 respectively. Median household income and median gross rent are $48,236.08 and $728.4 respectively. The average rent burden for counties and independent cities is 27.37% which is below the maximum suggested 30% share of income. The rest of the table provides summary statistics on demographic variables such as percent white or African American and poverty rate. </w:t>
      </w:r>
    </w:p>
    <w:p w14:paraId="04DB6FB0" w14:textId="77777777" w:rsidR="00254B1A" w:rsidRPr="00ED240D" w:rsidRDefault="00254B1A" w:rsidP="00ED240D">
      <w:pPr>
        <w:spacing w:line="360" w:lineRule="auto"/>
        <w:ind w:firstLine="720"/>
        <w:rPr>
          <w:rFonts w:ascii="Times New Roman" w:hAnsi="Times New Roman" w:cs="Times New Roman"/>
          <w:sz w:val="24"/>
        </w:rPr>
      </w:pPr>
    </w:p>
    <w:tbl>
      <w:tblPr>
        <w:tblStyle w:val="TableGrid"/>
        <w:tblW w:w="9422" w:type="dxa"/>
        <w:tblLook w:val="04A0" w:firstRow="1" w:lastRow="0" w:firstColumn="1" w:lastColumn="0" w:noHBand="0" w:noVBand="1"/>
      </w:tblPr>
      <w:tblGrid>
        <w:gridCol w:w="3420"/>
        <w:gridCol w:w="1170"/>
        <w:gridCol w:w="1170"/>
        <w:gridCol w:w="1231"/>
        <w:gridCol w:w="799"/>
        <w:gridCol w:w="546"/>
        <w:gridCol w:w="184"/>
        <w:gridCol w:w="902"/>
      </w:tblGrid>
      <w:tr w:rsidR="00B327ED" w:rsidRPr="00585907" w14:paraId="616A6A28" w14:textId="77777777" w:rsidTr="00B327ED">
        <w:trPr>
          <w:gridAfter w:val="1"/>
          <w:wAfter w:w="902" w:type="dxa"/>
          <w:trHeight w:val="458"/>
        </w:trPr>
        <w:tc>
          <w:tcPr>
            <w:tcW w:w="7790" w:type="dxa"/>
            <w:gridSpan w:val="5"/>
            <w:tcBorders>
              <w:top w:val="nil"/>
              <w:left w:val="nil"/>
              <w:bottom w:val="single" w:sz="4" w:space="0" w:color="auto"/>
              <w:right w:val="nil"/>
            </w:tcBorders>
          </w:tcPr>
          <w:p w14:paraId="71585A1F" w14:textId="77777777" w:rsidR="00B327ED" w:rsidRPr="00585907" w:rsidRDefault="00B327ED" w:rsidP="00944947">
            <w:pPr>
              <w:ind w:left="-103"/>
              <w:rPr>
                <w:rFonts w:ascii="Times New Roman" w:hAnsi="Times New Roman" w:cs="Times New Roman"/>
                <w:b/>
                <w:sz w:val="20"/>
              </w:rPr>
            </w:pPr>
            <w:r w:rsidRPr="00585907">
              <w:rPr>
                <w:rFonts w:ascii="Times New Roman" w:hAnsi="Times New Roman" w:cs="Times New Roman"/>
                <w:b/>
                <w:sz w:val="20"/>
              </w:rPr>
              <w:lastRenderedPageBreak/>
              <w:t xml:space="preserve">Table </w:t>
            </w:r>
            <w:r>
              <w:rPr>
                <w:rFonts w:ascii="Times New Roman" w:hAnsi="Times New Roman" w:cs="Times New Roman"/>
                <w:b/>
                <w:sz w:val="20"/>
              </w:rPr>
              <w:t>2</w:t>
            </w:r>
          </w:p>
          <w:p w14:paraId="65865763" w14:textId="77777777" w:rsidR="00B327ED" w:rsidRPr="00B327ED" w:rsidRDefault="00B327ED" w:rsidP="00944947">
            <w:pPr>
              <w:ind w:left="-108" w:right="-1196"/>
              <w:rPr>
                <w:rFonts w:ascii="Times New Roman" w:hAnsi="Times New Roman" w:cs="Times New Roman"/>
                <w:sz w:val="20"/>
              </w:rPr>
            </w:pPr>
            <w:r>
              <w:rPr>
                <w:rFonts w:ascii="Times New Roman" w:hAnsi="Times New Roman" w:cs="Times New Roman"/>
                <w:sz w:val="20"/>
              </w:rPr>
              <w:t>Variable names and summary statistics for the data on Virginia Evictions from 2000-2016</w:t>
            </w:r>
          </w:p>
        </w:tc>
        <w:tc>
          <w:tcPr>
            <w:tcW w:w="730" w:type="dxa"/>
            <w:gridSpan w:val="2"/>
            <w:tcBorders>
              <w:top w:val="nil"/>
              <w:left w:val="nil"/>
              <w:bottom w:val="single" w:sz="4" w:space="0" w:color="auto"/>
              <w:right w:val="nil"/>
            </w:tcBorders>
          </w:tcPr>
          <w:p w14:paraId="6DD3622E" w14:textId="77777777" w:rsidR="00B327ED" w:rsidRPr="00585907" w:rsidRDefault="00B327ED" w:rsidP="00944947">
            <w:pPr>
              <w:ind w:left="-103"/>
              <w:rPr>
                <w:rFonts w:ascii="Times New Roman" w:hAnsi="Times New Roman" w:cs="Times New Roman"/>
                <w:b/>
                <w:sz w:val="20"/>
              </w:rPr>
            </w:pPr>
          </w:p>
        </w:tc>
      </w:tr>
      <w:tr w:rsidR="00B327ED" w:rsidRPr="00585907" w14:paraId="620A3135" w14:textId="77777777" w:rsidTr="00B327ED">
        <w:trPr>
          <w:trHeight w:val="288"/>
        </w:trPr>
        <w:tc>
          <w:tcPr>
            <w:tcW w:w="3420" w:type="dxa"/>
            <w:tcBorders>
              <w:top w:val="single" w:sz="4" w:space="0" w:color="auto"/>
              <w:left w:val="nil"/>
              <w:bottom w:val="single" w:sz="4" w:space="0" w:color="auto"/>
              <w:right w:val="nil"/>
            </w:tcBorders>
            <w:vAlign w:val="center"/>
          </w:tcPr>
          <w:p w14:paraId="4A776CA7" w14:textId="77777777" w:rsidR="00B327ED" w:rsidRPr="00061707" w:rsidRDefault="00B327ED" w:rsidP="00944947">
            <w:pPr>
              <w:rPr>
                <w:rFonts w:ascii="Times New Roman" w:hAnsi="Times New Roman" w:cs="Times New Roman"/>
                <w:sz w:val="16"/>
                <w:szCs w:val="18"/>
              </w:rPr>
            </w:pPr>
            <w:r w:rsidRPr="00061707">
              <w:rPr>
                <w:rFonts w:ascii="Times New Roman" w:hAnsi="Times New Roman" w:cs="Times New Roman"/>
                <w:sz w:val="16"/>
                <w:szCs w:val="18"/>
              </w:rPr>
              <w:t>Variables</w:t>
            </w:r>
          </w:p>
        </w:tc>
        <w:tc>
          <w:tcPr>
            <w:tcW w:w="1170" w:type="dxa"/>
            <w:tcBorders>
              <w:top w:val="single" w:sz="4" w:space="0" w:color="auto"/>
              <w:left w:val="nil"/>
              <w:bottom w:val="single" w:sz="4" w:space="0" w:color="auto"/>
              <w:right w:val="nil"/>
            </w:tcBorders>
            <w:vAlign w:val="center"/>
          </w:tcPr>
          <w:p w14:paraId="629020A0" w14:textId="77777777" w:rsidR="00B327ED" w:rsidRPr="00061707" w:rsidRDefault="00B327ED" w:rsidP="00B327ED">
            <w:pPr>
              <w:rPr>
                <w:rFonts w:ascii="Times New Roman" w:hAnsi="Times New Roman" w:cs="Times New Roman"/>
                <w:color w:val="000000"/>
                <w:sz w:val="16"/>
                <w:szCs w:val="18"/>
              </w:rPr>
            </w:pPr>
            <w:r w:rsidRPr="00061707">
              <w:rPr>
                <w:rFonts w:ascii="Times New Roman" w:hAnsi="Times New Roman" w:cs="Times New Roman"/>
                <w:color w:val="000000"/>
                <w:sz w:val="16"/>
                <w:szCs w:val="18"/>
              </w:rPr>
              <w:t>Min</w:t>
            </w:r>
          </w:p>
        </w:tc>
        <w:tc>
          <w:tcPr>
            <w:tcW w:w="1170" w:type="dxa"/>
            <w:tcBorders>
              <w:top w:val="single" w:sz="4" w:space="0" w:color="auto"/>
              <w:left w:val="nil"/>
              <w:bottom w:val="single" w:sz="4" w:space="0" w:color="auto"/>
              <w:right w:val="nil"/>
            </w:tcBorders>
            <w:vAlign w:val="center"/>
          </w:tcPr>
          <w:p w14:paraId="4E4091C9" w14:textId="77777777" w:rsidR="00B327ED" w:rsidRPr="00061707" w:rsidRDefault="00B327ED" w:rsidP="00B327ED">
            <w:pPr>
              <w:rPr>
                <w:rFonts w:ascii="Times New Roman" w:hAnsi="Times New Roman" w:cs="Times New Roman"/>
                <w:color w:val="000000"/>
                <w:sz w:val="16"/>
                <w:szCs w:val="18"/>
              </w:rPr>
            </w:pPr>
            <w:r w:rsidRPr="00061707">
              <w:rPr>
                <w:rFonts w:ascii="Times New Roman" w:hAnsi="Times New Roman" w:cs="Times New Roman"/>
                <w:color w:val="000000"/>
                <w:sz w:val="16"/>
                <w:szCs w:val="18"/>
              </w:rPr>
              <w:t>Max</w:t>
            </w:r>
          </w:p>
        </w:tc>
        <w:tc>
          <w:tcPr>
            <w:tcW w:w="1231" w:type="dxa"/>
            <w:tcBorders>
              <w:top w:val="single" w:sz="4" w:space="0" w:color="auto"/>
              <w:left w:val="nil"/>
              <w:bottom w:val="single" w:sz="4" w:space="0" w:color="auto"/>
              <w:right w:val="nil"/>
            </w:tcBorders>
            <w:vAlign w:val="center"/>
          </w:tcPr>
          <w:p w14:paraId="1E25A8EF" w14:textId="77777777" w:rsidR="00B327ED" w:rsidRPr="00061707" w:rsidRDefault="00B327ED" w:rsidP="00B327ED">
            <w:pPr>
              <w:rPr>
                <w:rFonts w:ascii="Times New Roman" w:hAnsi="Times New Roman" w:cs="Times New Roman"/>
                <w:color w:val="000000"/>
                <w:sz w:val="16"/>
                <w:szCs w:val="18"/>
              </w:rPr>
            </w:pPr>
            <w:r w:rsidRPr="00061707">
              <w:rPr>
                <w:rFonts w:ascii="Times New Roman" w:hAnsi="Times New Roman" w:cs="Times New Roman"/>
                <w:color w:val="000000"/>
                <w:sz w:val="16"/>
                <w:szCs w:val="18"/>
              </w:rPr>
              <w:t>Mean</w:t>
            </w:r>
          </w:p>
        </w:tc>
        <w:tc>
          <w:tcPr>
            <w:tcW w:w="1345" w:type="dxa"/>
            <w:gridSpan w:val="2"/>
            <w:tcBorders>
              <w:top w:val="single" w:sz="4" w:space="0" w:color="auto"/>
              <w:left w:val="nil"/>
              <w:bottom w:val="single" w:sz="4" w:space="0" w:color="auto"/>
              <w:right w:val="nil"/>
            </w:tcBorders>
            <w:vAlign w:val="center"/>
          </w:tcPr>
          <w:p w14:paraId="25CE954B" w14:textId="77777777" w:rsidR="00B327ED" w:rsidRPr="00061707" w:rsidRDefault="00B327ED" w:rsidP="00B327ED">
            <w:pPr>
              <w:rPr>
                <w:rFonts w:ascii="Times New Roman" w:hAnsi="Times New Roman" w:cs="Times New Roman"/>
                <w:color w:val="000000"/>
                <w:sz w:val="16"/>
                <w:szCs w:val="18"/>
              </w:rPr>
            </w:pPr>
            <w:proofErr w:type="spellStart"/>
            <w:r w:rsidRPr="00061707">
              <w:rPr>
                <w:rFonts w:ascii="Times New Roman" w:hAnsi="Times New Roman" w:cs="Times New Roman"/>
                <w:color w:val="000000"/>
                <w:sz w:val="16"/>
                <w:szCs w:val="18"/>
              </w:rPr>
              <w:t>Std.dev</w:t>
            </w:r>
            <w:proofErr w:type="spellEnd"/>
          </w:p>
        </w:tc>
        <w:tc>
          <w:tcPr>
            <w:tcW w:w="1086" w:type="dxa"/>
            <w:gridSpan w:val="2"/>
            <w:tcBorders>
              <w:top w:val="single" w:sz="4" w:space="0" w:color="auto"/>
              <w:left w:val="nil"/>
              <w:bottom w:val="single" w:sz="4" w:space="0" w:color="auto"/>
              <w:right w:val="nil"/>
            </w:tcBorders>
            <w:vAlign w:val="center"/>
          </w:tcPr>
          <w:p w14:paraId="01422821" w14:textId="77777777" w:rsidR="00B327ED" w:rsidRPr="00061707" w:rsidRDefault="00B327ED" w:rsidP="00B327ED">
            <w:pPr>
              <w:rPr>
                <w:rFonts w:ascii="Times New Roman" w:hAnsi="Times New Roman" w:cs="Times New Roman"/>
                <w:color w:val="000000"/>
                <w:sz w:val="16"/>
                <w:szCs w:val="18"/>
              </w:rPr>
            </w:pPr>
            <w:r w:rsidRPr="00061707">
              <w:rPr>
                <w:rFonts w:ascii="Times New Roman" w:hAnsi="Times New Roman" w:cs="Times New Roman"/>
                <w:color w:val="000000"/>
                <w:sz w:val="16"/>
                <w:szCs w:val="18"/>
              </w:rPr>
              <w:t>No. of obs.</w:t>
            </w:r>
          </w:p>
        </w:tc>
      </w:tr>
      <w:tr w:rsidR="00B327ED" w:rsidRPr="00944947" w14:paraId="417B6402" w14:textId="77777777" w:rsidTr="00B327ED">
        <w:tc>
          <w:tcPr>
            <w:tcW w:w="3420" w:type="dxa"/>
            <w:tcBorders>
              <w:top w:val="single" w:sz="4" w:space="0" w:color="auto"/>
              <w:left w:val="nil"/>
              <w:bottom w:val="nil"/>
              <w:right w:val="nil"/>
            </w:tcBorders>
            <w:vAlign w:val="bottom"/>
          </w:tcPr>
          <w:p w14:paraId="3C0EB970"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P</w:t>
            </w:r>
            <w:r w:rsidR="00B327ED" w:rsidRPr="00061707">
              <w:rPr>
                <w:rFonts w:ascii="Times New Roman" w:hAnsi="Times New Roman" w:cs="Times New Roman"/>
                <w:color w:val="000000"/>
                <w:sz w:val="16"/>
                <w:szCs w:val="18"/>
              </w:rPr>
              <w:t>opulation</w:t>
            </w:r>
          </w:p>
        </w:tc>
        <w:tc>
          <w:tcPr>
            <w:tcW w:w="1170" w:type="dxa"/>
            <w:tcBorders>
              <w:top w:val="single" w:sz="4" w:space="0" w:color="auto"/>
              <w:left w:val="nil"/>
              <w:bottom w:val="nil"/>
              <w:right w:val="nil"/>
            </w:tcBorders>
            <w:vAlign w:val="center"/>
          </w:tcPr>
          <w:p w14:paraId="1BECD44F"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2244</w:t>
            </w:r>
          </w:p>
        </w:tc>
        <w:tc>
          <w:tcPr>
            <w:tcW w:w="1170" w:type="dxa"/>
            <w:tcBorders>
              <w:top w:val="single" w:sz="4" w:space="0" w:color="auto"/>
              <w:left w:val="nil"/>
              <w:bottom w:val="nil"/>
              <w:right w:val="nil"/>
            </w:tcBorders>
            <w:vAlign w:val="center"/>
          </w:tcPr>
          <w:p w14:paraId="67998D46"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1128722</w:t>
            </w:r>
          </w:p>
        </w:tc>
        <w:tc>
          <w:tcPr>
            <w:tcW w:w="1231" w:type="dxa"/>
            <w:tcBorders>
              <w:top w:val="single" w:sz="4" w:space="0" w:color="auto"/>
              <w:left w:val="nil"/>
              <w:bottom w:val="nil"/>
              <w:right w:val="nil"/>
            </w:tcBorders>
            <w:vAlign w:val="center"/>
          </w:tcPr>
          <w:p w14:paraId="08CDA793"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57769.89</w:t>
            </w:r>
          </w:p>
        </w:tc>
        <w:tc>
          <w:tcPr>
            <w:tcW w:w="1345" w:type="dxa"/>
            <w:gridSpan w:val="2"/>
            <w:tcBorders>
              <w:top w:val="single" w:sz="4" w:space="0" w:color="auto"/>
              <w:left w:val="nil"/>
              <w:bottom w:val="nil"/>
              <w:right w:val="nil"/>
            </w:tcBorders>
            <w:vAlign w:val="center"/>
          </w:tcPr>
          <w:p w14:paraId="54A27084"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112420.2</w:t>
            </w:r>
          </w:p>
        </w:tc>
        <w:tc>
          <w:tcPr>
            <w:tcW w:w="1086" w:type="dxa"/>
            <w:gridSpan w:val="2"/>
            <w:tcBorders>
              <w:top w:val="single" w:sz="4" w:space="0" w:color="auto"/>
              <w:left w:val="nil"/>
              <w:bottom w:val="nil"/>
              <w:right w:val="nil"/>
            </w:tcBorders>
          </w:tcPr>
          <w:p w14:paraId="76C3680B"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5C0A3D86" w14:textId="77777777" w:rsidTr="00B327ED">
        <w:tc>
          <w:tcPr>
            <w:tcW w:w="3420" w:type="dxa"/>
            <w:tcBorders>
              <w:top w:val="nil"/>
              <w:left w:val="nil"/>
              <w:bottom w:val="nil"/>
              <w:right w:val="nil"/>
            </w:tcBorders>
            <w:vAlign w:val="bottom"/>
          </w:tcPr>
          <w:p w14:paraId="35B87DDD"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P</w:t>
            </w:r>
            <w:r w:rsidR="00B327ED" w:rsidRPr="00061707">
              <w:rPr>
                <w:rFonts w:ascii="Times New Roman" w:hAnsi="Times New Roman" w:cs="Times New Roman"/>
                <w:color w:val="000000"/>
                <w:sz w:val="16"/>
                <w:szCs w:val="18"/>
              </w:rPr>
              <w:t>overty</w:t>
            </w:r>
            <w:r w:rsidRPr="00061707">
              <w:rPr>
                <w:rFonts w:ascii="Times New Roman" w:hAnsi="Times New Roman" w:cs="Times New Roman"/>
                <w:color w:val="000000"/>
                <w:sz w:val="16"/>
                <w:szCs w:val="18"/>
              </w:rPr>
              <w:t xml:space="preserve"> R</w:t>
            </w:r>
            <w:r w:rsidR="00B327ED" w:rsidRPr="00061707">
              <w:rPr>
                <w:rFonts w:ascii="Times New Roman" w:hAnsi="Times New Roman" w:cs="Times New Roman"/>
                <w:color w:val="000000"/>
                <w:sz w:val="16"/>
                <w:szCs w:val="18"/>
              </w:rPr>
              <w:t>ate</w:t>
            </w:r>
          </w:p>
        </w:tc>
        <w:tc>
          <w:tcPr>
            <w:tcW w:w="1170" w:type="dxa"/>
            <w:tcBorders>
              <w:top w:val="nil"/>
              <w:left w:val="nil"/>
              <w:bottom w:val="nil"/>
              <w:right w:val="nil"/>
            </w:tcBorders>
            <w:vAlign w:val="center"/>
          </w:tcPr>
          <w:p w14:paraId="01C158A9"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0.76</w:t>
            </w:r>
          </w:p>
        </w:tc>
        <w:tc>
          <w:tcPr>
            <w:tcW w:w="1170" w:type="dxa"/>
            <w:tcBorders>
              <w:top w:val="nil"/>
              <w:left w:val="nil"/>
              <w:bottom w:val="nil"/>
              <w:right w:val="nil"/>
            </w:tcBorders>
            <w:vAlign w:val="center"/>
          </w:tcPr>
          <w:p w14:paraId="717308E8"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31.35</w:t>
            </w:r>
          </w:p>
        </w:tc>
        <w:tc>
          <w:tcPr>
            <w:tcW w:w="1231" w:type="dxa"/>
            <w:tcBorders>
              <w:top w:val="nil"/>
              <w:left w:val="nil"/>
              <w:bottom w:val="nil"/>
              <w:right w:val="nil"/>
            </w:tcBorders>
            <w:vAlign w:val="center"/>
          </w:tcPr>
          <w:p w14:paraId="6529B15B"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10.71</w:t>
            </w:r>
          </w:p>
        </w:tc>
        <w:tc>
          <w:tcPr>
            <w:tcW w:w="1345" w:type="dxa"/>
            <w:gridSpan w:val="2"/>
            <w:tcBorders>
              <w:top w:val="nil"/>
              <w:left w:val="nil"/>
              <w:bottom w:val="nil"/>
              <w:right w:val="nil"/>
            </w:tcBorders>
            <w:vAlign w:val="center"/>
          </w:tcPr>
          <w:p w14:paraId="0B85D165"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5.52</w:t>
            </w:r>
          </w:p>
        </w:tc>
        <w:tc>
          <w:tcPr>
            <w:tcW w:w="1086" w:type="dxa"/>
            <w:gridSpan w:val="2"/>
            <w:tcBorders>
              <w:top w:val="nil"/>
              <w:left w:val="nil"/>
              <w:bottom w:val="nil"/>
              <w:right w:val="nil"/>
            </w:tcBorders>
          </w:tcPr>
          <w:p w14:paraId="27BEC14C"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0F905986" w14:textId="77777777" w:rsidTr="00B327ED">
        <w:tc>
          <w:tcPr>
            <w:tcW w:w="3420" w:type="dxa"/>
            <w:tcBorders>
              <w:top w:val="nil"/>
              <w:left w:val="nil"/>
              <w:bottom w:val="nil"/>
              <w:right w:val="nil"/>
            </w:tcBorders>
            <w:vAlign w:val="bottom"/>
          </w:tcPr>
          <w:p w14:paraId="0FE7315F"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R</w:t>
            </w:r>
            <w:r w:rsidR="00B327ED" w:rsidRPr="00061707">
              <w:rPr>
                <w:rFonts w:ascii="Times New Roman" w:hAnsi="Times New Roman" w:cs="Times New Roman"/>
                <w:color w:val="000000"/>
                <w:sz w:val="16"/>
                <w:szCs w:val="18"/>
              </w:rPr>
              <w:t>enter</w:t>
            </w:r>
            <w:r w:rsidRPr="00061707">
              <w:rPr>
                <w:rFonts w:ascii="Times New Roman" w:hAnsi="Times New Roman" w:cs="Times New Roman"/>
                <w:color w:val="000000"/>
                <w:sz w:val="16"/>
                <w:szCs w:val="18"/>
              </w:rPr>
              <w:t xml:space="preserve"> O</w:t>
            </w:r>
            <w:r w:rsidR="00B327ED" w:rsidRPr="00061707">
              <w:rPr>
                <w:rFonts w:ascii="Times New Roman" w:hAnsi="Times New Roman" w:cs="Times New Roman"/>
                <w:color w:val="000000"/>
                <w:sz w:val="16"/>
                <w:szCs w:val="18"/>
              </w:rPr>
              <w:t>ccupied</w:t>
            </w:r>
            <w:r w:rsidRPr="00061707">
              <w:rPr>
                <w:rFonts w:ascii="Times New Roman" w:hAnsi="Times New Roman" w:cs="Times New Roman"/>
                <w:color w:val="000000"/>
                <w:sz w:val="16"/>
                <w:szCs w:val="18"/>
              </w:rPr>
              <w:t xml:space="preserve"> H</w:t>
            </w:r>
            <w:r w:rsidR="00B327ED" w:rsidRPr="00061707">
              <w:rPr>
                <w:rFonts w:ascii="Times New Roman" w:hAnsi="Times New Roman" w:cs="Times New Roman"/>
                <w:color w:val="000000"/>
                <w:sz w:val="16"/>
                <w:szCs w:val="18"/>
              </w:rPr>
              <w:t>ouseholds</w:t>
            </w:r>
          </w:p>
        </w:tc>
        <w:tc>
          <w:tcPr>
            <w:tcW w:w="1170" w:type="dxa"/>
            <w:tcBorders>
              <w:top w:val="nil"/>
              <w:left w:val="nil"/>
              <w:bottom w:val="nil"/>
              <w:right w:val="nil"/>
            </w:tcBorders>
            <w:vAlign w:val="center"/>
          </w:tcPr>
          <w:p w14:paraId="335DCE5F"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175</w:t>
            </w:r>
          </w:p>
        </w:tc>
        <w:tc>
          <w:tcPr>
            <w:tcW w:w="1170" w:type="dxa"/>
            <w:tcBorders>
              <w:top w:val="nil"/>
              <w:left w:val="nil"/>
              <w:bottom w:val="nil"/>
              <w:right w:val="nil"/>
            </w:tcBorders>
            <w:vAlign w:val="center"/>
          </w:tcPr>
          <w:p w14:paraId="30C2E994"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131159</w:t>
            </w:r>
          </w:p>
        </w:tc>
        <w:tc>
          <w:tcPr>
            <w:tcW w:w="1231" w:type="dxa"/>
            <w:tcBorders>
              <w:top w:val="nil"/>
              <w:left w:val="nil"/>
              <w:bottom w:val="nil"/>
              <w:right w:val="nil"/>
            </w:tcBorders>
            <w:vAlign w:val="center"/>
          </w:tcPr>
          <w:p w14:paraId="4087AF27"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7291.77</w:t>
            </w:r>
          </w:p>
        </w:tc>
        <w:tc>
          <w:tcPr>
            <w:tcW w:w="1345" w:type="dxa"/>
            <w:gridSpan w:val="2"/>
            <w:tcBorders>
              <w:top w:val="nil"/>
              <w:left w:val="nil"/>
              <w:bottom w:val="nil"/>
              <w:right w:val="nil"/>
            </w:tcBorders>
            <w:vAlign w:val="center"/>
          </w:tcPr>
          <w:p w14:paraId="30574396"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14456.74</w:t>
            </w:r>
          </w:p>
        </w:tc>
        <w:tc>
          <w:tcPr>
            <w:tcW w:w="1086" w:type="dxa"/>
            <w:gridSpan w:val="2"/>
            <w:tcBorders>
              <w:top w:val="nil"/>
              <w:left w:val="nil"/>
              <w:bottom w:val="nil"/>
              <w:right w:val="nil"/>
            </w:tcBorders>
          </w:tcPr>
          <w:p w14:paraId="1EC891DC"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1AFA09A0" w14:textId="77777777" w:rsidTr="00B327ED">
        <w:tc>
          <w:tcPr>
            <w:tcW w:w="3420" w:type="dxa"/>
            <w:tcBorders>
              <w:top w:val="nil"/>
              <w:left w:val="nil"/>
              <w:bottom w:val="nil"/>
              <w:right w:val="nil"/>
            </w:tcBorders>
            <w:vAlign w:val="bottom"/>
          </w:tcPr>
          <w:p w14:paraId="2FC730CA"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Percent R</w:t>
            </w:r>
            <w:r w:rsidR="00B327ED" w:rsidRPr="00061707">
              <w:rPr>
                <w:rFonts w:ascii="Times New Roman" w:hAnsi="Times New Roman" w:cs="Times New Roman"/>
                <w:color w:val="000000"/>
                <w:sz w:val="16"/>
                <w:szCs w:val="18"/>
              </w:rPr>
              <w:t>enter</w:t>
            </w:r>
            <w:r w:rsidRPr="00061707">
              <w:rPr>
                <w:rFonts w:ascii="Times New Roman" w:hAnsi="Times New Roman" w:cs="Times New Roman"/>
                <w:color w:val="000000"/>
                <w:sz w:val="16"/>
                <w:szCs w:val="18"/>
              </w:rPr>
              <w:t xml:space="preserve"> O</w:t>
            </w:r>
            <w:r w:rsidR="00B327ED" w:rsidRPr="00061707">
              <w:rPr>
                <w:rFonts w:ascii="Times New Roman" w:hAnsi="Times New Roman" w:cs="Times New Roman"/>
                <w:color w:val="000000"/>
                <w:sz w:val="16"/>
                <w:szCs w:val="18"/>
              </w:rPr>
              <w:t>ccupied</w:t>
            </w:r>
          </w:p>
        </w:tc>
        <w:tc>
          <w:tcPr>
            <w:tcW w:w="1170" w:type="dxa"/>
            <w:tcBorders>
              <w:top w:val="nil"/>
              <w:left w:val="nil"/>
              <w:bottom w:val="nil"/>
              <w:right w:val="nil"/>
            </w:tcBorders>
            <w:vAlign w:val="center"/>
          </w:tcPr>
          <w:p w14:paraId="07A77753"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7.49</w:t>
            </w:r>
          </w:p>
        </w:tc>
        <w:tc>
          <w:tcPr>
            <w:tcW w:w="1170" w:type="dxa"/>
            <w:tcBorders>
              <w:top w:val="nil"/>
              <w:left w:val="nil"/>
              <w:bottom w:val="nil"/>
              <w:right w:val="nil"/>
            </w:tcBorders>
            <w:vAlign w:val="center"/>
          </w:tcPr>
          <w:p w14:paraId="3E9958A2"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65.55</w:t>
            </w:r>
          </w:p>
        </w:tc>
        <w:tc>
          <w:tcPr>
            <w:tcW w:w="1231" w:type="dxa"/>
            <w:tcBorders>
              <w:top w:val="nil"/>
              <w:left w:val="nil"/>
              <w:bottom w:val="nil"/>
              <w:right w:val="nil"/>
            </w:tcBorders>
            <w:vAlign w:val="center"/>
          </w:tcPr>
          <w:p w14:paraId="1BEA2282"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29.05</w:t>
            </w:r>
          </w:p>
        </w:tc>
        <w:tc>
          <w:tcPr>
            <w:tcW w:w="1345" w:type="dxa"/>
            <w:gridSpan w:val="2"/>
            <w:tcBorders>
              <w:top w:val="nil"/>
              <w:left w:val="nil"/>
              <w:bottom w:val="nil"/>
              <w:right w:val="nil"/>
            </w:tcBorders>
            <w:vAlign w:val="center"/>
          </w:tcPr>
          <w:p w14:paraId="003A9F09"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12.03</w:t>
            </w:r>
          </w:p>
        </w:tc>
        <w:tc>
          <w:tcPr>
            <w:tcW w:w="1086" w:type="dxa"/>
            <w:gridSpan w:val="2"/>
            <w:tcBorders>
              <w:top w:val="nil"/>
              <w:left w:val="nil"/>
              <w:bottom w:val="nil"/>
              <w:right w:val="nil"/>
            </w:tcBorders>
          </w:tcPr>
          <w:p w14:paraId="63F3CC86"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140BD7B7" w14:textId="77777777" w:rsidTr="00B327ED">
        <w:tc>
          <w:tcPr>
            <w:tcW w:w="3420" w:type="dxa"/>
            <w:tcBorders>
              <w:top w:val="nil"/>
              <w:left w:val="nil"/>
              <w:bottom w:val="nil"/>
              <w:right w:val="nil"/>
            </w:tcBorders>
            <w:vAlign w:val="bottom"/>
          </w:tcPr>
          <w:p w14:paraId="054FF1EE"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M</w:t>
            </w:r>
            <w:r w:rsidR="00B327ED" w:rsidRPr="00061707">
              <w:rPr>
                <w:rFonts w:ascii="Times New Roman" w:hAnsi="Times New Roman" w:cs="Times New Roman"/>
                <w:color w:val="000000"/>
                <w:sz w:val="16"/>
                <w:szCs w:val="18"/>
              </w:rPr>
              <w:t>edian</w:t>
            </w:r>
            <w:r w:rsidRPr="00061707">
              <w:rPr>
                <w:rFonts w:ascii="Times New Roman" w:hAnsi="Times New Roman" w:cs="Times New Roman"/>
                <w:color w:val="000000"/>
                <w:sz w:val="16"/>
                <w:szCs w:val="18"/>
              </w:rPr>
              <w:t xml:space="preserve"> G</w:t>
            </w:r>
            <w:r w:rsidR="00B327ED" w:rsidRPr="00061707">
              <w:rPr>
                <w:rFonts w:ascii="Times New Roman" w:hAnsi="Times New Roman" w:cs="Times New Roman"/>
                <w:color w:val="000000"/>
                <w:sz w:val="16"/>
                <w:szCs w:val="18"/>
              </w:rPr>
              <w:t>ross</w:t>
            </w:r>
            <w:r w:rsidRPr="00061707">
              <w:rPr>
                <w:rFonts w:ascii="Times New Roman" w:hAnsi="Times New Roman" w:cs="Times New Roman"/>
                <w:color w:val="000000"/>
                <w:sz w:val="16"/>
                <w:szCs w:val="18"/>
              </w:rPr>
              <w:t xml:space="preserve"> R</w:t>
            </w:r>
            <w:r w:rsidR="00B327ED" w:rsidRPr="00061707">
              <w:rPr>
                <w:rFonts w:ascii="Times New Roman" w:hAnsi="Times New Roman" w:cs="Times New Roman"/>
                <w:color w:val="000000"/>
                <w:sz w:val="16"/>
                <w:szCs w:val="18"/>
              </w:rPr>
              <w:t>ent</w:t>
            </w:r>
          </w:p>
        </w:tc>
        <w:tc>
          <w:tcPr>
            <w:tcW w:w="1170" w:type="dxa"/>
            <w:tcBorders>
              <w:top w:val="nil"/>
              <w:left w:val="nil"/>
              <w:bottom w:val="nil"/>
              <w:right w:val="nil"/>
            </w:tcBorders>
            <w:vAlign w:val="center"/>
          </w:tcPr>
          <w:p w14:paraId="6700F0C7"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318</w:t>
            </w:r>
          </w:p>
        </w:tc>
        <w:tc>
          <w:tcPr>
            <w:tcW w:w="1170" w:type="dxa"/>
            <w:tcBorders>
              <w:top w:val="nil"/>
              <w:left w:val="nil"/>
              <w:bottom w:val="nil"/>
              <w:right w:val="nil"/>
            </w:tcBorders>
            <w:vAlign w:val="center"/>
          </w:tcPr>
          <w:p w14:paraId="2A2200C6"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1827</w:t>
            </w:r>
          </w:p>
        </w:tc>
        <w:tc>
          <w:tcPr>
            <w:tcW w:w="1231" w:type="dxa"/>
            <w:tcBorders>
              <w:top w:val="nil"/>
              <w:left w:val="nil"/>
              <w:bottom w:val="nil"/>
              <w:right w:val="nil"/>
            </w:tcBorders>
            <w:vAlign w:val="center"/>
          </w:tcPr>
          <w:p w14:paraId="758476C8"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728.4</w:t>
            </w:r>
          </w:p>
        </w:tc>
        <w:tc>
          <w:tcPr>
            <w:tcW w:w="1345" w:type="dxa"/>
            <w:gridSpan w:val="2"/>
            <w:tcBorders>
              <w:top w:val="nil"/>
              <w:left w:val="nil"/>
              <w:bottom w:val="nil"/>
              <w:right w:val="nil"/>
            </w:tcBorders>
            <w:vAlign w:val="center"/>
          </w:tcPr>
          <w:p w14:paraId="75CDC21A"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280.56</w:t>
            </w:r>
          </w:p>
        </w:tc>
        <w:tc>
          <w:tcPr>
            <w:tcW w:w="1086" w:type="dxa"/>
            <w:gridSpan w:val="2"/>
            <w:tcBorders>
              <w:top w:val="nil"/>
              <w:left w:val="nil"/>
              <w:bottom w:val="nil"/>
              <w:right w:val="nil"/>
            </w:tcBorders>
          </w:tcPr>
          <w:p w14:paraId="719C4B90"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71B0D714" w14:textId="77777777" w:rsidTr="00B327ED">
        <w:tc>
          <w:tcPr>
            <w:tcW w:w="3420" w:type="dxa"/>
            <w:tcBorders>
              <w:top w:val="nil"/>
              <w:left w:val="nil"/>
              <w:bottom w:val="nil"/>
              <w:right w:val="nil"/>
            </w:tcBorders>
            <w:vAlign w:val="bottom"/>
          </w:tcPr>
          <w:p w14:paraId="255F3976"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M</w:t>
            </w:r>
            <w:r w:rsidR="00B327ED" w:rsidRPr="00061707">
              <w:rPr>
                <w:rFonts w:ascii="Times New Roman" w:hAnsi="Times New Roman" w:cs="Times New Roman"/>
                <w:color w:val="000000"/>
                <w:sz w:val="16"/>
                <w:szCs w:val="18"/>
              </w:rPr>
              <w:t>edian</w:t>
            </w:r>
            <w:r w:rsidRPr="00061707">
              <w:rPr>
                <w:rFonts w:ascii="Times New Roman" w:hAnsi="Times New Roman" w:cs="Times New Roman"/>
                <w:color w:val="000000"/>
                <w:sz w:val="16"/>
                <w:szCs w:val="18"/>
              </w:rPr>
              <w:t xml:space="preserve"> H</w:t>
            </w:r>
            <w:r w:rsidR="00B327ED" w:rsidRPr="00061707">
              <w:rPr>
                <w:rFonts w:ascii="Times New Roman" w:hAnsi="Times New Roman" w:cs="Times New Roman"/>
                <w:color w:val="000000"/>
                <w:sz w:val="16"/>
                <w:szCs w:val="18"/>
              </w:rPr>
              <w:t>ousehold</w:t>
            </w:r>
            <w:r w:rsidRPr="00061707">
              <w:rPr>
                <w:rFonts w:ascii="Times New Roman" w:hAnsi="Times New Roman" w:cs="Times New Roman"/>
                <w:color w:val="000000"/>
                <w:sz w:val="16"/>
                <w:szCs w:val="18"/>
              </w:rPr>
              <w:t xml:space="preserve"> I</w:t>
            </w:r>
            <w:r w:rsidR="00B327ED" w:rsidRPr="00061707">
              <w:rPr>
                <w:rFonts w:ascii="Times New Roman" w:hAnsi="Times New Roman" w:cs="Times New Roman"/>
                <w:color w:val="000000"/>
                <w:sz w:val="16"/>
                <w:szCs w:val="18"/>
              </w:rPr>
              <w:t>ncome</w:t>
            </w:r>
          </w:p>
        </w:tc>
        <w:tc>
          <w:tcPr>
            <w:tcW w:w="1170" w:type="dxa"/>
            <w:tcBorders>
              <w:top w:val="nil"/>
              <w:left w:val="nil"/>
              <w:bottom w:val="nil"/>
              <w:right w:val="nil"/>
            </w:tcBorders>
            <w:vAlign w:val="center"/>
          </w:tcPr>
          <w:p w14:paraId="512C1D43"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22105</w:t>
            </w:r>
          </w:p>
        </w:tc>
        <w:tc>
          <w:tcPr>
            <w:tcW w:w="1170" w:type="dxa"/>
            <w:tcBorders>
              <w:top w:val="nil"/>
              <w:left w:val="nil"/>
              <w:bottom w:val="nil"/>
              <w:right w:val="nil"/>
            </w:tcBorders>
            <w:vAlign w:val="center"/>
          </w:tcPr>
          <w:p w14:paraId="246B726D"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123453</w:t>
            </w:r>
          </w:p>
        </w:tc>
        <w:tc>
          <w:tcPr>
            <w:tcW w:w="1231" w:type="dxa"/>
            <w:tcBorders>
              <w:top w:val="nil"/>
              <w:left w:val="nil"/>
              <w:bottom w:val="nil"/>
              <w:right w:val="nil"/>
            </w:tcBorders>
            <w:vAlign w:val="center"/>
          </w:tcPr>
          <w:p w14:paraId="49118654"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48236.08</w:t>
            </w:r>
          </w:p>
        </w:tc>
        <w:tc>
          <w:tcPr>
            <w:tcW w:w="1345" w:type="dxa"/>
            <w:gridSpan w:val="2"/>
            <w:tcBorders>
              <w:top w:val="nil"/>
              <w:left w:val="nil"/>
              <w:bottom w:val="nil"/>
              <w:right w:val="nil"/>
            </w:tcBorders>
            <w:vAlign w:val="center"/>
          </w:tcPr>
          <w:p w14:paraId="405B3056"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18134.18</w:t>
            </w:r>
          </w:p>
        </w:tc>
        <w:tc>
          <w:tcPr>
            <w:tcW w:w="1086" w:type="dxa"/>
            <w:gridSpan w:val="2"/>
            <w:tcBorders>
              <w:top w:val="nil"/>
              <w:left w:val="nil"/>
              <w:bottom w:val="nil"/>
              <w:right w:val="nil"/>
            </w:tcBorders>
          </w:tcPr>
          <w:p w14:paraId="055A3BB2"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16214B1A" w14:textId="77777777" w:rsidTr="00B327ED">
        <w:tc>
          <w:tcPr>
            <w:tcW w:w="3420" w:type="dxa"/>
            <w:tcBorders>
              <w:top w:val="nil"/>
              <w:left w:val="nil"/>
              <w:bottom w:val="nil"/>
              <w:right w:val="nil"/>
            </w:tcBorders>
            <w:vAlign w:val="bottom"/>
          </w:tcPr>
          <w:p w14:paraId="28381C0B"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M</w:t>
            </w:r>
            <w:r w:rsidR="00B327ED" w:rsidRPr="00061707">
              <w:rPr>
                <w:rFonts w:ascii="Times New Roman" w:hAnsi="Times New Roman" w:cs="Times New Roman"/>
                <w:color w:val="000000"/>
                <w:sz w:val="16"/>
                <w:szCs w:val="18"/>
              </w:rPr>
              <w:t>edian</w:t>
            </w:r>
            <w:r w:rsidRPr="00061707">
              <w:rPr>
                <w:rFonts w:ascii="Times New Roman" w:hAnsi="Times New Roman" w:cs="Times New Roman"/>
                <w:color w:val="000000"/>
                <w:sz w:val="16"/>
                <w:szCs w:val="18"/>
              </w:rPr>
              <w:t xml:space="preserve"> P</w:t>
            </w:r>
            <w:r w:rsidR="00B327ED" w:rsidRPr="00061707">
              <w:rPr>
                <w:rFonts w:ascii="Times New Roman" w:hAnsi="Times New Roman" w:cs="Times New Roman"/>
                <w:color w:val="000000"/>
                <w:sz w:val="16"/>
                <w:szCs w:val="18"/>
              </w:rPr>
              <w:t>roperty</w:t>
            </w:r>
            <w:r w:rsidRPr="00061707">
              <w:rPr>
                <w:rFonts w:ascii="Times New Roman" w:hAnsi="Times New Roman" w:cs="Times New Roman"/>
                <w:color w:val="000000"/>
                <w:sz w:val="16"/>
                <w:szCs w:val="18"/>
              </w:rPr>
              <w:t xml:space="preserve"> V</w:t>
            </w:r>
            <w:r w:rsidR="00B327ED" w:rsidRPr="00061707">
              <w:rPr>
                <w:rFonts w:ascii="Times New Roman" w:hAnsi="Times New Roman" w:cs="Times New Roman"/>
                <w:color w:val="000000"/>
                <w:sz w:val="16"/>
                <w:szCs w:val="18"/>
              </w:rPr>
              <w:t>alue</w:t>
            </w:r>
          </w:p>
        </w:tc>
        <w:tc>
          <w:tcPr>
            <w:tcW w:w="1170" w:type="dxa"/>
            <w:tcBorders>
              <w:top w:val="nil"/>
              <w:left w:val="nil"/>
              <w:bottom w:val="nil"/>
              <w:right w:val="nil"/>
            </w:tcBorders>
            <w:vAlign w:val="center"/>
          </w:tcPr>
          <w:p w14:paraId="0B989C8E"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52500</w:t>
            </w:r>
          </w:p>
        </w:tc>
        <w:tc>
          <w:tcPr>
            <w:tcW w:w="1170" w:type="dxa"/>
            <w:tcBorders>
              <w:top w:val="nil"/>
              <w:left w:val="nil"/>
              <w:bottom w:val="nil"/>
              <w:right w:val="nil"/>
            </w:tcBorders>
            <w:vAlign w:val="center"/>
          </w:tcPr>
          <w:p w14:paraId="78BA9CCB"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718900</w:t>
            </w:r>
          </w:p>
        </w:tc>
        <w:tc>
          <w:tcPr>
            <w:tcW w:w="1231" w:type="dxa"/>
            <w:tcBorders>
              <w:top w:val="nil"/>
              <w:left w:val="nil"/>
              <w:bottom w:val="nil"/>
              <w:right w:val="nil"/>
            </w:tcBorders>
            <w:vAlign w:val="center"/>
          </w:tcPr>
          <w:p w14:paraId="2A1E1434"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170264.2</w:t>
            </w:r>
          </w:p>
        </w:tc>
        <w:tc>
          <w:tcPr>
            <w:tcW w:w="1345" w:type="dxa"/>
            <w:gridSpan w:val="2"/>
            <w:tcBorders>
              <w:top w:val="nil"/>
              <w:left w:val="nil"/>
              <w:bottom w:val="nil"/>
              <w:right w:val="nil"/>
            </w:tcBorders>
            <w:vAlign w:val="center"/>
          </w:tcPr>
          <w:p w14:paraId="5EF9DD7D"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101326.3</w:t>
            </w:r>
          </w:p>
        </w:tc>
        <w:tc>
          <w:tcPr>
            <w:tcW w:w="1086" w:type="dxa"/>
            <w:gridSpan w:val="2"/>
            <w:tcBorders>
              <w:top w:val="nil"/>
              <w:left w:val="nil"/>
              <w:bottom w:val="nil"/>
              <w:right w:val="nil"/>
            </w:tcBorders>
          </w:tcPr>
          <w:p w14:paraId="32B2F301"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1CD330AD" w14:textId="77777777" w:rsidTr="00B327ED">
        <w:tc>
          <w:tcPr>
            <w:tcW w:w="3420" w:type="dxa"/>
            <w:tcBorders>
              <w:top w:val="nil"/>
              <w:left w:val="nil"/>
              <w:bottom w:val="nil"/>
              <w:right w:val="nil"/>
            </w:tcBorders>
            <w:vAlign w:val="bottom"/>
          </w:tcPr>
          <w:p w14:paraId="164AE0D7"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R</w:t>
            </w:r>
            <w:r w:rsidR="00B327ED" w:rsidRPr="00061707">
              <w:rPr>
                <w:rFonts w:ascii="Times New Roman" w:hAnsi="Times New Roman" w:cs="Times New Roman"/>
                <w:color w:val="000000"/>
                <w:sz w:val="16"/>
                <w:szCs w:val="18"/>
              </w:rPr>
              <w:t>ent</w:t>
            </w:r>
            <w:r w:rsidRPr="00061707">
              <w:rPr>
                <w:rFonts w:ascii="Times New Roman" w:hAnsi="Times New Roman" w:cs="Times New Roman"/>
                <w:color w:val="000000"/>
                <w:sz w:val="16"/>
                <w:szCs w:val="18"/>
              </w:rPr>
              <w:t xml:space="preserve"> B</w:t>
            </w:r>
            <w:r w:rsidR="00B327ED" w:rsidRPr="00061707">
              <w:rPr>
                <w:rFonts w:ascii="Times New Roman" w:hAnsi="Times New Roman" w:cs="Times New Roman"/>
                <w:color w:val="000000"/>
                <w:sz w:val="16"/>
                <w:szCs w:val="18"/>
              </w:rPr>
              <w:t>urden</w:t>
            </w:r>
          </w:p>
        </w:tc>
        <w:tc>
          <w:tcPr>
            <w:tcW w:w="1170" w:type="dxa"/>
            <w:tcBorders>
              <w:top w:val="nil"/>
              <w:left w:val="nil"/>
              <w:bottom w:val="nil"/>
              <w:right w:val="nil"/>
            </w:tcBorders>
            <w:vAlign w:val="center"/>
          </w:tcPr>
          <w:p w14:paraId="51A05B04"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14.5</w:t>
            </w:r>
          </w:p>
        </w:tc>
        <w:tc>
          <w:tcPr>
            <w:tcW w:w="1170" w:type="dxa"/>
            <w:tcBorders>
              <w:top w:val="nil"/>
              <w:left w:val="nil"/>
              <w:bottom w:val="nil"/>
              <w:right w:val="nil"/>
            </w:tcBorders>
            <w:vAlign w:val="center"/>
          </w:tcPr>
          <w:p w14:paraId="0FD08A2A"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50</w:t>
            </w:r>
          </w:p>
        </w:tc>
        <w:tc>
          <w:tcPr>
            <w:tcW w:w="1231" w:type="dxa"/>
            <w:tcBorders>
              <w:top w:val="nil"/>
              <w:left w:val="nil"/>
              <w:bottom w:val="nil"/>
              <w:right w:val="nil"/>
            </w:tcBorders>
            <w:vAlign w:val="center"/>
          </w:tcPr>
          <w:p w14:paraId="4E511B57"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27.37</w:t>
            </w:r>
          </w:p>
        </w:tc>
        <w:tc>
          <w:tcPr>
            <w:tcW w:w="1345" w:type="dxa"/>
            <w:gridSpan w:val="2"/>
            <w:tcBorders>
              <w:top w:val="nil"/>
              <w:left w:val="nil"/>
              <w:bottom w:val="nil"/>
              <w:right w:val="nil"/>
            </w:tcBorders>
            <w:vAlign w:val="center"/>
          </w:tcPr>
          <w:p w14:paraId="1892A748"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4.66</w:t>
            </w:r>
          </w:p>
        </w:tc>
        <w:tc>
          <w:tcPr>
            <w:tcW w:w="1086" w:type="dxa"/>
            <w:gridSpan w:val="2"/>
            <w:tcBorders>
              <w:top w:val="nil"/>
              <w:left w:val="nil"/>
              <w:bottom w:val="nil"/>
              <w:right w:val="nil"/>
            </w:tcBorders>
          </w:tcPr>
          <w:p w14:paraId="4D28445B"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34F9A606" w14:textId="77777777" w:rsidTr="00B327ED">
        <w:tc>
          <w:tcPr>
            <w:tcW w:w="3420" w:type="dxa"/>
            <w:tcBorders>
              <w:top w:val="nil"/>
              <w:left w:val="nil"/>
              <w:bottom w:val="nil"/>
              <w:right w:val="nil"/>
            </w:tcBorders>
            <w:vAlign w:val="bottom"/>
          </w:tcPr>
          <w:p w14:paraId="6CFF199D"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Percent W</w:t>
            </w:r>
            <w:r w:rsidR="00B327ED" w:rsidRPr="00061707">
              <w:rPr>
                <w:rFonts w:ascii="Times New Roman" w:hAnsi="Times New Roman" w:cs="Times New Roman"/>
                <w:color w:val="000000"/>
                <w:sz w:val="16"/>
                <w:szCs w:val="18"/>
              </w:rPr>
              <w:t>hite</w:t>
            </w:r>
          </w:p>
        </w:tc>
        <w:tc>
          <w:tcPr>
            <w:tcW w:w="1170" w:type="dxa"/>
            <w:tcBorders>
              <w:top w:val="nil"/>
              <w:left w:val="nil"/>
              <w:bottom w:val="nil"/>
              <w:right w:val="nil"/>
            </w:tcBorders>
            <w:vAlign w:val="center"/>
          </w:tcPr>
          <w:p w14:paraId="118681CA"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15.12</w:t>
            </w:r>
          </w:p>
        </w:tc>
        <w:tc>
          <w:tcPr>
            <w:tcW w:w="1170" w:type="dxa"/>
            <w:tcBorders>
              <w:top w:val="nil"/>
              <w:left w:val="nil"/>
              <w:bottom w:val="nil"/>
              <w:right w:val="nil"/>
            </w:tcBorders>
            <w:vAlign w:val="center"/>
          </w:tcPr>
          <w:p w14:paraId="702DEFA2"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99.51</w:t>
            </w:r>
          </w:p>
        </w:tc>
        <w:tc>
          <w:tcPr>
            <w:tcW w:w="1231" w:type="dxa"/>
            <w:tcBorders>
              <w:top w:val="nil"/>
              <w:left w:val="nil"/>
              <w:bottom w:val="nil"/>
              <w:right w:val="nil"/>
            </w:tcBorders>
            <w:vAlign w:val="center"/>
          </w:tcPr>
          <w:p w14:paraId="2D4EFE1B"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73.74</w:t>
            </w:r>
          </w:p>
        </w:tc>
        <w:tc>
          <w:tcPr>
            <w:tcW w:w="1345" w:type="dxa"/>
            <w:gridSpan w:val="2"/>
            <w:tcBorders>
              <w:top w:val="nil"/>
              <w:left w:val="nil"/>
              <w:bottom w:val="nil"/>
              <w:right w:val="nil"/>
            </w:tcBorders>
            <w:vAlign w:val="center"/>
          </w:tcPr>
          <w:p w14:paraId="4A772D25"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17.61</w:t>
            </w:r>
          </w:p>
        </w:tc>
        <w:tc>
          <w:tcPr>
            <w:tcW w:w="1086" w:type="dxa"/>
            <w:gridSpan w:val="2"/>
            <w:tcBorders>
              <w:top w:val="nil"/>
              <w:left w:val="nil"/>
              <w:bottom w:val="nil"/>
              <w:right w:val="nil"/>
            </w:tcBorders>
          </w:tcPr>
          <w:p w14:paraId="590BCE64"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2C072E3E" w14:textId="77777777" w:rsidTr="00B327ED">
        <w:tc>
          <w:tcPr>
            <w:tcW w:w="3420" w:type="dxa"/>
            <w:tcBorders>
              <w:top w:val="nil"/>
              <w:left w:val="nil"/>
              <w:bottom w:val="nil"/>
              <w:right w:val="nil"/>
            </w:tcBorders>
            <w:vAlign w:val="bottom"/>
          </w:tcPr>
          <w:p w14:paraId="686309E5"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Percent African American</w:t>
            </w:r>
          </w:p>
        </w:tc>
        <w:tc>
          <w:tcPr>
            <w:tcW w:w="1170" w:type="dxa"/>
            <w:tcBorders>
              <w:top w:val="nil"/>
              <w:left w:val="nil"/>
              <w:bottom w:val="nil"/>
              <w:right w:val="nil"/>
            </w:tcBorders>
            <w:vAlign w:val="center"/>
          </w:tcPr>
          <w:p w14:paraId="3A7F8E9A"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w:t>
            </w:r>
          </w:p>
        </w:tc>
        <w:tc>
          <w:tcPr>
            <w:tcW w:w="1170" w:type="dxa"/>
            <w:tcBorders>
              <w:top w:val="nil"/>
              <w:left w:val="nil"/>
              <w:bottom w:val="nil"/>
              <w:right w:val="nil"/>
            </w:tcBorders>
            <w:vAlign w:val="center"/>
          </w:tcPr>
          <w:p w14:paraId="4A8E7FD0"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78.57</w:t>
            </w:r>
          </w:p>
        </w:tc>
        <w:tc>
          <w:tcPr>
            <w:tcW w:w="1231" w:type="dxa"/>
            <w:tcBorders>
              <w:top w:val="nil"/>
              <w:left w:val="nil"/>
              <w:bottom w:val="nil"/>
              <w:right w:val="nil"/>
            </w:tcBorders>
            <w:vAlign w:val="center"/>
          </w:tcPr>
          <w:p w14:paraId="57CA2E8B"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18.95</w:t>
            </w:r>
          </w:p>
        </w:tc>
        <w:tc>
          <w:tcPr>
            <w:tcW w:w="1345" w:type="dxa"/>
            <w:gridSpan w:val="2"/>
            <w:tcBorders>
              <w:top w:val="nil"/>
              <w:left w:val="nil"/>
              <w:bottom w:val="nil"/>
              <w:right w:val="nil"/>
            </w:tcBorders>
            <w:vAlign w:val="center"/>
          </w:tcPr>
          <w:p w14:paraId="02687E7D"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16.53</w:t>
            </w:r>
          </w:p>
        </w:tc>
        <w:tc>
          <w:tcPr>
            <w:tcW w:w="1086" w:type="dxa"/>
            <w:gridSpan w:val="2"/>
            <w:tcBorders>
              <w:top w:val="nil"/>
              <w:left w:val="nil"/>
              <w:bottom w:val="nil"/>
              <w:right w:val="nil"/>
            </w:tcBorders>
          </w:tcPr>
          <w:p w14:paraId="7DC93BC7"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0479542A" w14:textId="77777777" w:rsidTr="00B327ED">
        <w:tc>
          <w:tcPr>
            <w:tcW w:w="3420" w:type="dxa"/>
            <w:tcBorders>
              <w:top w:val="nil"/>
              <w:left w:val="nil"/>
              <w:bottom w:val="nil"/>
              <w:right w:val="nil"/>
            </w:tcBorders>
            <w:vAlign w:val="bottom"/>
          </w:tcPr>
          <w:p w14:paraId="2A85CF20"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Percent Hispanic</w:t>
            </w:r>
          </w:p>
        </w:tc>
        <w:tc>
          <w:tcPr>
            <w:tcW w:w="1170" w:type="dxa"/>
            <w:tcBorders>
              <w:top w:val="nil"/>
              <w:left w:val="nil"/>
              <w:bottom w:val="nil"/>
              <w:right w:val="nil"/>
            </w:tcBorders>
            <w:vAlign w:val="center"/>
          </w:tcPr>
          <w:p w14:paraId="6A67C6DB"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w:t>
            </w:r>
          </w:p>
        </w:tc>
        <w:tc>
          <w:tcPr>
            <w:tcW w:w="1170" w:type="dxa"/>
            <w:tcBorders>
              <w:top w:val="nil"/>
              <w:left w:val="nil"/>
              <w:bottom w:val="nil"/>
              <w:right w:val="nil"/>
            </w:tcBorders>
            <w:vAlign w:val="center"/>
          </w:tcPr>
          <w:p w14:paraId="2A449D4C"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35.19</w:t>
            </w:r>
          </w:p>
        </w:tc>
        <w:tc>
          <w:tcPr>
            <w:tcW w:w="1231" w:type="dxa"/>
            <w:tcBorders>
              <w:top w:val="nil"/>
              <w:left w:val="nil"/>
              <w:bottom w:val="nil"/>
              <w:right w:val="nil"/>
            </w:tcBorders>
            <w:vAlign w:val="center"/>
          </w:tcPr>
          <w:p w14:paraId="25532901"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3.76</w:t>
            </w:r>
          </w:p>
        </w:tc>
        <w:tc>
          <w:tcPr>
            <w:tcW w:w="1345" w:type="dxa"/>
            <w:gridSpan w:val="2"/>
            <w:tcBorders>
              <w:top w:val="nil"/>
              <w:left w:val="nil"/>
              <w:bottom w:val="nil"/>
              <w:right w:val="nil"/>
            </w:tcBorders>
            <w:vAlign w:val="center"/>
          </w:tcPr>
          <w:p w14:paraId="0258CE47"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4.72</w:t>
            </w:r>
          </w:p>
        </w:tc>
        <w:tc>
          <w:tcPr>
            <w:tcW w:w="1086" w:type="dxa"/>
            <w:gridSpan w:val="2"/>
            <w:tcBorders>
              <w:top w:val="nil"/>
              <w:left w:val="nil"/>
              <w:bottom w:val="nil"/>
              <w:right w:val="nil"/>
            </w:tcBorders>
          </w:tcPr>
          <w:p w14:paraId="23EE3523"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2D0404E2" w14:textId="77777777" w:rsidTr="00B327ED">
        <w:tc>
          <w:tcPr>
            <w:tcW w:w="3420" w:type="dxa"/>
            <w:tcBorders>
              <w:top w:val="nil"/>
              <w:left w:val="nil"/>
              <w:bottom w:val="nil"/>
              <w:right w:val="nil"/>
            </w:tcBorders>
            <w:vAlign w:val="bottom"/>
          </w:tcPr>
          <w:p w14:paraId="3D9E8E93"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Percent American Indian</w:t>
            </w:r>
          </w:p>
        </w:tc>
        <w:tc>
          <w:tcPr>
            <w:tcW w:w="1170" w:type="dxa"/>
            <w:tcBorders>
              <w:top w:val="nil"/>
              <w:left w:val="nil"/>
              <w:bottom w:val="nil"/>
              <w:right w:val="nil"/>
            </w:tcBorders>
            <w:vAlign w:val="center"/>
          </w:tcPr>
          <w:p w14:paraId="06D0638A"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w:t>
            </w:r>
          </w:p>
        </w:tc>
        <w:tc>
          <w:tcPr>
            <w:tcW w:w="1170" w:type="dxa"/>
            <w:tcBorders>
              <w:top w:val="nil"/>
              <w:left w:val="nil"/>
              <w:bottom w:val="nil"/>
              <w:right w:val="nil"/>
            </w:tcBorders>
            <w:vAlign w:val="center"/>
          </w:tcPr>
          <w:p w14:paraId="03875936"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7.72</w:t>
            </w:r>
          </w:p>
        </w:tc>
        <w:tc>
          <w:tcPr>
            <w:tcW w:w="1231" w:type="dxa"/>
            <w:tcBorders>
              <w:top w:val="nil"/>
              <w:left w:val="nil"/>
              <w:bottom w:val="nil"/>
              <w:right w:val="nil"/>
            </w:tcBorders>
            <w:vAlign w:val="center"/>
          </w:tcPr>
          <w:p w14:paraId="7A76294E"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0.28</w:t>
            </w:r>
          </w:p>
        </w:tc>
        <w:tc>
          <w:tcPr>
            <w:tcW w:w="1345" w:type="dxa"/>
            <w:gridSpan w:val="2"/>
            <w:tcBorders>
              <w:top w:val="nil"/>
              <w:left w:val="nil"/>
              <w:bottom w:val="nil"/>
              <w:right w:val="nil"/>
            </w:tcBorders>
            <w:vAlign w:val="center"/>
          </w:tcPr>
          <w:p w14:paraId="221B9A7C"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0.63</w:t>
            </w:r>
          </w:p>
        </w:tc>
        <w:tc>
          <w:tcPr>
            <w:tcW w:w="1086" w:type="dxa"/>
            <w:gridSpan w:val="2"/>
            <w:tcBorders>
              <w:top w:val="nil"/>
              <w:left w:val="nil"/>
              <w:bottom w:val="nil"/>
              <w:right w:val="nil"/>
            </w:tcBorders>
          </w:tcPr>
          <w:p w14:paraId="18025859"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5BD5E63B" w14:textId="77777777" w:rsidTr="00B327ED">
        <w:tc>
          <w:tcPr>
            <w:tcW w:w="3420" w:type="dxa"/>
            <w:tcBorders>
              <w:top w:val="nil"/>
              <w:left w:val="nil"/>
              <w:bottom w:val="nil"/>
              <w:right w:val="nil"/>
            </w:tcBorders>
            <w:vAlign w:val="bottom"/>
          </w:tcPr>
          <w:p w14:paraId="0E3C0E92"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Percent Asian</w:t>
            </w:r>
          </w:p>
        </w:tc>
        <w:tc>
          <w:tcPr>
            <w:tcW w:w="1170" w:type="dxa"/>
            <w:tcBorders>
              <w:top w:val="nil"/>
              <w:left w:val="nil"/>
              <w:bottom w:val="nil"/>
              <w:right w:val="nil"/>
            </w:tcBorders>
            <w:vAlign w:val="center"/>
          </w:tcPr>
          <w:p w14:paraId="3107C0EB"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w:t>
            </w:r>
          </w:p>
        </w:tc>
        <w:tc>
          <w:tcPr>
            <w:tcW w:w="1170" w:type="dxa"/>
            <w:tcBorders>
              <w:top w:val="nil"/>
              <w:left w:val="nil"/>
              <w:bottom w:val="nil"/>
              <w:right w:val="nil"/>
            </w:tcBorders>
            <w:vAlign w:val="center"/>
          </w:tcPr>
          <w:p w14:paraId="1180D4F6"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18.31</w:t>
            </w:r>
          </w:p>
        </w:tc>
        <w:tc>
          <w:tcPr>
            <w:tcW w:w="1231" w:type="dxa"/>
            <w:tcBorders>
              <w:top w:val="nil"/>
              <w:left w:val="nil"/>
              <w:bottom w:val="nil"/>
              <w:right w:val="nil"/>
            </w:tcBorders>
            <w:vAlign w:val="center"/>
          </w:tcPr>
          <w:p w14:paraId="16768FD3"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1.64</w:t>
            </w:r>
          </w:p>
        </w:tc>
        <w:tc>
          <w:tcPr>
            <w:tcW w:w="1345" w:type="dxa"/>
            <w:gridSpan w:val="2"/>
            <w:tcBorders>
              <w:top w:val="nil"/>
              <w:left w:val="nil"/>
              <w:bottom w:val="nil"/>
              <w:right w:val="nil"/>
            </w:tcBorders>
            <w:vAlign w:val="center"/>
          </w:tcPr>
          <w:p w14:paraId="5D785CCE"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2.69</w:t>
            </w:r>
          </w:p>
        </w:tc>
        <w:tc>
          <w:tcPr>
            <w:tcW w:w="1086" w:type="dxa"/>
            <w:gridSpan w:val="2"/>
            <w:tcBorders>
              <w:top w:val="nil"/>
              <w:left w:val="nil"/>
              <w:bottom w:val="nil"/>
              <w:right w:val="nil"/>
            </w:tcBorders>
          </w:tcPr>
          <w:p w14:paraId="6D8D2BCA"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2373D42D" w14:textId="77777777" w:rsidTr="00B327ED">
        <w:tc>
          <w:tcPr>
            <w:tcW w:w="3420" w:type="dxa"/>
            <w:tcBorders>
              <w:top w:val="nil"/>
              <w:left w:val="nil"/>
              <w:bottom w:val="nil"/>
              <w:right w:val="nil"/>
            </w:tcBorders>
            <w:vAlign w:val="bottom"/>
          </w:tcPr>
          <w:p w14:paraId="37EE5D65"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Percent Native Hawaiian/Pacific Islander</w:t>
            </w:r>
          </w:p>
        </w:tc>
        <w:tc>
          <w:tcPr>
            <w:tcW w:w="1170" w:type="dxa"/>
            <w:tcBorders>
              <w:top w:val="nil"/>
              <w:left w:val="nil"/>
              <w:bottom w:val="nil"/>
              <w:right w:val="nil"/>
            </w:tcBorders>
            <w:vAlign w:val="center"/>
          </w:tcPr>
          <w:p w14:paraId="4E81BE1D"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w:t>
            </w:r>
          </w:p>
        </w:tc>
        <w:tc>
          <w:tcPr>
            <w:tcW w:w="1170" w:type="dxa"/>
            <w:tcBorders>
              <w:top w:val="nil"/>
              <w:left w:val="nil"/>
              <w:bottom w:val="nil"/>
              <w:right w:val="nil"/>
            </w:tcBorders>
            <w:vAlign w:val="center"/>
          </w:tcPr>
          <w:p w14:paraId="626730E1"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0.9</w:t>
            </w:r>
          </w:p>
        </w:tc>
        <w:tc>
          <w:tcPr>
            <w:tcW w:w="1231" w:type="dxa"/>
            <w:tcBorders>
              <w:top w:val="nil"/>
              <w:left w:val="nil"/>
              <w:bottom w:val="nil"/>
              <w:right w:val="nil"/>
            </w:tcBorders>
            <w:vAlign w:val="center"/>
          </w:tcPr>
          <w:p w14:paraId="2BCB197B"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0.04</w:t>
            </w:r>
          </w:p>
        </w:tc>
        <w:tc>
          <w:tcPr>
            <w:tcW w:w="1345" w:type="dxa"/>
            <w:gridSpan w:val="2"/>
            <w:tcBorders>
              <w:top w:val="nil"/>
              <w:left w:val="nil"/>
              <w:bottom w:val="nil"/>
              <w:right w:val="nil"/>
            </w:tcBorders>
            <w:vAlign w:val="center"/>
          </w:tcPr>
          <w:p w14:paraId="299D532F"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0.07</w:t>
            </w:r>
          </w:p>
        </w:tc>
        <w:tc>
          <w:tcPr>
            <w:tcW w:w="1086" w:type="dxa"/>
            <w:gridSpan w:val="2"/>
            <w:tcBorders>
              <w:top w:val="nil"/>
              <w:left w:val="nil"/>
              <w:bottom w:val="nil"/>
              <w:right w:val="nil"/>
            </w:tcBorders>
          </w:tcPr>
          <w:p w14:paraId="138D0134"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1A425580" w14:textId="77777777" w:rsidTr="00B327ED">
        <w:tc>
          <w:tcPr>
            <w:tcW w:w="3420" w:type="dxa"/>
            <w:tcBorders>
              <w:top w:val="nil"/>
              <w:left w:val="nil"/>
              <w:bottom w:val="nil"/>
              <w:right w:val="nil"/>
            </w:tcBorders>
            <w:vAlign w:val="bottom"/>
          </w:tcPr>
          <w:p w14:paraId="2D9F833D"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Percent Multiple</w:t>
            </w:r>
          </w:p>
        </w:tc>
        <w:tc>
          <w:tcPr>
            <w:tcW w:w="1170" w:type="dxa"/>
            <w:tcBorders>
              <w:top w:val="nil"/>
              <w:left w:val="nil"/>
              <w:bottom w:val="nil"/>
              <w:right w:val="nil"/>
            </w:tcBorders>
            <w:vAlign w:val="center"/>
          </w:tcPr>
          <w:p w14:paraId="5B7A7A2C"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w:t>
            </w:r>
          </w:p>
        </w:tc>
        <w:tc>
          <w:tcPr>
            <w:tcW w:w="1170" w:type="dxa"/>
            <w:tcBorders>
              <w:top w:val="nil"/>
              <w:left w:val="nil"/>
              <w:bottom w:val="nil"/>
              <w:right w:val="nil"/>
            </w:tcBorders>
            <w:vAlign w:val="center"/>
          </w:tcPr>
          <w:p w14:paraId="04ADE0F9"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4.3</w:t>
            </w:r>
          </w:p>
        </w:tc>
        <w:tc>
          <w:tcPr>
            <w:tcW w:w="1231" w:type="dxa"/>
            <w:tcBorders>
              <w:top w:val="nil"/>
              <w:left w:val="nil"/>
              <w:bottom w:val="nil"/>
              <w:right w:val="nil"/>
            </w:tcBorders>
            <w:vAlign w:val="center"/>
          </w:tcPr>
          <w:p w14:paraId="1D9C7505"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1.46</w:t>
            </w:r>
          </w:p>
        </w:tc>
        <w:tc>
          <w:tcPr>
            <w:tcW w:w="1345" w:type="dxa"/>
            <w:gridSpan w:val="2"/>
            <w:tcBorders>
              <w:top w:val="nil"/>
              <w:left w:val="nil"/>
              <w:bottom w:val="nil"/>
              <w:right w:val="nil"/>
            </w:tcBorders>
            <w:vAlign w:val="center"/>
          </w:tcPr>
          <w:p w14:paraId="1641FC03"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0.88</w:t>
            </w:r>
          </w:p>
        </w:tc>
        <w:tc>
          <w:tcPr>
            <w:tcW w:w="1086" w:type="dxa"/>
            <w:gridSpan w:val="2"/>
            <w:tcBorders>
              <w:top w:val="nil"/>
              <w:left w:val="nil"/>
              <w:bottom w:val="nil"/>
              <w:right w:val="nil"/>
            </w:tcBorders>
          </w:tcPr>
          <w:p w14:paraId="7C6DC598"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1A891901" w14:textId="77777777" w:rsidTr="00B327ED">
        <w:tc>
          <w:tcPr>
            <w:tcW w:w="3420" w:type="dxa"/>
            <w:tcBorders>
              <w:top w:val="nil"/>
              <w:left w:val="nil"/>
              <w:bottom w:val="nil"/>
              <w:right w:val="nil"/>
            </w:tcBorders>
            <w:vAlign w:val="bottom"/>
          </w:tcPr>
          <w:p w14:paraId="7DD6DDF2"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Percent Other</w:t>
            </w:r>
          </w:p>
        </w:tc>
        <w:tc>
          <w:tcPr>
            <w:tcW w:w="1170" w:type="dxa"/>
            <w:tcBorders>
              <w:top w:val="nil"/>
              <w:left w:val="nil"/>
              <w:bottom w:val="nil"/>
              <w:right w:val="nil"/>
            </w:tcBorders>
            <w:vAlign w:val="center"/>
          </w:tcPr>
          <w:p w14:paraId="370D93F0"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w:t>
            </w:r>
          </w:p>
        </w:tc>
        <w:tc>
          <w:tcPr>
            <w:tcW w:w="1170" w:type="dxa"/>
            <w:tcBorders>
              <w:top w:val="nil"/>
              <w:left w:val="nil"/>
              <w:bottom w:val="nil"/>
              <w:right w:val="nil"/>
            </w:tcBorders>
            <w:vAlign w:val="center"/>
          </w:tcPr>
          <w:p w14:paraId="1EF11DF4"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0.87</w:t>
            </w:r>
          </w:p>
        </w:tc>
        <w:tc>
          <w:tcPr>
            <w:tcW w:w="1231" w:type="dxa"/>
            <w:tcBorders>
              <w:top w:val="nil"/>
              <w:left w:val="nil"/>
              <w:bottom w:val="nil"/>
              <w:right w:val="nil"/>
            </w:tcBorders>
            <w:vAlign w:val="center"/>
          </w:tcPr>
          <w:p w14:paraId="2316E339"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0.13</w:t>
            </w:r>
          </w:p>
        </w:tc>
        <w:tc>
          <w:tcPr>
            <w:tcW w:w="1345" w:type="dxa"/>
            <w:gridSpan w:val="2"/>
            <w:tcBorders>
              <w:top w:val="nil"/>
              <w:left w:val="nil"/>
              <w:bottom w:val="nil"/>
              <w:right w:val="nil"/>
            </w:tcBorders>
            <w:vAlign w:val="center"/>
          </w:tcPr>
          <w:p w14:paraId="4017C36B"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0.14</w:t>
            </w:r>
          </w:p>
        </w:tc>
        <w:tc>
          <w:tcPr>
            <w:tcW w:w="1086" w:type="dxa"/>
            <w:gridSpan w:val="2"/>
            <w:tcBorders>
              <w:top w:val="nil"/>
              <w:left w:val="nil"/>
              <w:bottom w:val="nil"/>
              <w:right w:val="nil"/>
            </w:tcBorders>
          </w:tcPr>
          <w:p w14:paraId="6AB0C52C"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3BF2E0D8" w14:textId="77777777" w:rsidTr="00B327ED">
        <w:tc>
          <w:tcPr>
            <w:tcW w:w="3420" w:type="dxa"/>
            <w:tcBorders>
              <w:top w:val="nil"/>
              <w:left w:val="nil"/>
              <w:bottom w:val="nil"/>
              <w:right w:val="nil"/>
            </w:tcBorders>
            <w:vAlign w:val="bottom"/>
          </w:tcPr>
          <w:p w14:paraId="1891040C"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Eviction Filings</w:t>
            </w:r>
          </w:p>
        </w:tc>
        <w:tc>
          <w:tcPr>
            <w:tcW w:w="1170" w:type="dxa"/>
            <w:tcBorders>
              <w:top w:val="nil"/>
              <w:left w:val="nil"/>
              <w:bottom w:val="nil"/>
              <w:right w:val="nil"/>
            </w:tcBorders>
            <w:vAlign w:val="center"/>
          </w:tcPr>
          <w:p w14:paraId="0E54FB2E"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w:t>
            </w:r>
          </w:p>
        </w:tc>
        <w:tc>
          <w:tcPr>
            <w:tcW w:w="1170" w:type="dxa"/>
            <w:tcBorders>
              <w:top w:val="nil"/>
              <w:left w:val="nil"/>
              <w:bottom w:val="nil"/>
              <w:right w:val="nil"/>
            </w:tcBorders>
            <w:vAlign w:val="center"/>
          </w:tcPr>
          <w:p w14:paraId="6D34DDBD"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23285</w:t>
            </w:r>
          </w:p>
        </w:tc>
        <w:tc>
          <w:tcPr>
            <w:tcW w:w="1231" w:type="dxa"/>
            <w:tcBorders>
              <w:top w:val="nil"/>
              <w:left w:val="nil"/>
              <w:bottom w:val="nil"/>
              <w:right w:val="nil"/>
            </w:tcBorders>
            <w:vAlign w:val="center"/>
          </w:tcPr>
          <w:p w14:paraId="202B872F"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975.03</w:t>
            </w:r>
          </w:p>
        </w:tc>
        <w:tc>
          <w:tcPr>
            <w:tcW w:w="1345" w:type="dxa"/>
            <w:gridSpan w:val="2"/>
            <w:tcBorders>
              <w:top w:val="nil"/>
              <w:left w:val="nil"/>
              <w:bottom w:val="nil"/>
              <w:right w:val="nil"/>
            </w:tcBorders>
            <w:vAlign w:val="center"/>
          </w:tcPr>
          <w:p w14:paraId="40EDE2BA"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2699.56</w:t>
            </w:r>
          </w:p>
        </w:tc>
        <w:tc>
          <w:tcPr>
            <w:tcW w:w="1086" w:type="dxa"/>
            <w:gridSpan w:val="2"/>
            <w:tcBorders>
              <w:top w:val="nil"/>
              <w:left w:val="nil"/>
              <w:bottom w:val="nil"/>
              <w:right w:val="nil"/>
            </w:tcBorders>
          </w:tcPr>
          <w:p w14:paraId="011FCC72"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7BDBA6BA" w14:textId="77777777" w:rsidTr="00B327ED">
        <w:tc>
          <w:tcPr>
            <w:tcW w:w="3420" w:type="dxa"/>
            <w:tcBorders>
              <w:top w:val="nil"/>
              <w:left w:val="nil"/>
              <w:bottom w:val="nil"/>
              <w:right w:val="nil"/>
            </w:tcBorders>
            <w:vAlign w:val="bottom"/>
          </w:tcPr>
          <w:p w14:paraId="6FA8977B"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Evictions</w:t>
            </w:r>
          </w:p>
        </w:tc>
        <w:tc>
          <w:tcPr>
            <w:tcW w:w="1170" w:type="dxa"/>
            <w:tcBorders>
              <w:top w:val="nil"/>
              <w:left w:val="nil"/>
              <w:bottom w:val="nil"/>
              <w:right w:val="nil"/>
            </w:tcBorders>
            <w:vAlign w:val="center"/>
          </w:tcPr>
          <w:p w14:paraId="31C84D42"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w:t>
            </w:r>
          </w:p>
        </w:tc>
        <w:tc>
          <w:tcPr>
            <w:tcW w:w="1170" w:type="dxa"/>
            <w:tcBorders>
              <w:top w:val="nil"/>
              <w:left w:val="nil"/>
              <w:bottom w:val="nil"/>
              <w:right w:val="nil"/>
            </w:tcBorders>
            <w:vAlign w:val="center"/>
          </w:tcPr>
          <w:p w14:paraId="6C48B551"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6478</w:t>
            </w:r>
          </w:p>
        </w:tc>
        <w:tc>
          <w:tcPr>
            <w:tcW w:w="1231" w:type="dxa"/>
            <w:tcBorders>
              <w:top w:val="nil"/>
              <w:left w:val="nil"/>
              <w:bottom w:val="nil"/>
              <w:right w:val="nil"/>
            </w:tcBorders>
            <w:vAlign w:val="center"/>
          </w:tcPr>
          <w:p w14:paraId="3C60C42F"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388.48</w:t>
            </w:r>
          </w:p>
        </w:tc>
        <w:tc>
          <w:tcPr>
            <w:tcW w:w="1345" w:type="dxa"/>
            <w:gridSpan w:val="2"/>
            <w:tcBorders>
              <w:top w:val="nil"/>
              <w:left w:val="nil"/>
              <w:bottom w:val="nil"/>
              <w:right w:val="nil"/>
            </w:tcBorders>
            <w:vAlign w:val="center"/>
          </w:tcPr>
          <w:p w14:paraId="67531E4E"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904.02</w:t>
            </w:r>
          </w:p>
        </w:tc>
        <w:tc>
          <w:tcPr>
            <w:tcW w:w="1086" w:type="dxa"/>
            <w:gridSpan w:val="2"/>
            <w:tcBorders>
              <w:top w:val="nil"/>
              <w:left w:val="nil"/>
              <w:bottom w:val="nil"/>
              <w:right w:val="nil"/>
            </w:tcBorders>
          </w:tcPr>
          <w:p w14:paraId="7ABE915D"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2D56F43A" w14:textId="77777777" w:rsidTr="00B327ED">
        <w:tc>
          <w:tcPr>
            <w:tcW w:w="3420" w:type="dxa"/>
            <w:tcBorders>
              <w:top w:val="nil"/>
              <w:left w:val="nil"/>
              <w:bottom w:val="nil"/>
              <w:right w:val="nil"/>
            </w:tcBorders>
            <w:vAlign w:val="bottom"/>
          </w:tcPr>
          <w:p w14:paraId="349816D8" w14:textId="77777777" w:rsidR="00B327ED" w:rsidRPr="00061707" w:rsidRDefault="00E61866"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Eviction R</w:t>
            </w:r>
            <w:r w:rsidR="00B327ED" w:rsidRPr="00061707">
              <w:rPr>
                <w:rFonts w:ascii="Times New Roman" w:hAnsi="Times New Roman" w:cs="Times New Roman"/>
                <w:color w:val="000000"/>
                <w:sz w:val="16"/>
                <w:szCs w:val="18"/>
              </w:rPr>
              <w:t>ate</w:t>
            </w:r>
          </w:p>
        </w:tc>
        <w:tc>
          <w:tcPr>
            <w:tcW w:w="1170" w:type="dxa"/>
            <w:tcBorders>
              <w:top w:val="nil"/>
              <w:left w:val="nil"/>
              <w:bottom w:val="nil"/>
              <w:right w:val="nil"/>
            </w:tcBorders>
            <w:vAlign w:val="center"/>
          </w:tcPr>
          <w:p w14:paraId="49B13E40"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w:t>
            </w:r>
          </w:p>
        </w:tc>
        <w:tc>
          <w:tcPr>
            <w:tcW w:w="1170" w:type="dxa"/>
            <w:tcBorders>
              <w:top w:val="nil"/>
              <w:left w:val="nil"/>
              <w:bottom w:val="nil"/>
              <w:right w:val="nil"/>
            </w:tcBorders>
            <w:vAlign w:val="center"/>
          </w:tcPr>
          <w:p w14:paraId="2FADF8AA"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18.13</w:t>
            </w:r>
          </w:p>
        </w:tc>
        <w:tc>
          <w:tcPr>
            <w:tcW w:w="1231" w:type="dxa"/>
            <w:tcBorders>
              <w:top w:val="nil"/>
              <w:left w:val="nil"/>
              <w:bottom w:val="nil"/>
              <w:right w:val="nil"/>
            </w:tcBorders>
            <w:vAlign w:val="center"/>
          </w:tcPr>
          <w:p w14:paraId="40295C50"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4.04</w:t>
            </w:r>
          </w:p>
        </w:tc>
        <w:tc>
          <w:tcPr>
            <w:tcW w:w="1345" w:type="dxa"/>
            <w:gridSpan w:val="2"/>
            <w:tcBorders>
              <w:top w:val="nil"/>
              <w:left w:val="nil"/>
              <w:bottom w:val="nil"/>
              <w:right w:val="nil"/>
            </w:tcBorders>
            <w:vAlign w:val="center"/>
          </w:tcPr>
          <w:p w14:paraId="0DC738A4"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2.87</w:t>
            </w:r>
          </w:p>
        </w:tc>
        <w:tc>
          <w:tcPr>
            <w:tcW w:w="1086" w:type="dxa"/>
            <w:gridSpan w:val="2"/>
            <w:tcBorders>
              <w:top w:val="nil"/>
              <w:left w:val="nil"/>
              <w:bottom w:val="nil"/>
              <w:right w:val="nil"/>
            </w:tcBorders>
          </w:tcPr>
          <w:p w14:paraId="2ED49B4F" w14:textId="77777777" w:rsidR="00B327ED" w:rsidRPr="00061707" w:rsidRDefault="00B327ED" w:rsidP="00944947">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r w:rsidR="00B327ED" w:rsidRPr="00944947" w14:paraId="143DB948" w14:textId="77777777" w:rsidTr="00B327ED">
        <w:trPr>
          <w:trHeight w:val="288"/>
        </w:trPr>
        <w:tc>
          <w:tcPr>
            <w:tcW w:w="3420" w:type="dxa"/>
            <w:tcBorders>
              <w:top w:val="nil"/>
              <w:left w:val="nil"/>
              <w:bottom w:val="single" w:sz="4" w:space="0" w:color="auto"/>
              <w:right w:val="nil"/>
            </w:tcBorders>
            <w:vAlign w:val="center"/>
          </w:tcPr>
          <w:p w14:paraId="7BE41654" w14:textId="77777777" w:rsidR="00B327ED" w:rsidRPr="00061707" w:rsidRDefault="00E61866" w:rsidP="00B327ED">
            <w:pPr>
              <w:rPr>
                <w:rFonts w:ascii="Times New Roman" w:hAnsi="Times New Roman" w:cs="Times New Roman"/>
                <w:color w:val="000000"/>
                <w:sz w:val="16"/>
                <w:szCs w:val="18"/>
              </w:rPr>
            </w:pPr>
            <w:r w:rsidRPr="00061707">
              <w:rPr>
                <w:rFonts w:ascii="Times New Roman" w:hAnsi="Times New Roman" w:cs="Times New Roman"/>
                <w:color w:val="000000"/>
                <w:sz w:val="16"/>
                <w:szCs w:val="18"/>
              </w:rPr>
              <w:t>E</w:t>
            </w:r>
            <w:r w:rsidR="00B327ED" w:rsidRPr="00061707">
              <w:rPr>
                <w:rFonts w:ascii="Times New Roman" w:hAnsi="Times New Roman" w:cs="Times New Roman"/>
                <w:color w:val="000000"/>
                <w:sz w:val="16"/>
                <w:szCs w:val="18"/>
              </w:rPr>
              <w:t>viction</w:t>
            </w:r>
            <w:r w:rsidRPr="00061707">
              <w:rPr>
                <w:rFonts w:ascii="Times New Roman" w:hAnsi="Times New Roman" w:cs="Times New Roman"/>
                <w:color w:val="000000"/>
                <w:sz w:val="16"/>
                <w:szCs w:val="18"/>
              </w:rPr>
              <w:t xml:space="preserve"> Fi</w:t>
            </w:r>
            <w:r w:rsidR="00B327ED" w:rsidRPr="00061707">
              <w:rPr>
                <w:rFonts w:ascii="Times New Roman" w:hAnsi="Times New Roman" w:cs="Times New Roman"/>
                <w:color w:val="000000"/>
                <w:sz w:val="16"/>
                <w:szCs w:val="18"/>
              </w:rPr>
              <w:t>ling</w:t>
            </w:r>
            <w:r w:rsidRPr="00061707">
              <w:rPr>
                <w:rFonts w:ascii="Times New Roman" w:hAnsi="Times New Roman" w:cs="Times New Roman"/>
                <w:color w:val="000000"/>
                <w:sz w:val="16"/>
                <w:szCs w:val="18"/>
              </w:rPr>
              <w:t xml:space="preserve"> R</w:t>
            </w:r>
            <w:r w:rsidR="00B327ED" w:rsidRPr="00061707">
              <w:rPr>
                <w:rFonts w:ascii="Times New Roman" w:hAnsi="Times New Roman" w:cs="Times New Roman"/>
                <w:color w:val="000000"/>
                <w:sz w:val="16"/>
                <w:szCs w:val="18"/>
              </w:rPr>
              <w:t>ate</w:t>
            </w:r>
          </w:p>
        </w:tc>
        <w:tc>
          <w:tcPr>
            <w:tcW w:w="1170" w:type="dxa"/>
            <w:tcBorders>
              <w:top w:val="nil"/>
              <w:left w:val="nil"/>
              <w:bottom w:val="single" w:sz="4" w:space="0" w:color="auto"/>
              <w:right w:val="nil"/>
            </w:tcBorders>
            <w:vAlign w:val="center"/>
          </w:tcPr>
          <w:p w14:paraId="78399CBB" w14:textId="77777777" w:rsidR="00B327ED" w:rsidRPr="00061707" w:rsidRDefault="00B327ED" w:rsidP="00B327ED">
            <w:pPr>
              <w:rPr>
                <w:rFonts w:ascii="Times New Roman" w:hAnsi="Times New Roman" w:cs="Times New Roman"/>
                <w:color w:val="000000"/>
                <w:sz w:val="16"/>
                <w:szCs w:val="18"/>
              </w:rPr>
            </w:pPr>
            <w:r w:rsidRPr="00061707">
              <w:rPr>
                <w:rFonts w:ascii="Times New Roman" w:hAnsi="Times New Roman" w:cs="Times New Roman"/>
                <w:color w:val="000000"/>
                <w:sz w:val="16"/>
                <w:szCs w:val="18"/>
              </w:rPr>
              <w:t>0</w:t>
            </w:r>
          </w:p>
        </w:tc>
        <w:tc>
          <w:tcPr>
            <w:tcW w:w="1170" w:type="dxa"/>
            <w:tcBorders>
              <w:top w:val="nil"/>
              <w:left w:val="nil"/>
              <w:bottom w:val="single" w:sz="4" w:space="0" w:color="auto"/>
              <w:right w:val="nil"/>
            </w:tcBorders>
            <w:vAlign w:val="center"/>
          </w:tcPr>
          <w:p w14:paraId="553EBAD4" w14:textId="77777777" w:rsidR="00B327ED" w:rsidRPr="00061707" w:rsidRDefault="00B327ED" w:rsidP="00B327ED">
            <w:pPr>
              <w:rPr>
                <w:rFonts w:ascii="Times New Roman" w:hAnsi="Times New Roman" w:cs="Times New Roman"/>
                <w:color w:val="000000"/>
                <w:sz w:val="16"/>
                <w:szCs w:val="18"/>
              </w:rPr>
            </w:pPr>
            <w:r w:rsidRPr="00061707">
              <w:rPr>
                <w:rFonts w:ascii="Times New Roman" w:hAnsi="Times New Roman" w:cs="Times New Roman"/>
                <w:color w:val="000000"/>
                <w:sz w:val="16"/>
                <w:szCs w:val="18"/>
              </w:rPr>
              <w:t>50.53</w:t>
            </w:r>
          </w:p>
        </w:tc>
        <w:tc>
          <w:tcPr>
            <w:tcW w:w="1231" w:type="dxa"/>
            <w:tcBorders>
              <w:top w:val="nil"/>
              <w:left w:val="nil"/>
              <w:bottom w:val="single" w:sz="4" w:space="0" w:color="auto"/>
              <w:right w:val="nil"/>
            </w:tcBorders>
            <w:vAlign w:val="center"/>
          </w:tcPr>
          <w:p w14:paraId="62922B75" w14:textId="77777777" w:rsidR="00B327ED" w:rsidRPr="00061707" w:rsidRDefault="00B327ED" w:rsidP="00B327ED">
            <w:pPr>
              <w:rPr>
                <w:rFonts w:ascii="Times New Roman" w:hAnsi="Times New Roman" w:cs="Times New Roman"/>
                <w:color w:val="000000"/>
                <w:sz w:val="16"/>
                <w:szCs w:val="18"/>
              </w:rPr>
            </w:pPr>
            <w:r w:rsidRPr="00061707">
              <w:rPr>
                <w:rFonts w:ascii="Times New Roman" w:hAnsi="Times New Roman" w:cs="Times New Roman"/>
                <w:color w:val="000000"/>
                <w:sz w:val="16"/>
                <w:szCs w:val="18"/>
              </w:rPr>
              <w:t>7.89</w:t>
            </w:r>
          </w:p>
        </w:tc>
        <w:tc>
          <w:tcPr>
            <w:tcW w:w="1345" w:type="dxa"/>
            <w:gridSpan w:val="2"/>
            <w:tcBorders>
              <w:top w:val="nil"/>
              <w:left w:val="nil"/>
              <w:bottom w:val="single" w:sz="4" w:space="0" w:color="auto"/>
              <w:right w:val="nil"/>
            </w:tcBorders>
            <w:vAlign w:val="center"/>
          </w:tcPr>
          <w:p w14:paraId="1C9A1C8B" w14:textId="77777777" w:rsidR="00B327ED" w:rsidRPr="00061707" w:rsidRDefault="00B327ED" w:rsidP="00B327ED">
            <w:pPr>
              <w:rPr>
                <w:rFonts w:ascii="Times New Roman" w:hAnsi="Times New Roman" w:cs="Times New Roman"/>
                <w:color w:val="000000"/>
                <w:sz w:val="16"/>
                <w:szCs w:val="18"/>
              </w:rPr>
            </w:pPr>
            <w:r w:rsidRPr="00061707">
              <w:rPr>
                <w:rFonts w:ascii="Times New Roman" w:hAnsi="Times New Roman" w:cs="Times New Roman"/>
                <w:color w:val="000000"/>
                <w:sz w:val="16"/>
                <w:szCs w:val="18"/>
              </w:rPr>
              <w:t>8.37</w:t>
            </w:r>
          </w:p>
        </w:tc>
        <w:tc>
          <w:tcPr>
            <w:tcW w:w="1086" w:type="dxa"/>
            <w:gridSpan w:val="2"/>
            <w:tcBorders>
              <w:top w:val="nil"/>
              <w:left w:val="nil"/>
              <w:bottom w:val="single" w:sz="4" w:space="0" w:color="auto"/>
              <w:right w:val="nil"/>
            </w:tcBorders>
            <w:vAlign w:val="center"/>
          </w:tcPr>
          <w:p w14:paraId="5F45CFB2" w14:textId="77777777" w:rsidR="00B327ED" w:rsidRPr="00061707" w:rsidRDefault="00B327ED" w:rsidP="00B327ED">
            <w:pPr>
              <w:rPr>
                <w:rFonts w:ascii="Times New Roman" w:hAnsi="Times New Roman" w:cs="Times New Roman"/>
                <w:color w:val="000000"/>
                <w:sz w:val="16"/>
                <w:szCs w:val="18"/>
              </w:rPr>
            </w:pPr>
            <w:r w:rsidRPr="00061707">
              <w:rPr>
                <w:rFonts w:ascii="Times New Roman" w:hAnsi="Times New Roman" w:cs="Times New Roman"/>
                <w:color w:val="000000"/>
                <w:sz w:val="16"/>
                <w:szCs w:val="18"/>
              </w:rPr>
              <w:t>2283</w:t>
            </w:r>
          </w:p>
        </w:tc>
      </w:tr>
    </w:tbl>
    <w:p w14:paraId="1EF9BBED" w14:textId="77777777" w:rsidR="00E54436" w:rsidRPr="00377FA4" w:rsidRDefault="00944947" w:rsidP="00972315">
      <w:pPr>
        <w:rPr>
          <w:rFonts w:ascii="Times New Roman" w:hAnsi="Times New Roman" w:cs="Times New Roman"/>
          <w:sz w:val="16"/>
          <w:szCs w:val="16"/>
        </w:rPr>
      </w:pPr>
      <w:r w:rsidRPr="00A90824">
        <w:rPr>
          <w:rFonts w:ascii="Times New Roman" w:hAnsi="Times New Roman" w:cs="Times New Roman"/>
          <w:i/>
          <w:sz w:val="16"/>
          <w:szCs w:val="16"/>
        </w:rPr>
        <w:t>SOURCE:</w:t>
      </w:r>
      <w:r w:rsidRPr="00A90824">
        <w:rPr>
          <w:rFonts w:ascii="Times New Roman" w:hAnsi="Times New Roman" w:cs="Times New Roman"/>
          <w:sz w:val="16"/>
          <w:szCs w:val="16"/>
        </w:rPr>
        <w:t xml:space="preserve"> Department of Housing and Urban Development National Low-Income Housing Tax Credit Database</w:t>
      </w:r>
    </w:p>
    <w:p w14:paraId="6DAB327C" w14:textId="77777777" w:rsidR="00254B1A" w:rsidRDefault="00254B1A" w:rsidP="00ED240D">
      <w:pPr>
        <w:spacing w:after="0" w:line="360" w:lineRule="auto"/>
        <w:rPr>
          <w:rFonts w:ascii="Times New Roman" w:hAnsi="Times New Roman" w:cs="Times New Roman"/>
          <w:b/>
          <w:sz w:val="24"/>
        </w:rPr>
      </w:pPr>
    </w:p>
    <w:p w14:paraId="5BBCB283" w14:textId="77777777" w:rsidR="00972315" w:rsidRPr="00ED240D" w:rsidRDefault="000A1403" w:rsidP="00ED240D">
      <w:pPr>
        <w:spacing w:after="0" w:line="360" w:lineRule="auto"/>
        <w:rPr>
          <w:rFonts w:ascii="Times New Roman" w:hAnsi="Times New Roman" w:cs="Times New Roman"/>
          <w:b/>
          <w:sz w:val="24"/>
        </w:rPr>
      </w:pPr>
      <w:r w:rsidRPr="00ED240D">
        <w:rPr>
          <w:rFonts w:ascii="Times New Roman" w:hAnsi="Times New Roman" w:cs="Times New Roman"/>
          <w:b/>
          <w:sz w:val="24"/>
        </w:rPr>
        <w:t>4</w:t>
      </w:r>
      <w:r w:rsidR="00972315" w:rsidRPr="00ED240D">
        <w:rPr>
          <w:rFonts w:ascii="Times New Roman" w:hAnsi="Times New Roman" w:cs="Times New Roman"/>
          <w:b/>
          <w:sz w:val="24"/>
        </w:rPr>
        <w:t xml:space="preserve">. </w:t>
      </w:r>
      <w:r w:rsidR="00D65ED4" w:rsidRPr="00ED240D">
        <w:rPr>
          <w:rFonts w:ascii="Times New Roman" w:hAnsi="Times New Roman" w:cs="Times New Roman"/>
          <w:b/>
          <w:sz w:val="24"/>
        </w:rPr>
        <w:t>Empirical Strategy</w:t>
      </w:r>
    </w:p>
    <w:p w14:paraId="711921FB" w14:textId="77777777" w:rsidR="00D278F0" w:rsidRPr="00ED240D" w:rsidRDefault="00D65ED4" w:rsidP="00ED240D">
      <w:pPr>
        <w:spacing w:after="0" w:line="360" w:lineRule="auto"/>
        <w:ind w:firstLine="720"/>
        <w:rPr>
          <w:rFonts w:ascii="Times New Roman" w:hAnsi="Times New Roman" w:cs="Times New Roman"/>
          <w:sz w:val="24"/>
        </w:rPr>
      </w:pPr>
      <w:r w:rsidRPr="00ED240D">
        <w:rPr>
          <w:rFonts w:ascii="Times New Roman" w:hAnsi="Times New Roman" w:cs="Times New Roman"/>
          <w:sz w:val="24"/>
        </w:rPr>
        <w:t xml:space="preserve">We use a two-way fixed effects model to estimate the magnitude of the impact of LIHTC units on the eviction rates in counties and independent cities. </w:t>
      </w:r>
      <w:r w:rsidR="007A6F15" w:rsidRPr="00ED240D">
        <w:rPr>
          <w:rFonts w:ascii="Times New Roman" w:hAnsi="Times New Roman" w:cs="Times New Roman"/>
          <w:sz w:val="24"/>
        </w:rPr>
        <w:t xml:space="preserve">Instead of taking an OLS regression pooling the data, we run a fixed effects model to eliminate any endogeneity that affect the relationship between evictions and low-income units. </w:t>
      </w:r>
      <w:r w:rsidR="00D278F0" w:rsidRPr="00ED240D">
        <w:rPr>
          <w:rFonts w:ascii="Times New Roman" w:hAnsi="Times New Roman" w:cs="Times New Roman"/>
          <w:sz w:val="24"/>
        </w:rPr>
        <w:t xml:space="preserve">Our panel data suggests using county as the unit for our first level fixed effect. </w:t>
      </w:r>
      <w:r w:rsidR="007A6F15" w:rsidRPr="00ED240D">
        <w:rPr>
          <w:rFonts w:ascii="Times New Roman" w:hAnsi="Times New Roman" w:cs="Times New Roman"/>
          <w:sz w:val="24"/>
        </w:rPr>
        <w:t xml:space="preserve">Any county specific levels of evictions could be correlated with our independent variable. </w:t>
      </w:r>
    </w:p>
    <w:p w14:paraId="6C398494" w14:textId="77777777" w:rsidR="00D278F0" w:rsidRPr="00ED240D" w:rsidRDefault="00D278F0" w:rsidP="00ED240D">
      <w:pPr>
        <w:spacing w:after="0" w:line="360" w:lineRule="auto"/>
        <w:ind w:firstLine="720"/>
        <w:rPr>
          <w:rFonts w:ascii="Times New Roman" w:hAnsi="Times New Roman" w:cs="Times New Roman"/>
          <w:sz w:val="24"/>
        </w:rPr>
      </w:pPr>
      <w:r w:rsidRPr="00ED240D">
        <w:rPr>
          <w:rFonts w:ascii="Times New Roman" w:hAnsi="Times New Roman" w:cs="Times New Roman"/>
          <w:sz w:val="24"/>
        </w:rPr>
        <w:t xml:space="preserve">We also believed a time fixed effect to be appropriate. The recession in 2008 caused by the financial crisis eliminated a large amount of wealth held by moderate-income households. Immediately after the recession, the number of families facing homelessness increased due to foreclosures and evictions. A model with a yearly fixed effect could soak up any specific time trends that could potentially affect the dependent variable. This situation among many that affects the model and including the fixed effect helps fight endogeneity. </w:t>
      </w:r>
    </w:p>
    <w:p w14:paraId="75A01F44" w14:textId="77777777" w:rsidR="00254B1A" w:rsidRPr="00ED240D" w:rsidRDefault="00D278F0" w:rsidP="00254B1A">
      <w:pPr>
        <w:spacing w:after="0" w:line="360" w:lineRule="auto"/>
        <w:ind w:firstLine="720"/>
        <w:rPr>
          <w:rFonts w:ascii="Times New Roman" w:hAnsi="Times New Roman" w:cs="Times New Roman"/>
          <w:sz w:val="24"/>
        </w:rPr>
      </w:pPr>
      <w:r w:rsidRPr="00ED240D">
        <w:rPr>
          <w:rFonts w:ascii="Times New Roman" w:hAnsi="Times New Roman" w:cs="Times New Roman"/>
          <w:sz w:val="24"/>
        </w:rPr>
        <w:t>In this panel data model, the</w:t>
      </w:r>
      <w:r w:rsidR="007A6F15" w:rsidRPr="00ED240D">
        <w:rPr>
          <w:rFonts w:ascii="Times New Roman" w:hAnsi="Times New Roman" w:cs="Times New Roman"/>
          <w:sz w:val="24"/>
        </w:rPr>
        <w:t xml:space="preserve"> treatment variable of interest is</w:t>
      </w:r>
      <w:r w:rsidRPr="00ED240D">
        <w:rPr>
          <w:rFonts w:ascii="Times New Roman" w:hAnsi="Times New Roman" w:cs="Times New Roman"/>
          <w:sz w:val="24"/>
        </w:rPr>
        <w:t xml:space="preserve"> the cumulative number of low-income housing units per year</w:t>
      </w:r>
      <w:r w:rsidR="00A53448" w:rsidRPr="00ED240D">
        <w:rPr>
          <w:rFonts w:ascii="Times New Roman" w:hAnsi="Times New Roman" w:cs="Times New Roman"/>
          <w:sz w:val="24"/>
        </w:rPr>
        <w:t xml:space="preserve"> while our dependent variable is the number of evictions within a specific county for a specific year. </w:t>
      </w:r>
      <w:r w:rsidR="007A6F15" w:rsidRPr="00ED240D">
        <w:rPr>
          <w:rFonts w:ascii="Times New Roman" w:hAnsi="Times New Roman" w:cs="Times New Roman"/>
          <w:sz w:val="24"/>
        </w:rPr>
        <w:t xml:space="preserve">We begin with a very simplified model, a basic OLS non-pooled model, to estimate the impact of our treatment variable of interest, number of low-income units, on the number of evictions. </w:t>
      </w:r>
    </w:p>
    <w:p w14:paraId="1ADC7D80" w14:textId="77777777" w:rsidR="00A53448" w:rsidRPr="00ED240D" w:rsidRDefault="00A53448" w:rsidP="00836688">
      <w:pPr>
        <w:spacing w:before="240" w:line="360" w:lineRule="auto"/>
        <w:rPr>
          <w:rFonts w:ascii="Times New Roman" w:hAnsi="Times New Roman" w:cs="Times New Roman"/>
          <w:sz w:val="24"/>
          <w:szCs w:val="18"/>
        </w:rPr>
      </w:pPr>
      <m:oMath>
        <m:r>
          <w:rPr>
            <w:rFonts w:ascii="Cambria Math" w:hAnsi="Cambria Math" w:cs="Times New Roman"/>
            <w:sz w:val="24"/>
            <w:szCs w:val="18"/>
          </w:rPr>
          <w:lastRenderedPageBreak/>
          <m:t>EvictionRates=</m:t>
        </m:r>
        <m:sSub>
          <m:sSubPr>
            <m:ctrlPr>
              <w:rPr>
                <w:rFonts w:ascii="Cambria Math" w:hAnsi="Cambria Math" w:cs="Times New Roman"/>
                <w:i/>
                <w:sz w:val="24"/>
                <w:szCs w:val="18"/>
              </w:rPr>
            </m:ctrlPr>
          </m:sSubPr>
          <m:e>
            <m:r>
              <w:rPr>
                <w:rFonts w:ascii="Cambria Math" w:hAnsi="Cambria Math" w:cs="Times New Roman"/>
                <w:sz w:val="24"/>
                <w:szCs w:val="18"/>
              </w:rPr>
              <m:t>α</m:t>
            </m:r>
          </m:e>
          <m:sub>
            <m:r>
              <w:rPr>
                <w:rFonts w:ascii="Cambria Math" w:hAnsi="Cambria Math" w:cs="Times New Roman"/>
                <w:sz w:val="24"/>
                <w:szCs w:val="18"/>
              </w:rPr>
              <m:t>it</m:t>
            </m:r>
          </m:sub>
        </m:sSub>
        <m:r>
          <w:rPr>
            <w:rFonts w:ascii="Cambria Math" w:hAnsi="Cambria Math" w:cs="Times New Roman"/>
            <w:sz w:val="24"/>
            <w:szCs w:val="18"/>
          </w:rPr>
          <m:t>+βLi</m:t>
        </m:r>
        <m:sSub>
          <m:sSubPr>
            <m:ctrlPr>
              <w:rPr>
                <w:rFonts w:ascii="Cambria Math" w:hAnsi="Cambria Math" w:cs="Times New Roman"/>
                <w:i/>
                <w:sz w:val="24"/>
                <w:szCs w:val="18"/>
              </w:rPr>
            </m:ctrlPr>
          </m:sSubPr>
          <m:e>
            <m:r>
              <w:rPr>
                <w:rFonts w:ascii="Cambria Math" w:hAnsi="Cambria Math" w:cs="Times New Roman"/>
                <w:sz w:val="24"/>
                <w:szCs w:val="18"/>
              </w:rPr>
              <m:t>U</m:t>
            </m:r>
          </m:e>
          <m:sub>
            <m:r>
              <w:rPr>
                <w:rFonts w:ascii="Cambria Math" w:hAnsi="Cambria Math" w:cs="Times New Roman"/>
                <w:sz w:val="24"/>
                <w:szCs w:val="18"/>
              </w:rPr>
              <m:t>it</m:t>
            </m:r>
          </m:sub>
        </m:sSub>
        <m:r>
          <w:rPr>
            <w:rFonts w:ascii="Cambria Math" w:hAnsi="Cambria Math" w:cs="Times New Roman"/>
            <w:sz w:val="24"/>
            <w:szCs w:val="18"/>
          </w:rPr>
          <m:t>+</m:t>
        </m:r>
        <m:sSub>
          <m:sSubPr>
            <m:ctrlPr>
              <w:rPr>
                <w:rFonts w:ascii="Cambria Math" w:hAnsi="Cambria Math" w:cs="Times New Roman"/>
                <w:i/>
                <w:sz w:val="24"/>
                <w:szCs w:val="18"/>
              </w:rPr>
            </m:ctrlPr>
          </m:sSubPr>
          <m:e>
            <m:r>
              <w:rPr>
                <w:rFonts w:ascii="Cambria Math" w:hAnsi="Cambria Math" w:cs="Times New Roman"/>
                <w:sz w:val="24"/>
                <w:szCs w:val="18"/>
              </w:rPr>
              <m:t>ϵ</m:t>
            </m:r>
          </m:e>
          <m:sub>
            <m:r>
              <w:rPr>
                <w:rFonts w:ascii="Cambria Math" w:hAnsi="Cambria Math" w:cs="Times New Roman"/>
                <w:sz w:val="24"/>
                <w:szCs w:val="18"/>
              </w:rPr>
              <m:t>it</m:t>
            </m:r>
          </m:sub>
        </m:sSub>
      </m:oMath>
      <w:r w:rsidRPr="00ED240D">
        <w:rPr>
          <w:rFonts w:ascii="Times New Roman" w:hAnsi="Times New Roman" w:cs="Times New Roman"/>
          <w:sz w:val="24"/>
          <w:szCs w:val="18"/>
        </w:rPr>
        <w:tab/>
      </w:r>
      <w:r w:rsidRPr="00ED240D">
        <w:rPr>
          <w:rFonts w:ascii="Times New Roman" w:hAnsi="Times New Roman" w:cs="Times New Roman"/>
          <w:sz w:val="24"/>
          <w:szCs w:val="18"/>
        </w:rPr>
        <w:tab/>
      </w:r>
      <w:r w:rsidRPr="00ED240D">
        <w:rPr>
          <w:rFonts w:ascii="Times New Roman" w:hAnsi="Times New Roman" w:cs="Times New Roman"/>
          <w:sz w:val="24"/>
          <w:szCs w:val="18"/>
        </w:rPr>
        <w:tab/>
      </w:r>
      <w:r w:rsidRPr="00ED240D">
        <w:rPr>
          <w:rFonts w:ascii="Times New Roman" w:hAnsi="Times New Roman" w:cs="Times New Roman"/>
          <w:sz w:val="24"/>
          <w:szCs w:val="18"/>
        </w:rPr>
        <w:tab/>
      </w:r>
      <w:r w:rsidRPr="00ED240D">
        <w:rPr>
          <w:rFonts w:ascii="Times New Roman" w:hAnsi="Times New Roman" w:cs="Times New Roman"/>
          <w:sz w:val="24"/>
          <w:szCs w:val="18"/>
        </w:rPr>
        <w:tab/>
      </w:r>
      <w:r w:rsidRPr="00ED240D">
        <w:rPr>
          <w:rFonts w:ascii="Times New Roman" w:hAnsi="Times New Roman" w:cs="Times New Roman"/>
          <w:sz w:val="24"/>
          <w:szCs w:val="18"/>
        </w:rPr>
        <w:tab/>
      </w:r>
      <w:r w:rsidRPr="00ED240D">
        <w:rPr>
          <w:rFonts w:ascii="Times New Roman" w:hAnsi="Times New Roman" w:cs="Times New Roman"/>
          <w:sz w:val="24"/>
          <w:szCs w:val="18"/>
        </w:rPr>
        <w:tab/>
      </w:r>
      <w:r w:rsidR="00836688">
        <w:rPr>
          <w:rFonts w:ascii="Times New Roman" w:hAnsi="Times New Roman" w:cs="Times New Roman"/>
          <w:sz w:val="24"/>
          <w:szCs w:val="18"/>
        </w:rPr>
        <w:t xml:space="preserve">     </w:t>
      </w:r>
      <w:r w:rsidRPr="00ED240D">
        <w:rPr>
          <w:rFonts w:ascii="Times New Roman" w:hAnsi="Times New Roman" w:cs="Times New Roman"/>
          <w:sz w:val="24"/>
          <w:szCs w:val="18"/>
        </w:rPr>
        <w:t xml:space="preserve">  (1)</w:t>
      </w:r>
    </w:p>
    <w:p w14:paraId="58BA6053" w14:textId="77777777" w:rsidR="00D278F0" w:rsidRPr="00ED240D" w:rsidRDefault="00D278F0" w:rsidP="00ED240D">
      <w:pPr>
        <w:spacing w:after="0" w:line="360" w:lineRule="auto"/>
        <w:rPr>
          <w:rFonts w:ascii="Times New Roman" w:hAnsi="Times New Roman" w:cs="Times New Roman"/>
          <w:sz w:val="24"/>
          <w:szCs w:val="18"/>
        </w:rPr>
      </w:pPr>
      <w:r w:rsidRPr="00ED240D">
        <w:rPr>
          <w:rFonts w:ascii="Times New Roman" w:hAnsi="Times New Roman" w:cs="Times New Roman"/>
          <w:sz w:val="24"/>
          <w:szCs w:val="18"/>
        </w:rPr>
        <w:t>The second model, our model of interest, includes several different covariates represented by X.</w:t>
      </w:r>
    </w:p>
    <w:p w14:paraId="010E4259" w14:textId="77777777" w:rsidR="00D278F0" w:rsidRPr="00ED240D" w:rsidRDefault="00A53448" w:rsidP="00836688">
      <w:pPr>
        <w:spacing w:before="240" w:line="360" w:lineRule="auto"/>
        <w:rPr>
          <w:rFonts w:ascii="Times New Roman" w:hAnsi="Times New Roman" w:cs="Times New Roman"/>
          <w:sz w:val="24"/>
          <w:szCs w:val="18"/>
        </w:rPr>
      </w:pPr>
      <m:oMath>
        <m:r>
          <w:rPr>
            <w:rFonts w:ascii="Cambria Math" w:hAnsi="Cambria Math" w:cs="Times New Roman"/>
            <w:sz w:val="24"/>
            <w:szCs w:val="18"/>
          </w:rPr>
          <m:t>EvictionRate</m:t>
        </m:r>
        <m:sSub>
          <m:sSubPr>
            <m:ctrlPr>
              <w:rPr>
                <w:rFonts w:ascii="Cambria Math" w:hAnsi="Cambria Math" w:cs="Times New Roman"/>
                <w:i/>
                <w:sz w:val="24"/>
                <w:szCs w:val="18"/>
              </w:rPr>
            </m:ctrlPr>
          </m:sSubPr>
          <m:e>
            <m:r>
              <w:rPr>
                <w:rFonts w:ascii="Cambria Math" w:hAnsi="Cambria Math" w:cs="Times New Roman"/>
                <w:sz w:val="24"/>
                <w:szCs w:val="18"/>
              </w:rPr>
              <m:t>s</m:t>
            </m:r>
          </m:e>
          <m:sub>
            <m:r>
              <w:rPr>
                <w:rFonts w:ascii="Cambria Math" w:hAnsi="Cambria Math" w:cs="Times New Roman"/>
                <w:sz w:val="24"/>
                <w:szCs w:val="18"/>
              </w:rPr>
              <m:t>it</m:t>
            </m:r>
          </m:sub>
        </m:sSub>
        <m:r>
          <w:rPr>
            <w:rFonts w:ascii="Cambria Math" w:hAnsi="Cambria Math" w:cs="Times New Roman"/>
            <w:sz w:val="24"/>
            <w:szCs w:val="18"/>
          </w:rPr>
          <m:t>=α+β</m:t>
        </m:r>
        <m:sSub>
          <m:sSubPr>
            <m:ctrlPr>
              <w:rPr>
                <w:rFonts w:ascii="Cambria Math" w:hAnsi="Cambria Math" w:cs="Times New Roman"/>
                <w:i/>
                <w:sz w:val="24"/>
                <w:szCs w:val="18"/>
              </w:rPr>
            </m:ctrlPr>
          </m:sSubPr>
          <m:e>
            <m:r>
              <m:rPr>
                <m:sty m:val="bi"/>
              </m:rPr>
              <w:rPr>
                <w:rFonts w:ascii="Cambria Math" w:hAnsi="Cambria Math" w:cs="Times New Roman"/>
                <w:sz w:val="24"/>
                <w:szCs w:val="18"/>
              </w:rPr>
              <m:t>X</m:t>
            </m:r>
          </m:e>
          <m:sub>
            <m:r>
              <w:rPr>
                <w:rFonts w:ascii="Cambria Math" w:hAnsi="Cambria Math" w:cs="Times New Roman"/>
                <w:sz w:val="24"/>
                <w:szCs w:val="18"/>
              </w:rPr>
              <m:t>it</m:t>
            </m:r>
          </m:sub>
        </m:sSub>
        <m:r>
          <w:rPr>
            <w:rFonts w:ascii="Cambria Math" w:hAnsi="Cambria Math" w:cs="Times New Roman"/>
            <w:sz w:val="24"/>
            <w:szCs w:val="18"/>
          </w:rPr>
          <m:t>+γLi</m:t>
        </m:r>
        <m:sSub>
          <m:sSubPr>
            <m:ctrlPr>
              <w:rPr>
                <w:rFonts w:ascii="Cambria Math" w:hAnsi="Cambria Math" w:cs="Times New Roman"/>
                <w:i/>
                <w:sz w:val="24"/>
                <w:szCs w:val="18"/>
              </w:rPr>
            </m:ctrlPr>
          </m:sSubPr>
          <m:e>
            <m:r>
              <w:rPr>
                <w:rFonts w:ascii="Cambria Math" w:hAnsi="Cambria Math" w:cs="Times New Roman"/>
                <w:sz w:val="24"/>
                <w:szCs w:val="18"/>
              </w:rPr>
              <m:t>U</m:t>
            </m:r>
          </m:e>
          <m:sub>
            <m:r>
              <w:rPr>
                <w:rFonts w:ascii="Cambria Math" w:hAnsi="Cambria Math" w:cs="Times New Roman"/>
                <w:sz w:val="24"/>
                <w:szCs w:val="18"/>
              </w:rPr>
              <m:t>it</m:t>
            </m:r>
          </m:sub>
        </m:sSub>
        <m:r>
          <w:rPr>
            <w:rFonts w:ascii="Cambria Math" w:hAnsi="Cambria Math" w:cs="Times New Roman"/>
            <w:sz w:val="24"/>
            <w:szCs w:val="18"/>
          </w:rPr>
          <m:t>+</m:t>
        </m:r>
        <m:sSub>
          <m:sSubPr>
            <m:ctrlPr>
              <w:rPr>
                <w:rFonts w:ascii="Cambria Math" w:hAnsi="Cambria Math" w:cs="Times New Roman"/>
                <w:i/>
                <w:sz w:val="24"/>
                <w:szCs w:val="18"/>
              </w:rPr>
            </m:ctrlPr>
          </m:sSubPr>
          <m:e>
            <m:r>
              <w:rPr>
                <w:rFonts w:ascii="Cambria Math" w:hAnsi="Cambria Math" w:cs="Times New Roman"/>
                <w:sz w:val="24"/>
                <w:szCs w:val="18"/>
              </w:rPr>
              <m:t>μ</m:t>
            </m:r>
          </m:e>
          <m:sub>
            <m:r>
              <w:rPr>
                <w:rFonts w:ascii="Cambria Math" w:hAnsi="Cambria Math" w:cs="Times New Roman"/>
                <w:sz w:val="24"/>
                <w:szCs w:val="18"/>
              </w:rPr>
              <m:t>i</m:t>
            </m:r>
          </m:sub>
        </m:sSub>
        <m:r>
          <w:rPr>
            <w:rFonts w:ascii="Cambria Math" w:hAnsi="Cambria Math" w:cs="Times New Roman"/>
            <w:sz w:val="24"/>
            <w:szCs w:val="18"/>
          </w:rPr>
          <m:t>+</m:t>
        </m:r>
        <m:sSub>
          <m:sSubPr>
            <m:ctrlPr>
              <w:rPr>
                <w:rFonts w:ascii="Cambria Math" w:hAnsi="Cambria Math" w:cs="Times New Roman"/>
                <w:i/>
                <w:sz w:val="24"/>
                <w:szCs w:val="18"/>
              </w:rPr>
            </m:ctrlPr>
          </m:sSubPr>
          <m:e>
            <m:r>
              <w:rPr>
                <w:rFonts w:ascii="Cambria Math" w:hAnsi="Cambria Math" w:cs="Times New Roman"/>
                <w:sz w:val="24"/>
                <w:szCs w:val="18"/>
              </w:rPr>
              <m:t>η</m:t>
            </m:r>
          </m:e>
          <m:sub>
            <m:r>
              <w:rPr>
                <w:rFonts w:ascii="Cambria Math" w:hAnsi="Cambria Math" w:cs="Times New Roman"/>
                <w:sz w:val="24"/>
                <w:szCs w:val="18"/>
              </w:rPr>
              <m:t>t</m:t>
            </m:r>
          </m:sub>
        </m:sSub>
        <m:r>
          <w:rPr>
            <w:rFonts w:ascii="Cambria Math" w:hAnsi="Cambria Math" w:cs="Times New Roman"/>
            <w:sz w:val="24"/>
            <w:szCs w:val="18"/>
          </w:rPr>
          <m:t>+</m:t>
        </m:r>
        <m:sSub>
          <m:sSubPr>
            <m:ctrlPr>
              <w:rPr>
                <w:rFonts w:ascii="Cambria Math" w:hAnsi="Cambria Math" w:cs="Times New Roman"/>
                <w:i/>
                <w:sz w:val="24"/>
                <w:szCs w:val="18"/>
              </w:rPr>
            </m:ctrlPr>
          </m:sSubPr>
          <m:e>
            <m:r>
              <w:rPr>
                <w:rFonts w:ascii="Cambria Math" w:hAnsi="Cambria Math" w:cs="Times New Roman"/>
                <w:sz w:val="24"/>
                <w:szCs w:val="18"/>
              </w:rPr>
              <m:t>ϵ</m:t>
            </m:r>
          </m:e>
          <m:sub>
            <m:r>
              <w:rPr>
                <w:rFonts w:ascii="Cambria Math" w:hAnsi="Cambria Math" w:cs="Times New Roman"/>
                <w:sz w:val="24"/>
                <w:szCs w:val="18"/>
              </w:rPr>
              <m:t>it</m:t>
            </m:r>
          </m:sub>
        </m:sSub>
      </m:oMath>
      <w:r w:rsidRPr="00ED240D">
        <w:rPr>
          <w:rFonts w:ascii="Times New Roman" w:hAnsi="Times New Roman" w:cs="Times New Roman"/>
          <w:sz w:val="24"/>
          <w:szCs w:val="18"/>
        </w:rPr>
        <w:tab/>
      </w:r>
      <w:r w:rsidRPr="00ED240D">
        <w:rPr>
          <w:rFonts w:ascii="Times New Roman" w:hAnsi="Times New Roman" w:cs="Times New Roman"/>
          <w:sz w:val="24"/>
          <w:szCs w:val="18"/>
        </w:rPr>
        <w:tab/>
      </w:r>
      <w:r w:rsidRPr="00ED240D">
        <w:rPr>
          <w:rFonts w:ascii="Times New Roman" w:hAnsi="Times New Roman" w:cs="Times New Roman"/>
          <w:sz w:val="24"/>
          <w:szCs w:val="18"/>
        </w:rPr>
        <w:tab/>
      </w:r>
      <w:r w:rsidR="00836688">
        <w:rPr>
          <w:rFonts w:ascii="Times New Roman" w:hAnsi="Times New Roman" w:cs="Times New Roman"/>
          <w:sz w:val="24"/>
          <w:szCs w:val="18"/>
        </w:rPr>
        <w:t xml:space="preserve">   </w:t>
      </w:r>
      <w:r w:rsidRPr="00ED240D">
        <w:rPr>
          <w:rFonts w:ascii="Times New Roman" w:hAnsi="Times New Roman" w:cs="Times New Roman"/>
          <w:sz w:val="24"/>
          <w:szCs w:val="18"/>
        </w:rPr>
        <w:tab/>
        <w:t xml:space="preserve">   </w:t>
      </w:r>
      <w:r w:rsidR="00836688">
        <w:rPr>
          <w:rFonts w:ascii="Times New Roman" w:hAnsi="Times New Roman" w:cs="Times New Roman"/>
          <w:sz w:val="24"/>
          <w:szCs w:val="18"/>
        </w:rPr>
        <w:tab/>
      </w:r>
      <w:r w:rsidRPr="00ED240D">
        <w:rPr>
          <w:rFonts w:ascii="Times New Roman" w:hAnsi="Times New Roman" w:cs="Times New Roman"/>
          <w:sz w:val="24"/>
          <w:szCs w:val="18"/>
        </w:rPr>
        <w:t xml:space="preserve">     </w:t>
      </w:r>
      <w:r w:rsidR="00836688">
        <w:rPr>
          <w:rFonts w:ascii="Times New Roman" w:hAnsi="Times New Roman" w:cs="Times New Roman"/>
          <w:sz w:val="24"/>
          <w:szCs w:val="18"/>
        </w:rPr>
        <w:t xml:space="preserve">  </w:t>
      </w:r>
      <w:r w:rsidRPr="00ED240D">
        <w:rPr>
          <w:rFonts w:ascii="Times New Roman" w:hAnsi="Times New Roman" w:cs="Times New Roman"/>
          <w:sz w:val="24"/>
          <w:szCs w:val="18"/>
        </w:rPr>
        <w:t>(2)</w:t>
      </w:r>
    </w:p>
    <w:p w14:paraId="46FFCF8D" w14:textId="77777777" w:rsidR="00FC34A1" w:rsidRPr="00ED240D" w:rsidRDefault="00A53448" w:rsidP="00ED240D">
      <w:pPr>
        <w:spacing w:after="0" w:line="360" w:lineRule="auto"/>
        <w:ind w:firstLine="720"/>
        <w:rPr>
          <w:rFonts w:ascii="Times New Roman" w:hAnsi="Times New Roman" w:cs="Times New Roman"/>
          <w:sz w:val="24"/>
        </w:rPr>
      </w:pPr>
      <w:r w:rsidRPr="00ED240D">
        <w:rPr>
          <w:rFonts w:ascii="Times New Roman" w:hAnsi="Times New Roman" w:cs="Times New Roman"/>
          <w:sz w:val="24"/>
        </w:rPr>
        <w:t>The parameter η is for a time fixed effect which will indicate the average differences for all of the observations for a specific year t. The μ controls for averages differences for a specific Virginia county or independent city. β and X represent the covariates within the model we will try to control for. And the outcome and treatment variable of interest γ remain the same. This approach will help control for any other unobserved factors within the panel data.</w:t>
      </w:r>
    </w:p>
    <w:p w14:paraId="5ECA3328" w14:textId="77777777" w:rsidR="001D484D" w:rsidRDefault="00D65ED4" w:rsidP="00ED240D">
      <w:pPr>
        <w:spacing w:after="0" w:line="360" w:lineRule="auto"/>
        <w:ind w:firstLine="720"/>
        <w:rPr>
          <w:rFonts w:ascii="Times New Roman" w:hAnsi="Times New Roman" w:cs="Times New Roman"/>
          <w:sz w:val="24"/>
        </w:rPr>
      </w:pPr>
      <w:r w:rsidRPr="00ED240D">
        <w:rPr>
          <w:rFonts w:ascii="Times New Roman" w:hAnsi="Times New Roman" w:cs="Times New Roman"/>
          <w:sz w:val="24"/>
        </w:rPr>
        <w:t>Additionally, we conduct a lag regression because of the potential issues</w:t>
      </w:r>
      <w:r w:rsidR="001D484D" w:rsidRPr="00ED240D">
        <w:rPr>
          <w:rFonts w:ascii="Times New Roman" w:hAnsi="Times New Roman" w:cs="Times New Roman"/>
          <w:sz w:val="24"/>
        </w:rPr>
        <w:t xml:space="preserve"> of estimating the impact on evictions when tenants don’t feel the effects of new affordable housing on their rental housing decisions until a significant time has passed. Most leases are between 6 months and one year. The leasing contract is binding unless the tenants or landlord breach it or the tenant is evicted. Including a </w:t>
      </w:r>
      <w:r w:rsidR="00EE780B" w:rsidRPr="00ED240D">
        <w:rPr>
          <w:rFonts w:ascii="Times New Roman" w:hAnsi="Times New Roman" w:cs="Times New Roman"/>
          <w:sz w:val="24"/>
        </w:rPr>
        <w:t>one-year</w:t>
      </w:r>
      <w:r w:rsidR="001D484D" w:rsidRPr="00ED240D">
        <w:rPr>
          <w:rFonts w:ascii="Times New Roman" w:hAnsi="Times New Roman" w:cs="Times New Roman"/>
          <w:sz w:val="24"/>
        </w:rPr>
        <w:t xml:space="preserve"> lag on the number of evictions allows the model to account for any lag effects from the placement and service of a LIHTC project in a county. </w:t>
      </w:r>
    </w:p>
    <w:p w14:paraId="0E1964B2" w14:textId="77777777" w:rsidR="005754D7" w:rsidRPr="00ED240D" w:rsidRDefault="005754D7" w:rsidP="005754D7">
      <w:pPr>
        <w:spacing w:before="240" w:line="360" w:lineRule="auto"/>
        <w:rPr>
          <w:rFonts w:ascii="Times New Roman" w:hAnsi="Times New Roman" w:cs="Times New Roman"/>
          <w:sz w:val="24"/>
        </w:rPr>
      </w:pPr>
      <m:oMath>
        <m:r>
          <w:rPr>
            <w:rFonts w:ascii="Cambria Math" w:hAnsi="Cambria Math" w:cs="Times New Roman"/>
            <w:sz w:val="24"/>
            <w:szCs w:val="18"/>
          </w:rPr>
          <m:t>EvictionRate</m:t>
        </m:r>
        <m:sSub>
          <m:sSubPr>
            <m:ctrlPr>
              <w:rPr>
                <w:rFonts w:ascii="Cambria Math" w:hAnsi="Cambria Math" w:cs="Times New Roman"/>
                <w:i/>
                <w:sz w:val="24"/>
                <w:szCs w:val="18"/>
              </w:rPr>
            </m:ctrlPr>
          </m:sSubPr>
          <m:e>
            <m:r>
              <w:rPr>
                <w:rFonts w:ascii="Cambria Math" w:hAnsi="Cambria Math" w:cs="Times New Roman"/>
                <w:sz w:val="24"/>
                <w:szCs w:val="18"/>
              </w:rPr>
              <m:t>s</m:t>
            </m:r>
          </m:e>
          <m:sub>
            <m:r>
              <w:rPr>
                <w:rFonts w:ascii="Cambria Math" w:hAnsi="Cambria Math" w:cs="Times New Roman"/>
                <w:sz w:val="24"/>
                <w:szCs w:val="18"/>
              </w:rPr>
              <m:t>it</m:t>
            </m:r>
          </m:sub>
        </m:sSub>
        <m:r>
          <w:rPr>
            <w:rFonts w:ascii="Cambria Math" w:hAnsi="Cambria Math" w:cs="Times New Roman"/>
            <w:sz w:val="24"/>
            <w:szCs w:val="18"/>
          </w:rPr>
          <m:t>=α+β</m:t>
        </m:r>
        <m:sSub>
          <m:sSubPr>
            <m:ctrlPr>
              <w:rPr>
                <w:rFonts w:ascii="Cambria Math" w:hAnsi="Cambria Math" w:cs="Times New Roman"/>
                <w:i/>
                <w:sz w:val="24"/>
                <w:szCs w:val="18"/>
              </w:rPr>
            </m:ctrlPr>
          </m:sSubPr>
          <m:e>
            <m:r>
              <m:rPr>
                <m:sty m:val="bi"/>
              </m:rPr>
              <w:rPr>
                <w:rFonts w:ascii="Cambria Math" w:hAnsi="Cambria Math" w:cs="Times New Roman"/>
                <w:sz w:val="24"/>
                <w:szCs w:val="18"/>
              </w:rPr>
              <m:t>X</m:t>
            </m:r>
          </m:e>
          <m:sub>
            <m:r>
              <w:rPr>
                <w:rFonts w:ascii="Cambria Math" w:hAnsi="Cambria Math" w:cs="Times New Roman"/>
                <w:sz w:val="24"/>
                <w:szCs w:val="18"/>
              </w:rPr>
              <m:t>it</m:t>
            </m:r>
          </m:sub>
        </m:sSub>
        <m:r>
          <w:rPr>
            <w:rFonts w:ascii="Cambria Math" w:hAnsi="Cambria Math" w:cs="Times New Roman"/>
            <w:sz w:val="24"/>
            <w:szCs w:val="18"/>
          </w:rPr>
          <m:t>+γLi</m:t>
        </m:r>
        <m:sSub>
          <m:sSubPr>
            <m:ctrlPr>
              <w:rPr>
                <w:rFonts w:ascii="Cambria Math" w:hAnsi="Cambria Math" w:cs="Times New Roman"/>
                <w:i/>
                <w:sz w:val="24"/>
                <w:szCs w:val="18"/>
              </w:rPr>
            </m:ctrlPr>
          </m:sSubPr>
          <m:e>
            <m:r>
              <w:rPr>
                <w:rFonts w:ascii="Cambria Math" w:hAnsi="Cambria Math" w:cs="Times New Roman"/>
                <w:sz w:val="24"/>
                <w:szCs w:val="18"/>
              </w:rPr>
              <m:t>U</m:t>
            </m:r>
          </m:e>
          <m:sub>
            <m:r>
              <w:rPr>
                <w:rFonts w:ascii="Cambria Math" w:hAnsi="Cambria Math" w:cs="Times New Roman"/>
                <w:sz w:val="24"/>
                <w:szCs w:val="18"/>
              </w:rPr>
              <m:t>it</m:t>
            </m:r>
          </m:sub>
        </m:sSub>
        <m:r>
          <w:rPr>
            <w:rFonts w:ascii="Cambria Math" w:hAnsi="Cambria Math" w:cs="Times New Roman"/>
            <w:sz w:val="24"/>
            <w:szCs w:val="18"/>
          </w:rPr>
          <m:t>+</m:t>
        </m:r>
        <m:sSub>
          <m:sSubPr>
            <m:ctrlPr>
              <w:rPr>
                <w:rFonts w:ascii="Cambria Math" w:hAnsi="Cambria Math" w:cs="Times New Roman"/>
                <w:i/>
                <w:sz w:val="24"/>
                <w:szCs w:val="18"/>
              </w:rPr>
            </m:ctrlPr>
          </m:sSubPr>
          <m:e>
            <m:r>
              <w:rPr>
                <w:rFonts w:ascii="Cambria Math" w:hAnsi="Cambria Math" w:cs="Times New Roman"/>
                <w:sz w:val="24"/>
                <w:szCs w:val="18"/>
              </w:rPr>
              <m:t>μ</m:t>
            </m:r>
          </m:e>
          <m:sub>
            <m:r>
              <w:rPr>
                <w:rFonts w:ascii="Cambria Math" w:hAnsi="Cambria Math" w:cs="Times New Roman"/>
                <w:sz w:val="24"/>
                <w:szCs w:val="18"/>
              </w:rPr>
              <m:t>i</m:t>
            </m:r>
          </m:sub>
        </m:sSub>
        <m:r>
          <w:rPr>
            <w:rFonts w:ascii="Cambria Math" w:hAnsi="Cambria Math" w:cs="Times New Roman"/>
            <w:sz w:val="24"/>
            <w:szCs w:val="18"/>
          </w:rPr>
          <m:t>+</m:t>
        </m:r>
        <m:sSub>
          <m:sSubPr>
            <m:ctrlPr>
              <w:rPr>
                <w:rFonts w:ascii="Cambria Math" w:hAnsi="Cambria Math" w:cs="Times New Roman"/>
                <w:i/>
                <w:sz w:val="24"/>
                <w:szCs w:val="18"/>
              </w:rPr>
            </m:ctrlPr>
          </m:sSubPr>
          <m:e>
            <m:r>
              <w:rPr>
                <w:rFonts w:ascii="Cambria Math" w:hAnsi="Cambria Math" w:cs="Times New Roman"/>
                <w:sz w:val="24"/>
                <w:szCs w:val="18"/>
              </w:rPr>
              <m:t>η</m:t>
            </m:r>
          </m:e>
          <m:sub>
            <m:r>
              <w:rPr>
                <w:rFonts w:ascii="Cambria Math" w:hAnsi="Cambria Math" w:cs="Times New Roman"/>
                <w:sz w:val="24"/>
                <w:szCs w:val="18"/>
              </w:rPr>
              <m:t>t</m:t>
            </m:r>
          </m:sub>
        </m:sSub>
        <m:r>
          <w:rPr>
            <w:rFonts w:ascii="Cambria Math" w:hAnsi="Cambria Math" w:cs="Times New Roman"/>
            <w:sz w:val="24"/>
            <w:szCs w:val="18"/>
          </w:rPr>
          <m:t>+</m:t>
        </m:r>
        <m:sSub>
          <m:sSubPr>
            <m:ctrlPr>
              <w:rPr>
                <w:rFonts w:ascii="Cambria Math" w:hAnsi="Cambria Math" w:cs="Times New Roman"/>
                <w:i/>
                <w:sz w:val="24"/>
                <w:szCs w:val="18"/>
              </w:rPr>
            </m:ctrlPr>
          </m:sSubPr>
          <m:e>
            <m:r>
              <w:rPr>
                <w:rFonts w:ascii="Cambria Math" w:hAnsi="Cambria Math" w:cs="Times New Roman"/>
                <w:sz w:val="24"/>
                <w:szCs w:val="18"/>
              </w:rPr>
              <m:t>ϵ</m:t>
            </m:r>
          </m:e>
          <m:sub>
            <m:r>
              <w:rPr>
                <w:rFonts w:ascii="Cambria Math" w:hAnsi="Cambria Math" w:cs="Times New Roman"/>
                <w:sz w:val="24"/>
                <w:szCs w:val="18"/>
              </w:rPr>
              <m:t>it</m:t>
            </m:r>
          </m:sub>
        </m:sSub>
      </m:oMath>
      <w:r w:rsidRPr="00ED240D">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(3)</w:t>
      </w:r>
    </w:p>
    <w:p w14:paraId="0144E9F1" w14:textId="77777777" w:rsidR="00FC34A1" w:rsidRPr="00ED240D" w:rsidRDefault="00A53448" w:rsidP="00ED240D">
      <w:pPr>
        <w:spacing w:after="0" w:line="360" w:lineRule="auto"/>
        <w:ind w:firstLine="720"/>
        <w:rPr>
          <w:rFonts w:ascii="Times New Roman" w:hAnsi="Times New Roman" w:cs="Times New Roman"/>
          <w:sz w:val="24"/>
        </w:rPr>
      </w:pPr>
      <w:r w:rsidRPr="00ED240D">
        <w:rPr>
          <w:rFonts w:ascii="Times New Roman" w:hAnsi="Times New Roman" w:cs="Times New Roman"/>
          <w:sz w:val="24"/>
        </w:rPr>
        <w:t xml:space="preserve">Other empirical strategies proved to be difficult to implement because of the nature of the data. In the scope of this paper, no discontinuity seemed apparent nor was there a before and after treatment effect for the policy. Future research could easily be dedicated to using tract-level data for </w:t>
      </w:r>
      <w:proofErr w:type="gramStart"/>
      <w:r w:rsidRPr="00ED240D">
        <w:rPr>
          <w:rFonts w:ascii="Times New Roman" w:hAnsi="Times New Roman" w:cs="Times New Roman"/>
          <w:sz w:val="24"/>
        </w:rPr>
        <w:t>a</w:t>
      </w:r>
      <w:proofErr w:type="gramEnd"/>
      <w:r w:rsidRPr="00ED240D">
        <w:rPr>
          <w:rFonts w:ascii="Times New Roman" w:hAnsi="Times New Roman" w:cs="Times New Roman"/>
          <w:sz w:val="24"/>
        </w:rPr>
        <w:t xml:space="preserve"> instrument variables approach exploiting the variation between QCT status within counties and tracts. </w:t>
      </w:r>
    </w:p>
    <w:p w14:paraId="4BCF822A" w14:textId="77777777" w:rsidR="00254B1A" w:rsidRPr="005754D7" w:rsidRDefault="00A53448" w:rsidP="005754D7">
      <w:pPr>
        <w:spacing w:after="0" w:line="360" w:lineRule="auto"/>
        <w:ind w:firstLine="720"/>
        <w:rPr>
          <w:rFonts w:ascii="Times New Roman" w:hAnsi="Times New Roman" w:cs="Times New Roman"/>
          <w:sz w:val="24"/>
        </w:rPr>
      </w:pPr>
      <w:r w:rsidRPr="00ED240D">
        <w:rPr>
          <w:rFonts w:ascii="Times New Roman" w:hAnsi="Times New Roman" w:cs="Times New Roman"/>
          <w:sz w:val="24"/>
        </w:rPr>
        <w:t xml:space="preserve">In the next section, we present the OLS estimates of γ. This </w:t>
      </w:r>
      <w:r w:rsidR="00C56859" w:rsidRPr="00ED240D">
        <w:rPr>
          <w:rFonts w:ascii="Times New Roman" w:hAnsi="Times New Roman" w:cs="Times New Roman"/>
          <w:sz w:val="24"/>
        </w:rPr>
        <w:t xml:space="preserve">empirical </w:t>
      </w:r>
      <w:r w:rsidRPr="00ED240D">
        <w:rPr>
          <w:rFonts w:ascii="Times New Roman" w:hAnsi="Times New Roman" w:cs="Times New Roman"/>
          <w:sz w:val="24"/>
        </w:rPr>
        <w:t xml:space="preserve">strategy identifies the use of the available panel data </w:t>
      </w:r>
      <w:r w:rsidR="00C56859" w:rsidRPr="00ED240D">
        <w:rPr>
          <w:rFonts w:ascii="Times New Roman" w:hAnsi="Times New Roman" w:cs="Times New Roman"/>
          <w:sz w:val="24"/>
        </w:rPr>
        <w:t xml:space="preserve">and attempts to efficiently produce estimates that capture the impact of low-income housing units on eviction rates. </w:t>
      </w:r>
    </w:p>
    <w:p w14:paraId="72C16743" w14:textId="77777777" w:rsidR="00254B1A" w:rsidRDefault="00254B1A" w:rsidP="00972315">
      <w:pPr>
        <w:rPr>
          <w:rFonts w:ascii="Times New Roman" w:hAnsi="Times New Roman" w:cs="Times New Roman"/>
          <w:b/>
          <w:sz w:val="18"/>
        </w:rPr>
      </w:pPr>
    </w:p>
    <w:p w14:paraId="00A37120" w14:textId="77777777" w:rsidR="00A90824" w:rsidRPr="005754D7" w:rsidRDefault="00A90824" w:rsidP="00A90824">
      <w:pPr>
        <w:rPr>
          <w:rFonts w:ascii="Times New Roman" w:hAnsi="Times New Roman" w:cs="Times New Roman"/>
          <w:b/>
          <w:sz w:val="24"/>
        </w:rPr>
      </w:pPr>
      <w:r w:rsidRPr="005754D7">
        <w:rPr>
          <w:rFonts w:ascii="Times New Roman" w:hAnsi="Times New Roman" w:cs="Times New Roman"/>
          <w:b/>
          <w:sz w:val="24"/>
        </w:rPr>
        <w:t>5</w:t>
      </w:r>
      <w:r w:rsidR="00972315" w:rsidRPr="005754D7">
        <w:rPr>
          <w:rFonts w:ascii="Times New Roman" w:hAnsi="Times New Roman" w:cs="Times New Roman"/>
          <w:b/>
          <w:sz w:val="24"/>
        </w:rPr>
        <w:t>. Results</w:t>
      </w:r>
    </w:p>
    <w:p w14:paraId="19378ECD" w14:textId="77777777" w:rsidR="00B006D0" w:rsidRPr="00204281" w:rsidRDefault="00B006D0" w:rsidP="00204281">
      <w:pPr>
        <w:spacing w:line="360" w:lineRule="auto"/>
        <w:rPr>
          <w:rFonts w:ascii="Times New Roman" w:hAnsi="Times New Roman" w:cs="Times New Roman"/>
          <w:sz w:val="24"/>
        </w:rPr>
      </w:pPr>
      <w:r w:rsidRPr="00204281">
        <w:rPr>
          <w:rFonts w:ascii="Times New Roman" w:hAnsi="Times New Roman" w:cs="Times New Roman"/>
          <w:sz w:val="24"/>
        </w:rPr>
        <w:t xml:space="preserve">The coefficient estimates of the LITC variables on evictions are presented in Table </w:t>
      </w:r>
      <w:r w:rsidR="00377FA4">
        <w:rPr>
          <w:rFonts w:ascii="Times New Roman" w:hAnsi="Times New Roman" w:cs="Times New Roman"/>
          <w:sz w:val="24"/>
        </w:rPr>
        <w:t>3</w:t>
      </w:r>
      <w:r w:rsidRPr="00204281">
        <w:rPr>
          <w:rFonts w:ascii="Times New Roman" w:hAnsi="Times New Roman" w:cs="Times New Roman"/>
          <w:sz w:val="24"/>
        </w:rPr>
        <w:t xml:space="preserve">. </w:t>
      </w:r>
      <w:r w:rsidR="00836688" w:rsidRPr="00204281">
        <w:rPr>
          <w:rFonts w:ascii="Times New Roman" w:hAnsi="Times New Roman" w:cs="Times New Roman"/>
          <w:sz w:val="24"/>
        </w:rPr>
        <w:t xml:space="preserve">In columns 1 and 2 we report the basic OLS model estimates and the two-way fixed effects model estimates that includes our covariates.  </w:t>
      </w:r>
    </w:p>
    <w:tbl>
      <w:tblPr>
        <w:tblStyle w:val="TableGrid"/>
        <w:tblW w:w="9360" w:type="dxa"/>
        <w:tblLook w:val="04A0" w:firstRow="1" w:lastRow="0" w:firstColumn="1" w:lastColumn="0" w:noHBand="0" w:noVBand="1"/>
      </w:tblPr>
      <w:tblGrid>
        <w:gridCol w:w="2700"/>
        <w:gridCol w:w="2993"/>
        <w:gridCol w:w="1226"/>
        <w:gridCol w:w="1242"/>
        <w:gridCol w:w="1199"/>
      </w:tblGrid>
      <w:tr w:rsidR="00AD48C2" w:rsidRPr="00B327ED" w14:paraId="6399CB8E" w14:textId="77777777" w:rsidTr="00AD48C2">
        <w:trPr>
          <w:trHeight w:val="458"/>
        </w:trPr>
        <w:tc>
          <w:tcPr>
            <w:tcW w:w="9360" w:type="dxa"/>
            <w:gridSpan w:val="5"/>
            <w:tcBorders>
              <w:top w:val="nil"/>
              <w:left w:val="nil"/>
              <w:bottom w:val="single" w:sz="4" w:space="0" w:color="auto"/>
              <w:right w:val="nil"/>
            </w:tcBorders>
          </w:tcPr>
          <w:p w14:paraId="036E0E77" w14:textId="77777777" w:rsidR="00AD48C2" w:rsidRPr="00B327ED" w:rsidRDefault="00AD48C2" w:rsidP="00CA72E7">
            <w:pPr>
              <w:ind w:left="-108"/>
              <w:rPr>
                <w:rFonts w:ascii="Times New Roman" w:hAnsi="Times New Roman" w:cs="Times New Roman"/>
                <w:b/>
                <w:sz w:val="20"/>
                <w:szCs w:val="20"/>
              </w:rPr>
            </w:pPr>
            <w:r w:rsidRPr="00B327ED">
              <w:rPr>
                <w:rFonts w:ascii="Times New Roman" w:hAnsi="Times New Roman" w:cs="Times New Roman"/>
                <w:b/>
                <w:sz w:val="20"/>
                <w:szCs w:val="20"/>
              </w:rPr>
              <w:lastRenderedPageBreak/>
              <w:t xml:space="preserve">Table </w:t>
            </w:r>
            <w:r w:rsidR="00377FA4">
              <w:rPr>
                <w:rFonts w:ascii="Times New Roman" w:hAnsi="Times New Roman" w:cs="Times New Roman"/>
                <w:b/>
                <w:sz w:val="20"/>
                <w:szCs w:val="20"/>
              </w:rPr>
              <w:t>3</w:t>
            </w:r>
          </w:p>
          <w:p w14:paraId="302DAEDB" w14:textId="77777777" w:rsidR="00AD48C2" w:rsidRPr="00B327ED" w:rsidRDefault="00AD48C2" w:rsidP="00CA72E7">
            <w:pPr>
              <w:ind w:left="-108"/>
              <w:rPr>
                <w:rFonts w:ascii="Times New Roman" w:hAnsi="Times New Roman" w:cs="Times New Roman"/>
                <w:b/>
                <w:sz w:val="20"/>
                <w:szCs w:val="20"/>
              </w:rPr>
            </w:pPr>
            <w:r w:rsidRPr="00B327ED">
              <w:rPr>
                <w:rFonts w:ascii="Times New Roman" w:hAnsi="Times New Roman" w:cs="Times New Roman"/>
                <w:i/>
                <w:sz w:val="20"/>
                <w:szCs w:val="20"/>
              </w:rPr>
              <w:t xml:space="preserve">Fixed effect estimates of evictions and low-income housing. Dependent variable = </w:t>
            </w:r>
            <w:r>
              <w:rPr>
                <w:rFonts w:ascii="Times New Roman" w:hAnsi="Times New Roman" w:cs="Times New Roman"/>
                <w:sz w:val="20"/>
                <w:szCs w:val="20"/>
              </w:rPr>
              <w:t>Number of Evictions</w:t>
            </w:r>
          </w:p>
        </w:tc>
      </w:tr>
      <w:tr w:rsidR="00AD48C2" w:rsidRPr="00B327ED" w14:paraId="2C2A89F1" w14:textId="77777777" w:rsidTr="00AD48C2">
        <w:trPr>
          <w:trHeight w:val="288"/>
        </w:trPr>
        <w:tc>
          <w:tcPr>
            <w:tcW w:w="2700" w:type="dxa"/>
            <w:tcBorders>
              <w:top w:val="single" w:sz="4" w:space="0" w:color="auto"/>
              <w:left w:val="nil"/>
              <w:bottom w:val="single" w:sz="4" w:space="0" w:color="auto"/>
              <w:right w:val="nil"/>
            </w:tcBorders>
            <w:vAlign w:val="center"/>
          </w:tcPr>
          <w:p w14:paraId="1E22ED6D"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Variables</w:t>
            </w:r>
          </w:p>
        </w:tc>
        <w:tc>
          <w:tcPr>
            <w:tcW w:w="2993" w:type="dxa"/>
            <w:tcBorders>
              <w:top w:val="single" w:sz="4" w:space="0" w:color="auto"/>
              <w:left w:val="nil"/>
              <w:bottom w:val="single" w:sz="4" w:space="0" w:color="auto"/>
              <w:right w:val="nil"/>
            </w:tcBorders>
            <w:vAlign w:val="center"/>
          </w:tcPr>
          <w:p w14:paraId="3CFB40DF" w14:textId="77777777" w:rsidR="00AD48C2" w:rsidRPr="00B327ED" w:rsidRDefault="00AD48C2" w:rsidP="00AD48C2">
            <w:pPr>
              <w:rPr>
                <w:rFonts w:ascii="Times New Roman" w:hAnsi="Times New Roman" w:cs="Times New Roman"/>
                <w:sz w:val="18"/>
                <w:szCs w:val="18"/>
              </w:rPr>
            </w:pPr>
            <w:r w:rsidRPr="00B327ED">
              <w:rPr>
                <w:rFonts w:ascii="Times New Roman" w:hAnsi="Times New Roman" w:cs="Times New Roman"/>
                <w:sz w:val="18"/>
                <w:szCs w:val="18"/>
              </w:rPr>
              <w:t>Variable Description</w:t>
            </w:r>
          </w:p>
        </w:tc>
        <w:tc>
          <w:tcPr>
            <w:tcW w:w="1226" w:type="dxa"/>
            <w:tcBorders>
              <w:top w:val="single" w:sz="4" w:space="0" w:color="auto"/>
              <w:left w:val="nil"/>
              <w:bottom w:val="single" w:sz="4" w:space="0" w:color="auto"/>
              <w:right w:val="nil"/>
            </w:tcBorders>
            <w:vAlign w:val="center"/>
          </w:tcPr>
          <w:p w14:paraId="0DF46F6D"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(1)</w:t>
            </w:r>
          </w:p>
        </w:tc>
        <w:tc>
          <w:tcPr>
            <w:tcW w:w="1242" w:type="dxa"/>
            <w:tcBorders>
              <w:top w:val="single" w:sz="4" w:space="0" w:color="auto"/>
              <w:left w:val="nil"/>
              <w:bottom w:val="single" w:sz="4" w:space="0" w:color="auto"/>
              <w:right w:val="nil"/>
            </w:tcBorders>
            <w:vAlign w:val="center"/>
          </w:tcPr>
          <w:p w14:paraId="756355DA"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(2)</w:t>
            </w:r>
          </w:p>
        </w:tc>
        <w:tc>
          <w:tcPr>
            <w:tcW w:w="1199" w:type="dxa"/>
            <w:tcBorders>
              <w:top w:val="single" w:sz="4" w:space="0" w:color="auto"/>
              <w:left w:val="nil"/>
              <w:bottom w:val="single" w:sz="4" w:space="0" w:color="auto"/>
              <w:right w:val="nil"/>
            </w:tcBorders>
            <w:vAlign w:val="center"/>
          </w:tcPr>
          <w:p w14:paraId="7EE1814E" w14:textId="77777777" w:rsidR="00AD48C2" w:rsidRPr="00B327ED" w:rsidRDefault="00AD48C2" w:rsidP="00AD48C2">
            <w:pPr>
              <w:rPr>
                <w:rFonts w:ascii="Times New Roman" w:hAnsi="Times New Roman" w:cs="Times New Roman"/>
                <w:sz w:val="18"/>
                <w:szCs w:val="18"/>
              </w:rPr>
            </w:pPr>
            <w:r>
              <w:rPr>
                <w:rFonts w:ascii="Times New Roman" w:hAnsi="Times New Roman" w:cs="Times New Roman"/>
                <w:sz w:val="18"/>
                <w:szCs w:val="18"/>
              </w:rPr>
              <w:t>(3)</w:t>
            </w:r>
          </w:p>
        </w:tc>
      </w:tr>
      <w:tr w:rsidR="00AD48C2" w:rsidRPr="00B327ED" w14:paraId="4AC7D6B2" w14:textId="77777777" w:rsidTr="00AD48C2">
        <w:tc>
          <w:tcPr>
            <w:tcW w:w="2700" w:type="dxa"/>
            <w:tcBorders>
              <w:top w:val="single" w:sz="4" w:space="0" w:color="auto"/>
              <w:left w:val="nil"/>
              <w:bottom w:val="nil"/>
              <w:right w:val="nil"/>
            </w:tcBorders>
          </w:tcPr>
          <w:p w14:paraId="76FABF16" w14:textId="77777777" w:rsidR="00AD48C2" w:rsidRPr="00B327ED" w:rsidRDefault="001D484D" w:rsidP="00CA72E7">
            <w:pPr>
              <w:rPr>
                <w:rFonts w:ascii="Times New Roman" w:hAnsi="Times New Roman" w:cs="Times New Roman"/>
                <w:sz w:val="18"/>
                <w:szCs w:val="18"/>
              </w:rPr>
            </w:pPr>
            <w:proofErr w:type="spellStart"/>
            <w:r>
              <w:rPr>
                <w:rFonts w:ascii="Times New Roman" w:hAnsi="Times New Roman" w:cs="Times New Roman"/>
                <w:sz w:val="18"/>
                <w:szCs w:val="18"/>
              </w:rPr>
              <w:t>cuml_units</w:t>
            </w:r>
            <w:proofErr w:type="spellEnd"/>
          </w:p>
        </w:tc>
        <w:tc>
          <w:tcPr>
            <w:tcW w:w="2993" w:type="dxa"/>
            <w:tcBorders>
              <w:top w:val="single" w:sz="4" w:space="0" w:color="auto"/>
              <w:left w:val="nil"/>
              <w:bottom w:val="nil"/>
              <w:right w:val="nil"/>
            </w:tcBorders>
          </w:tcPr>
          <w:p w14:paraId="0C819559"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Low-income units</w:t>
            </w:r>
          </w:p>
        </w:tc>
        <w:tc>
          <w:tcPr>
            <w:tcW w:w="1226" w:type="dxa"/>
            <w:tcBorders>
              <w:top w:val="single" w:sz="4" w:space="0" w:color="auto"/>
              <w:left w:val="nil"/>
              <w:bottom w:val="nil"/>
              <w:right w:val="nil"/>
            </w:tcBorders>
          </w:tcPr>
          <w:p w14:paraId="624B2F9A"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0.0737**</w:t>
            </w:r>
          </w:p>
        </w:tc>
        <w:tc>
          <w:tcPr>
            <w:tcW w:w="1242" w:type="dxa"/>
            <w:tcBorders>
              <w:top w:val="single" w:sz="4" w:space="0" w:color="auto"/>
              <w:left w:val="nil"/>
              <w:bottom w:val="nil"/>
              <w:right w:val="nil"/>
            </w:tcBorders>
          </w:tcPr>
          <w:p w14:paraId="796E1097"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0.0773***</w:t>
            </w:r>
          </w:p>
        </w:tc>
        <w:tc>
          <w:tcPr>
            <w:tcW w:w="1199" w:type="dxa"/>
            <w:tcBorders>
              <w:top w:val="single" w:sz="4" w:space="0" w:color="auto"/>
              <w:left w:val="nil"/>
              <w:bottom w:val="nil"/>
              <w:right w:val="nil"/>
            </w:tcBorders>
            <w:vAlign w:val="center"/>
          </w:tcPr>
          <w:p w14:paraId="0E7F7568" w14:textId="77777777" w:rsidR="00AD48C2" w:rsidRPr="00B327ED" w:rsidRDefault="001D484D" w:rsidP="00AD48C2">
            <w:pPr>
              <w:rPr>
                <w:rFonts w:ascii="Times New Roman" w:hAnsi="Times New Roman" w:cs="Times New Roman"/>
                <w:sz w:val="18"/>
                <w:szCs w:val="18"/>
              </w:rPr>
            </w:pPr>
            <w:r>
              <w:rPr>
                <w:rFonts w:ascii="Times New Roman" w:hAnsi="Times New Roman" w:cs="Times New Roman"/>
                <w:sz w:val="18"/>
                <w:szCs w:val="18"/>
              </w:rPr>
              <w:t>0.0385***</w:t>
            </w:r>
          </w:p>
        </w:tc>
      </w:tr>
      <w:tr w:rsidR="00AD48C2" w:rsidRPr="00B327ED" w14:paraId="4CB6529C" w14:textId="77777777" w:rsidTr="00AD48C2">
        <w:tc>
          <w:tcPr>
            <w:tcW w:w="2700" w:type="dxa"/>
            <w:tcBorders>
              <w:top w:val="nil"/>
              <w:left w:val="nil"/>
              <w:bottom w:val="nil"/>
              <w:right w:val="nil"/>
            </w:tcBorders>
          </w:tcPr>
          <w:p w14:paraId="6F84422D" w14:textId="77777777" w:rsidR="00AD48C2" w:rsidRPr="00B327ED" w:rsidRDefault="00AD48C2" w:rsidP="00CA72E7">
            <w:pPr>
              <w:rPr>
                <w:rFonts w:ascii="Times New Roman" w:hAnsi="Times New Roman" w:cs="Times New Roman"/>
                <w:sz w:val="18"/>
                <w:szCs w:val="18"/>
              </w:rPr>
            </w:pPr>
          </w:p>
        </w:tc>
        <w:tc>
          <w:tcPr>
            <w:tcW w:w="2993" w:type="dxa"/>
            <w:tcBorders>
              <w:top w:val="nil"/>
              <w:left w:val="nil"/>
              <w:bottom w:val="nil"/>
              <w:right w:val="nil"/>
            </w:tcBorders>
          </w:tcPr>
          <w:p w14:paraId="3FEBBE8B" w14:textId="77777777" w:rsidR="00AD48C2" w:rsidRPr="00B327ED" w:rsidRDefault="00AD48C2" w:rsidP="00CA72E7">
            <w:pPr>
              <w:rPr>
                <w:rFonts w:ascii="Times New Roman" w:hAnsi="Times New Roman" w:cs="Times New Roman"/>
                <w:sz w:val="18"/>
                <w:szCs w:val="18"/>
              </w:rPr>
            </w:pPr>
          </w:p>
        </w:tc>
        <w:tc>
          <w:tcPr>
            <w:tcW w:w="1226" w:type="dxa"/>
            <w:tcBorders>
              <w:top w:val="nil"/>
              <w:left w:val="nil"/>
              <w:bottom w:val="nil"/>
              <w:right w:val="nil"/>
            </w:tcBorders>
          </w:tcPr>
          <w:p w14:paraId="51F9C09F"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[0.0094]</w:t>
            </w:r>
          </w:p>
        </w:tc>
        <w:tc>
          <w:tcPr>
            <w:tcW w:w="1242" w:type="dxa"/>
            <w:tcBorders>
              <w:top w:val="nil"/>
              <w:left w:val="nil"/>
              <w:bottom w:val="nil"/>
              <w:right w:val="nil"/>
            </w:tcBorders>
          </w:tcPr>
          <w:p w14:paraId="755F83B4"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[0.0095]</w:t>
            </w:r>
          </w:p>
        </w:tc>
        <w:tc>
          <w:tcPr>
            <w:tcW w:w="1199" w:type="dxa"/>
            <w:tcBorders>
              <w:top w:val="nil"/>
              <w:left w:val="nil"/>
              <w:bottom w:val="nil"/>
              <w:right w:val="nil"/>
            </w:tcBorders>
            <w:vAlign w:val="center"/>
          </w:tcPr>
          <w:p w14:paraId="6C4C7877" w14:textId="77777777" w:rsidR="00AD48C2" w:rsidRPr="00B327ED" w:rsidRDefault="001D484D" w:rsidP="00AD48C2">
            <w:pPr>
              <w:rPr>
                <w:rFonts w:ascii="Times New Roman" w:hAnsi="Times New Roman" w:cs="Times New Roman"/>
                <w:sz w:val="18"/>
                <w:szCs w:val="18"/>
              </w:rPr>
            </w:pPr>
            <w:r>
              <w:rPr>
                <w:rFonts w:ascii="Times New Roman" w:hAnsi="Times New Roman" w:cs="Times New Roman"/>
                <w:sz w:val="18"/>
                <w:szCs w:val="18"/>
              </w:rPr>
              <w:t>[0.0074]</w:t>
            </w:r>
          </w:p>
        </w:tc>
      </w:tr>
      <w:tr w:rsidR="00AD48C2" w:rsidRPr="00B327ED" w14:paraId="5A9A73B2" w14:textId="77777777" w:rsidTr="00AD48C2">
        <w:tc>
          <w:tcPr>
            <w:tcW w:w="2700" w:type="dxa"/>
            <w:tcBorders>
              <w:top w:val="nil"/>
              <w:left w:val="nil"/>
              <w:bottom w:val="nil"/>
              <w:right w:val="nil"/>
            </w:tcBorders>
          </w:tcPr>
          <w:p w14:paraId="098BFB60" w14:textId="77777777" w:rsidR="00AD48C2" w:rsidRPr="00B327ED" w:rsidRDefault="00AD48C2" w:rsidP="00CA72E7">
            <w:pPr>
              <w:rPr>
                <w:rFonts w:ascii="Times New Roman" w:hAnsi="Times New Roman" w:cs="Times New Roman"/>
                <w:sz w:val="18"/>
                <w:szCs w:val="18"/>
              </w:rPr>
            </w:pPr>
            <w:proofErr w:type="spellStart"/>
            <w:proofErr w:type="gramStart"/>
            <w:r w:rsidRPr="00B327ED">
              <w:rPr>
                <w:rFonts w:ascii="Times New Roman" w:hAnsi="Times New Roman" w:cs="Times New Roman"/>
                <w:sz w:val="18"/>
                <w:szCs w:val="18"/>
              </w:rPr>
              <w:t>pov.rate</w:t>
            </w:r>
            <w:proofErr w:type="spellEnd"/>
            <w:proofErr w:type="gramEnd"/>
          </w:p>
        </w:tc>
        <w:tc>
          <w:tcPr>
            <w:tcW w:w="2993" w:type="dxa"/>
            <w:tcBorders>
              <w:top w:val="nil"/>
              <w:left w:val="nil"/>
              <w:bottom w:val="nil"/>
              <w:right w:val="nil"/>
            </w:tcBorders>
          </w:tcPr>
          <w:p w14:paraId="5A37370A"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Poverty Rate</w:t>
            </w:r>
          </w:p>
        </w:tc>
        <w:tc>
          <w:tcPr>
            <w:tcW w:w="1226" w:type="dxa"/>
            <w:tcBorders>
              <w:top w:val="nil"/>
              <w:left w:val="nil"/>
              <w:bottom w:val="nil"/>
              <w:right w:val="nil"/>
            </w:tcBorders>
          </w:tcPr>
          <w:p w14:paraId="13475812" w14:textId="77777777" w:rsidR="00AD48C2" w:rsidRPr="00B327ED" w:rsidRDefault="00AD48C2" w:rsidP="00CA72E7">
            <w:pPr>
              <w:rPr>
                <w:rFonts w:ascii="Times New Roman" w:hAnsi="Times New Roman" w:cs="Times New Roman"/>
                <w:sz w:val="18"/>
                <w:szCs w:val="18"/>
              </w:rPr>
            </w:pPr>
          </w:p>
        </w:tc>
        <w:tc>
          <w:tcPr>
            <w:tcW w:w="1242" w:type="dxa"/>
            <w:tcBorders>
              <w:top w:val="nil"/>
              <w:left w:val="nil"/>
              <w:bottom w:val="nil"/>
              <w:right w:val="nil"/>
            </w:tcBorders>
          </w:tcPr>
          <w:p w14:paraId="330A716C"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4.3978*</w:t>
            </w:r>
          </w:p>
        </w:tc>
        <w:tc>
          <w:tcPr>
            <w:tcW w:w="1199" w:type="dxa"/>
            <w:tcBorders>
              <w:top w:val="nil"/>
              <w:left w:val="nil"/>
              <w:bottom w:val="nil"/>
              <w:right w:val="nil"/>
            </w:tcBorders>
            <w:vAlign w:val="center"/>
          </w:tcPr>
          <w:p w14:paraId="32AE0FA1" w14:textId="77777777" w:rsidR="00AD48C2" w:rsidRPr="00B327ED" w:rsidRDefault="001D484D" w:rsidP="00AD48C2">
            <w:pPr>
              <w:rPr>
                <w:rFonts w:ascii="Times New Roman" w:hAnsi="Times New Roman" w:cs="Times New Roman"/>
                <w:sz w:val="18"/>
                <w:szCs w:val="18"/>
              </w:rPr>
            </w:pPr>
            <w:r>
              <w:rPr>
                <w:rFonts w:ascii="Times New Roman" w:hAnsi="Times New Roman" w:cs="Times New Roman"/>
                <w:sz w:val="18"/>
                <w:szCs w:val="18"/>
              </w:rPr>
              <w:t>0.6459</w:t>
            </w:r>
          </w:p>
        </w:tc>
      </w:tr>
      <w:tr w:rsidR="00AD48C2" w:rsidRPr="00B327ED" w14:paraId="1EDC62FC" w14:textId="77777777" w:rsidTr="00AD48C2">
        <w:tc>
          <w:tcPr>
            <w:tcW w:w="2700" w:type="dxa"/>
            <w:tcBorders>
              <w:top w:val="nil"/>
              <w:left w:val="nil"/>
              <w:bottom w:val="nil"/>
              <w:right w:val="nil"/>
            </w:tcBorders>
          </w:tcPr>
          <w:p w14:paraId="72555631" w14:textId="77777777" w:rsidR="00AD48C2" w:rsidRPr="00B327ED" w:rsidRDefault="00AD48C2" w:rsidP="00CA72E7">
            <w:pPr>
              <w:rPr>
                <w:rFonts w:ascii="Times New Roman" w:hAnsi="Times New Roman" w:cs="Times New Roman"/>
                <w:sz w:val="18"/>
                <w:szCs w:val="18"/>
              </w:rPr>
            </w:pPr>
          </w:p>
        </w:tc>
        <w:tc>
          <w:tcPr>
            <w:tcW w:w="2993" w:type="dxa"/>
            <w:tcBorders>
              <w:top w:val="nil"/>
              <w:left w:val="nil"/>
              <w:bottom w:val="nil"/>
              <w:right w:val="nil"/>
            </w:tcBorders>
          </w:tcPr>
          <w:p w14:paraId="4ED89088" w14:textId="77777777" w:rsidR="00AD48C2" w:rsidRPr="00B327ED" w:rsidRDefault="00AD48C2" w:rsidP="00CA72E7">
            <w:pPr>
              <w:rPr>
                <w:rFonts w:ascii="Times New Roman" w:hAnsi="Times New Roman" w:cs="Times New Roman"/>
                <w:sz w:val="18"/>
                <w:szCs w:val="18"/>
              </w:rPr>
            </w:pPr>
          </w:p>
        </w:tc>
        <w:tc>
          <w:tcPr>
            <w:tcW w:w="1226" w:type="dxa"/>
            <w:tcBorders>
              <w:top w:val="nil"/>
              <w:left w:val="nil"/>
              <w:bottom w:val="nil"/>
              <w:right w:val="nil"/>
            </w:tcBorders>
          </w:tcPr>
          <w:p w14:paraId="652D9FA0" w14:textId="77777777" w:rsidR="00AD48C2" w:rsidRPr="00B327ED" w:rsidRDefault="00AD48C2" w:rsidP="00CA72E7">
            <w:pPr>
              <w:rPr>
                <w:rFonts w:ascii="Times New Roman" w:hAnsi="Times New Roman" w:cs="Times New Roman"/>
                <w:sz w:val="18"/>
                <w:szCs w:val="18"/>
              </w:rPr>
            </w:pPr>
          </w:p>
        </w:tc>
        <w:tc>
          <w:tcPr>
            <w:tcW w:w="1242" w:type="dxa"/>
            <w:tcBorders>
              <w:top w:val="nil"/>
              <w:left w:val="nil"/>
              <w:bottom w:val="nil"/>
              <w:right w:val="nil"/>
            </w:tcBorders>
          </w:tcPr>
          <w:p w14:paraId="22519E62"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[1.7561]</w:t>
            </w:r>
          </w:p>
        </w:tc>
        <w:tc>
          <w:tcPr>
            <w:tcW w:w="1199" w:type="dxa"/>
            <w:tcBorders>
              <w:top w:val="nil"/>
              <w:left w:val="nil"/>
              <w:bottom w:val="nil"/>
              <w:right w:val="nil"/>
            </w:tcBorders>
            <w:vAlign w:val="center"/>
          </w:tcPr>
          <w:p w14:paraId="3035E69A" w14:textId="77777777" w:rsidR="00AD48C2" w:rsidRPr="00B327ED" w:rsidRDefault="001D484D" w:rsidP="00AD48C2">
            <w:pPr>
              <w:rPr>
                <w:rFonts w:ascii="Times New Roman" w:hAnsi="Times New Roman" w:cs="Times New Roman"/>
                <w:sz w:val="18"/>
                <w:szCs w:val="18"/>
              </w:rPr>
            </w:pPr>
            <w:r>
              <w:rPr>
                <w:rFonts w:ascii="Times New Roman" w:hAnsi="Times New Roman" w:cs="Times New Roman"/>
                <w:sz w:val="18"/>
                <w:szCs w:val="18"/>
              </w:rPr>
              <w:t>[1.2912]</w:t>
            </w:r>
          </w:p>
        </w:tc>
      </w:tr>
      <w:tr w:rsidR="00AD48C2" w:rsidRPr="00B327ED" w14:paraId="2B86FBC0" w14:textId="77777777" w:rsidTr="00AD48C2">
        <w:tc>
          <w:tcPr>
            <w:tcW w:w="2700" w:type="dxa"/>
            <w:tcBorders>
              <w:top w:val="nil"/>
              <w:left w:val="nil"/>
              <w:bottom w:val="nil"/>
              <w:right w:val="nil"/>
            </w:tcBorders>
          </w:tcPr>
          <w:p w14:paraId="07CE2A81"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Log median HH income</w:t>
            </w:r>
          </w:p>
        </w:tc>
        <w:tc>
          <w:tcPr>
            <w:tcW w:w="2993" w:type="dxa"/>
            <w:tcBorders>
              <w:top w:val="nil"/>
              <w:left w:val="nil"/>
              <w:bottom w:val="nil"/>
              <w:right w:val="nil"/>
            </w:tcBorders>
          </w:tcPr>
          <w:p w14:paraId="0B4138E2"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Log median HH income</w:t>
            </w:r>
          </w:p>
        </w:tc>
        <w:tc>
          <w:tcPr>
            <w:tcW w:w="1226" w:type="dxa"/>
            <w:tcBorders>
              <w:top w:val="nil"/>
              <w:left w:val="nil"/>
              <w:bottom w:val="nil"/>
              <w:right w:val="nil"/>
            </w:tcBorders>
          </w:tcPr>
          <w:p w14:paraId="602FFB69" w14:textId="77777777" w:rsidR="00AD48C2" w:rsidRPr="00B327ED" w:rsidRDefault="00AD48C2" w:rsidP="00CA72E7">
            <w:pPr>
              <w:rPr>
                <w:rFonts w:ascii="Times New Roman" w:hAnsi="Times New Roman" w:cs="Times New Roman"/>
                <w:sz w:val="18"/>
                <w:szCs w:val="18"/>
              </w:rPr>
            </w:pPr>
          </w:p>
        </w:tc>
        <w:tc>
          <w:tcPr>
            <w:tcW w:w="1242" w:type="dxa"/>
            <w:tcBorders>
              <w:top w:val="nil"/>
              <w:left w:val="nil"/>
              <w:bottom w:val="nil"/>
              <w:right w:val="nil"/>
            </w:tcBorders>
          </w:tcPr>
          <w:p w14:paraId="2BCCC5A9"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-80.911</w:t>
            </w:r>
            <w:r w:rsidRPr="00B327ED">
              <w:rPr>
                <w:rFonts w:ascii="Times New Roman" w:hAnsi="Times New Roman" w:cs="Times New Roman"/>
                <w:b/>
                <w:sz w:val="18"/>
                <w:szCs w:val="18"/>
              </w:rPr>
              <w:t>.</w:t>
            </w:r>
          </w:p>
        </w:tc>
        <w:tc>
          <w:tcPr>
            <w:tcW w:w="1199" w:type="dxa"/>
            <w:tcBorders>
              <w:top w:val="nil"/>
              <w:left w:val="nil"/>
              <w:bottom w:val="nil"/>
              <w:right w:val="nil"/>
            </w:tcBorders>
            <w:vAlign w:val="center"/>
          </w:tcPr>
          <w:p w14:paraId="69C7A80D" w14:textId="77777777" w:rsidR="00AD48C2" w:rsidRPr="00B327ED" w:rsidRDefault="001D484D" w:rsidP="00AD48C2">
            <w:pPr>
              <w:rPr>
                <w:rFonts w:ascii="Times New Roman" w:hAnsi="Times New Roman" w:cs="Times New Roman"/>
                <w:sz w:val="18"/>
                <w:szCs w:val="18"/>
              </w:rPr>
            </w:pPr>
            <w:r>
              <w:rPr>
                <w:rFonts w:ascii="Times New Roman" w:hAnsi="Times New Roman" w:cs="Times New Roman"/>
                <w:sz w:val="18"/>
                <w:szCs w:val="18"/>
              </w:rPr>
              <w:t>-12.4582</w:t>
            </w:r>
          </w:p>
        </w:tc>
      </w:tr>
      <w:tr w:rsidR="00AD48C2" w:rsidRPr="00B327ED" w14:paraId="1AE75B17" w14:textId="77777777" w:rsidTr="00AD48C2">
        <w:tc>
          <w:tcPr>
            <w:tcW w:w="2700" w:type="dxa"/>
            <w:tcBorders>
              <w:top w:val="nil"/>
              <w:left w:val="nil"/>
              <w:bottom w:val="nil"/>
              <w:right w:val="nil"/>
            </w:tcBorders>
          </w:tcPr>
          <w:p w14:paraId="7474C658" w14:textId="77777777" w:rsidR="00AD48C2" w:rsidRPr="00B327ED" w:rsidRDefault="00AD48C2" w:rsidP="00CA72E7">
            <w:pPr>
              <w:rPr>
                <w:rFonts w:ascii="Times New Roman" w:hAnsi="Times New Roman" w:cs="Times New Roman"/>
                <w:sz w:val="18"/>
                <w:szCs w:val="18"/>
              </w:rPr>
            </w:pPr>
          </w:p>
        </w:tc>
        <w:tc>
          <w:tcPr>
            <w:tcW w:w="2993" w:type="dxa"/>
            <w:tcBorders>
              <w:top w:val="nil"/>
              <w:left w:val="nil"/>
              <w:bottom w:val="nil"/>
              <w:right w:val="nil"/>
            </w:tcBorders>
          </w:tcPr>
          <w:p w14:paraId="3EEA16C1" w14:textId="77777777" w:rsidR="00AD48C2" w:rsidRPr="00B327ED" w:rsidRDefault="00AD48C2" w:rsidP="00CA72E7">
            <w:pPr>
              <w:rPr>
                <w:rFonts w:ascii="Times New Roman" w:hAnsi="Times New Roman" w:cs="Times New Roman"/>
                <w:sz w:val="18"/>
                <w:szCs w:val="18"/>
              </w:rPr>
            </w:pPr>
          </w:p>
        </w:tc>
        <w:tc>
          <w:tcPr>
            <w:tcW w:w="1226" w:type="dxa"/>
            <w:tcBorders>
              <w:top w:val="nil"/>
              <w:left w:val="nil"/>
              <w:bottom w:val="nil"/>
              <w:right w:val="nil"/>
            </w:tcBorders>
          </w:tcPr>
          <w:p w14:paraId="3577BC76" w14:textId="77777777" w:rsidR="00AD48C2" w:rsidRPr="00B327ED" w:rsidRDefault="00AD48C2" w:rsidP="00CA72E7">
            <w:pPr>
              <w:rPr>
                <w:rFonts w:ascii="Times New Roman" w:hAnsi="Times New Roman" w:cs="Times New Roman"/>
                <w:sz w:val="18"/>
                <w:szCs w:val="18"/>
              </w:rPr>
            </w:pPr>
          </w:p>
        </w:tc>
        <w:tc>
          <w:tcPr>
            <w:tcW w:w="1242" w:type="dxa"/>
            <w:tcBorders>
              <w:top w:val="nil"/>
              <w:left w:val="nil"/>
              <w:bottom w:val="nil"/>
              <w:right w:val="nil"/>
            </w:tcBorders>
          </w:tcPr>
          <w:p w14:paraId="4D85C63F"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[75.048]</w:t>
            </w:r>
          </w:p>
        </w:tc>
        <w:tc>
          <w:tcPr>
            <w:tcW w:w="1199" w:type="dxa"/>
            <w:tcBorders>
              <w:top w:val="nil"/>
              <w:left w:val="nil"/>
              <w:bottom w:val="nil"/>
              <w:right w:val="nil"/>
            </w:tcBorders>
            <w:vAlign w:val="center"/>
          </w:tcPr>
          <w:p w14:paraId="20132E63" w14:textId="77777777" w:rsidR="00AD48C2" w:rsidRPr="00B327ED" w:rsidRDefault="001D484D" w:rsidP="00AD48C2">
            <w:pPr>
              <w:rPr>
                <w:rFonts w:ascii="Times New Roman" w:hAnsi="Times New Roman" w:cs="Times New Roman"/>
                <w:sz w:val="18"/>
                <w:szCs w:val="18"/>
              </w:rPr>
            </w:pPr>
            <w:r>
              <w:rPr>
                <w:rFonts w:ascii="Times New Roman" w:hAnsi="Times New Roman" w:cs="Times New Roman"/>
                <w:sz w:val="18"/>
                <w:szCs w:val="18"/>
              </w:rPr>
              <w:t>[54.4653]</w:t>
            </w:r>
          </w:p>
        </w:tc>
      </w:tr>
      <w:tr w:rsidR="00AD48C2" w:rsidRPr="00B327ED" w14:paraId="1A92035A" w14:textId="77777777" w:rsidTr="00AD48C2">
        <w:tc>
          <w:tcPr>
            <w:tcW w:w="2700" w:type="dxa"/>
            <w:tcBorders>
              <w:top w:val="nil"/>
              <w:left w:val="nil"/>
              <w:bottom w:val="nil"/>
              <w:right w:val="nil"/>
            </w:tcBorders>
          </w:tcPr>
          <w:p w14:paraId="389E5401"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Log population</w:t>
            </w:r>
          </w:p>
        </w:tc>
        <w:tc>
          <w:tcPr>
            <w:tcW w:w="2993" w:type="dxa"/>
            <w:tcBorders>
              <w:top w:val="nil"/>
              <w:left w:val="nil"/>
              <w:bottom w:val="nil"/>
              <w:right w:val="nil"/>
            </w:tcBorders>
          </w:tcPr>
          <w:p w14:paraId="2D096B41"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Log population</w:t>
            </w:r>
          </w:p>
        </w:tc>
        <w:tc>
          <w:tcPr>
            <w:tcW w:w="1226" w:type="dxa"/>
            <w:tcBorders>
              <w:top w:val="nil"/>
              <w:left w:val="nil"/>
              <w:bottom w:val="nil"/>
              <w:right w:val="nil"/>
            </w:tcBorders>
          </w:tcPr>
          <w:p w14:paraId="5D645BA0" w14:textId="77777777" w:rsidR="00AD48C2" w:rsidRPr="00B327ED" w:rsidRDefault="00AD48C2" w:rsidP="00CA72E7">
            <w:pPr>
              <w:rPr>
                <w:rFonts w:ascii="Times New Roman" w:hAnsi="Times New Roman" w:cs="Times New Roman"/>
                <w:sz w:val="18"/>
                <w:szCs w:val="18"/>
              </w:rPr>
            </w:pPr>
          </w:p>
        </w:tc>
        <w:tc>
          <w:tcPr>
            <w:tcW w:w="1242" w:type="dxa"/>
            <w:tcBorders>
              <w:top w:val="nil"/>
              <w:left w:val="nil"/>
              <w:bottom w:val="nil"/>
              <w:right w:val="nil"/>
            </w:tcBorders>
          </w:tcPr>
          <w:p w14:paraId="6E1C001C"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112.31</w:t>
            </w:r>
            <w:r w:rsidRPr="00B327ED">
              <w:rPr>
                <w:rFonts w:ascii="Times New Roman" w:hAnsi="Times New Roman" w:cs="Times New Roman"/>
                <w:b/>
                <w:sz w:val="18"/>
                <w:szCs w:val="18"/>
              </w:rPr>
              <w:t>.</w:t>
            </w:r>
          </w:p>
        </w:tc>
        <w:tc>
          <w:tcPr>
            <w:tcW w:w="1199" w:type="dxa"/>
            <w:tcBorders>
              <w:top w:val="nil"/>
              <w:left w:val="nil"/>
              <w:bottom w:val="nil"/>
              <w:right w:val="nil"/>
            </w:tcBorders>
            <w:vAlign w:val="center"/>
          </w:tcPr>
          <w:p w14:paraId="433D1D18" w14:textId="77777777" w:rsidR="00AD48C2" w:rsidRPr="00B327ED" w:rsidRDefault="001D484D" w:rsidP="00AD48C2">
            <w:pPr>
              <w:rPr>
                <w:rFonts w:ascii="Times New Roman" w:hAnsi="Times New Roman" w:cs="Times New Roman"/>
                <w:sz w:val="18"/>
                <w:szCs w:val="18"/>
              </w:rPr>
            </w:pPr>
            <w:r>
              <w:rPr>
                <w:rFonts w:ascii="Times New Roman" w:hAnsi="Times New Roman" w:cs="Times New Roman"/>
                <w:sz w:val="18"/>
                <w:szCs w:val="18"/>
              </w:rPr>
              <w:t>6.5674</w:t>
            </w:r>
          </w:p>
        </w:tc>
      </w:tr>
      <w:tr w:rsidR="00AD48C2" w:rsidRPr="00B327ED" w14:paraId="097E297B" w14:textId="77777777" w:rsidTr="00AD48C2">
        <w:tc>
          <w:tcPr>
            <w:tcW w:w="2700" w:type="dxa"/>
            <w:tcBorders>
              <w:top w:val="nil"/>
              <w:left w:val="nil"/>
              <w:bottom w:val="nil"/>
              <w:right w:val="nil"/>
            </w:tcBorders>
          </w:tcPr>
          <w:p w14:paraId="6E97612B" w14:textId="77777777" w:rsidR="00AD48C2" w:rsidRPr="00B327ED" w:rsidRDefault="00AD48C2" w:rsidP="00CA72E7">
            <w:pPr>
              <w:rPr>
                <w:rFonts w:ascii="Times New Roman" w:hAnsi="Times New Roman" w:cs="Times New Roman"/>
                <w:sz w:val="18"/>
                <w:szCs w:val="18"/>
              </w:rPr>
            </w:pPr>
          </w:p>
        </w:tc>
        <w:tc>
          <w:tcPr>
            <w:tcW w:w="2993" w:type="dxa"/>
            <w:tcBorders>
              <w:top w:val="nil"/>
              <w:left w:val="nil"/>
              <w:bottom w:val="nil"/>
              <w:right w:val="nil"/>
            </w:tcBorders>
          </w:tcPr>
          <w:p w14:paraId="4077A7C8" w14:textId="77777777" w:rsidR="00AD48C2" w:rsidRPr="00B327ED" w:rsidRDefault="00AD48C2" w:rsidP="00CA72E7">
            <w:pPr>
              <w:rPr>
                <w:rFonts w:ascii="Times New Roman" w:hAnsi="Times New Roman" w:cs="Times New Roman"/>
                <w:sz w:val="18"/>
                <w:szCs w:val="18"/>
              </w:rPr>
            </w:pPr>
          </w:p>
        </w:tc>
        <w:tc>
          <w:tcPr>
            <w:tcW w:w="1226" w:type="dxa"/>
            <w:tcBorders>
              <w:top w:val="nil"/>
              <w:left w:val="nil"/>
              <w:bottom w:val="nil"/>
              <w:right w:val="nil"/>
            </w:tcBorders>
          </w:tcPr>
          <w:p w14:paraId="496C728E" w14:textId="77777777" w:rsidR="00AD48C2" w:rsidRPr="00B327ED" w:rsidRDefault="00AD48C2" w:rsidP="00CA72E7">
            <w:pPr>
              <w:rPr>
                <w:rFonts w:ascii="Times New Roman" w:hAnsi="Times New Roman" w:cs="Times New Roman"/>
                <w:sz w:val="18"/>
                <w:szCs w:val="18"/>
              </w:rPr>
            </w:pPr>
          </w:p>
        </w:tc>
        <w:tc>
          <w:tcPr>
            <w:tcW w:w="1242" w:type="dxa"/>
            <w:tcBorders>
              <w:top w:val="nil"/>
              <w:left w:val="nil"/>
              <w:bottom w:val="nil"/>
              <w:right w:val="nil"/>
            </w:tcBorders>
          </w:tcPr>
          <w:p w14:paraId="607395B0" w14:textId="77777777" w:rsidR="00AD48C2" w:rsidRPr="00B327ED" w:rsidRDefault="00AD48C2" w:rsidP="00CA72E7">
            <w:pPr>
              <w:rPr>
                <w:rFonts w:ascii="Times New Roman" w:hAnsi="Times New Roman" w:cs="Times New Roman"/>
                <w:sz w:val="18"/>
                <w:szCs w:val="18"/>
              </w:rPr>
            </w:pPr>
            <w:r w:rsidRPr="00B327ED">
              <w:rPr>
                <w:rFonts w:ascii="Times New Roman" w:hAnsi="Times New Roman" w:cs="Times New Roman"/>
                <w:sz w:val="18"/>
                <w:szCs w:val="18"/>
              </w:rPr>
              <w:t>[60.693]</w:t>
            </w:r>
          </w:p>
        </w:tc>
        <w:tc>
          <w:tcPr>
            <w:tcW w:w="1199" w:type="dxa"/>
            <w:tcBorders>
              <w:top w:val="nil"/>
              <w:left w:val="nil"/>
              <w:bottom w:val="nil"/>
              <w:right w:val="nil"/>
            </w:tcBorders>
            <w:vAlign w:val="center"/>
          </w:tcPr>
          <w:p w14:paraId="4D42748D" w14:textId="77777777" w:rsidR="00AD48C2" w:rsidRPr="00B327ED" w:rsidRDefault="001D484D" w:rsidP="00AD48C2">
            <w:pPr>
              <w:rPr>
                <w:rFonts w:ascii="Times New Roman" w:hAnsi="Times New Roman" w:cs="Times New Roman"/>
                <w:sz w:val="18"/>
                <w:szCs w:val="18"/>
              </w:rPr>
            </w:pPr>
            <w:r>
              <w:rPr>
                <w:rFonts w:ascii="Times New Roman" w:hAnsi="Times New Roman" w:cs="Times New Roman"/>
                <w:sz w:val="18"/>
                <w:szCs w:val="18"/>
              </w:rPr>
              <w:t>[45.251]</w:t>
            </w:r>
          </w:p>
        </w:tc>
      </w:tr>
      <w:tr w:rsidR="001D484D" w:rsidRPr="00B327ED" w14:paraId="49F56647" w14:textId="77777777" w:rsidTr="00AD48C2">
        <w:tc>
          <w:tcPr>
            <w:tcW w:w="2700" w:type="dxa"/>
            <w:tcBorders>
              <w:top w:val="nil"/>
              <w:left w:val="nil"/>
              <w:bottom w:val="nil"/>
              <w:right w:val="nil"/>
            </w:tcBorders>
          </w:tcPr>
          <w:p w14:paraId="480A0882" w14:textId="77777777" w:rsidR="001D484D" w:rsidRPr="00B327ED" w:rsidRDefault="001D484D" w:rsidP="001D484D">
            <w:pPr>
              <w:rPr>
                <w:rFonts w:ascii="Times New Roman" w:hAnsi="Times New Roman" w:cs="Times New Roman"/>
                <w:sz w:val="18"/>
                <w:szCs w:val="18"/>
              </w:rPr>
            </w:pPr>
            <w:r w:rsidRPr="00B327ED">
              <w:rPr>
                <w:rFonts w:ascii="Times New Roman" w:hAnsi="Times New Roman" w:cs="Times New Roman"/>
                <w:sz w:val="18"/>
                <w:szCs w:val="18"/>
              </w:rPr>
              <w:t>Percent African American</w:t>
            </w:r>
          </w:p>
        </w:tc>
        <w:tc>
          <w:tcPr>
            <w:tcW w:w="2993" w:type="dxa"/>
            <w:tcBorders>
              <w:top w:val="nil"/>
              <w:left w:val="nil"/>
              <w:bottom w:val="nil"/>
              <w:right w:val="nil"/>
            </w:tcBorders>
          </w:tcPr>
          <w:p w14:paraId="43F53F3D" w14:textId="77777777" w:rsidR="001D484D" w:rsidRPr="00B327ED" w:rsidRDefault="001D484D" w:rsidP="001D484D">
            <w:pPr>
              <w:rPr>
                <w:rFonts w:ascii="Times New Roman" w:hAnsi="Times New Roman" w:cs="Times New Roman"/>
                <w:sz w:val="18"/>
                <w:szCs w:val="18"/>
              </w:rPr>
            </w:pPr>
            <w:r w:rsidRPr="00B327ED">
              <w:rPr>
                <w:rFonts w:ascii="Times New Roman" w:hAnsi="Times New Roman" w:cs="Times New Roman"/>
                <w:sz w:val="18"/>
                <w:szCs w:val="18"/>
              </w:rPr>
              <w:t>Percent African American</w:t>
            </w:r>
          </w:p>
        </w:tc>
        <w:tc>
          <w:tcPr>
            <w:tcW w:w="1226" w:type="dxa"/>
            <w:tcBorders>
              <w:top w:val="nil"/>
              <w:left w:val="nil"/>
              <w:bottom w:val="nil"/>
              <w:right w:val="nil"/>
            </w:tcBorders>
          </w:tcPr>
          <w:p w14:paraId="3287E319" w14:textId="77777777" w:rsidR="001D484D" w:rsidRPr="00B327ED" w:rsidRDefault="001D484D" w:rsidP="001D484D">
            <w:pPr>
              <w:rPr>
                <w:rFonts w:ascii="Times New Roman" w:hAnsi="Times New Roman" w:cs="Times New Roman"/>
                <w:sz w:val="18"/>
                <w:szCs w:val="18"/>
              </w:rPr>
            </w:pPr>
          </w:p>
        </w:tc>
        <w:tc>
          <w:tcPr>
            <w:tcW w:w="1242" w:type="dxa"/>
            <w:tcBorders>
              <w:top w:val="nil"/>
              <w:left w:val="nil"/>
              <w:bottom w:val="nil"/>
              <w:right w:val="nil"/>
            </w:tcBorders>
          </w:tcPr>
          <w:p w14:paraId="22200B0E" w14:textId="77777777" w:rsidR="001D484D" w:rsidRPr="00B327ED" w:rsidRDefault="001D484D" w:rsidP="001D484D">
            <w:pPr>
              <w:rPr>
                <w:rFonts w:ascii="Times New Roman" w:hAnsi="Times New Roman" w:cs="Times New Roman"/>
                <w:sz w:val="18"/>
                <w:szCs w:val="18"/>
              </w:rPr>
            </w:pPr>
            <w:r w:rsidRPr="00B327ED">
              <w:rPr>
                <w:rFonts w:ascii="Times New Roman" w:hAnsi="Times New Roman" w:cs="Times New Roman"/>
                <w:sz w:val="18"/>
                <w:szCs w:val="18"/>
              </w:rPr>
              <w:t>4.1991</w:t>
            </w:r>
          </w:p>
        </w:tc>
        <w:tc>
          <w:tcPr>
            <w:tcW w:w="1199" w:type="dxa"/>
            <w:tcBorders>
              <w:top w:val="nil"/>
              <w:left w:val="nil"/>
              <w:bottom w:val="nil"/>
              <w:right w:val="nil"/>
            </w:tcBorders>
            <w:vAlign w:val="center"/>
          </w:tcPr>
          <w:p w14:paraId="4254CAD0" w14:textId="77777777" w:rsidR="001D484D" w:rsidRPr="00B327ED" w:rsidRDefault="001D484D" w:rsidP="001D484D">
            <w:pPr>
              <w:rPr>
                <w:rFonts w:ascii="Times New Roman" w:hAnsi="Times New Roman" w:cs="Times New Roman"/>
                <w:sz w:val="18"/>
                <w:szCs w:val="18"/>
              </w:rPr>
            </w:pPr>
            <w:r>
              <w:rPr>
                <w:rFonts w:ascii="Times New Roman" w:hAnsi="Times New Roman" w:cs="Times New Roman"/>
                <w:sz w:val="18"/>
                <w:szCs w:val="18"/>
              </w:rPr>
              <w:t>-1.0736</w:t>
            </w:r>
          </w:p>
        </w:tc>
      </w:tr>
      <w:tr w:rsidR="001D484D" w:rsidRPr="00B327ED" w14:paraId="5F198EFC" w14:textId="77777777" w:rsidTr="00AD48C2">
        <w:tc>
          <w:tcPr>
            <w:tcW w:w="2700" w:type="dxa"/>
            <w:tcBorders>
              <w:top w:val="nil"/>
              <w:left w:val="nil"/>
              <w:bottom w:val="nil"/>
              <w:right w:val="nil"/>
            </w:tcBorders>
          </w:tcPr>
          <w:p w14:paraId="66618E07" w14:textId="77777777" w:rsidR="001D484D" w:rsidRPr="00B327ED" w:rsidRDefault="001D484D" w:rsidP="001D484D">
            <w:pPr>
              <w:rPr>
                <w:rFonts w:ascii="Times New Roman" w:hAnsi="Times New Roman" w:cs="Times New Roman"/>
                <w:sz w:val="18"/>
                <w:szCs w:val="18"/>
              </w:rPr>
            </w:pPr>
          </w:p>
        </w:tc>
        <w:tc>
          <w:tcPr>
            <w:tcW w:w="2993" w:type="dxa"/>
            <w:tcBorders>
              <w:top w:val="nil"/>
              <w:left w:val="nil"/>
              <w:bottom w:val="nil"/>
              <w:right w:val="nil"/>
            </w:tcBorders>
          </w:tcPr>
          <w:p w14:paraId="47929363" w14:textId="77777777" w:rsidR="001D484D" w:rsidRPr="00B327ED" w:rsidRDefault="001D484D" w:rsidP="001D484D">
            <w:pPr>
              <w:rPr>
                <w:rFonts w:ascii="Times New Roman" w:hAnsi="Times New Roman" w:cs="Times New Roman"/>
                <w:sz w:val="18"/>
                <w:szCs w:val="18"/>
              </w:rPr>
            </w:pPr>
          </w:p>
        </w:tc>
        <w:tc>
          <w:tcPr>
            <w:tcW w:w="1226" w:type="dxa"/>
            <w:tcBorders>
              <w:top w:val="nil"/>
              <w:left w:val="nil"/>
              <w:bottom w:val="nil"/>
              <w:right w:val="nil"/>
            </w:tcBorders>
          </w:tcPr>
          <w:p w14:paraId="5D2D0592" w14:textId="77777777" w:rsidR="001D484D" w:rsidRPr="00B327ED" w:rsidRDefault="001D484D" w:rsidP="001D484D">
            <w:pPr>
              <w:rPr>
                <w:rFonts w:ascii="Times New Roman" w:hAnsi="Times New Roman" w:cs="Times New Roman"/>
                <w:sz w:val="18"/>
                <w:szCs w:val="18"/>
              </w:rPr>
            </w:pPr>
          </w:p>
        </w:tc>
        <w:tc>
          <w:tcPr>
            <w:tcW w:w="1242" w:type="dxa"/>
            <w:tcBorders>
              <w:top w:val="nil"/>
              <w:left w:val="nil"/>
              <w:bottom w:val="nil"/>
              <w:right w:val="nil"/>
            </w:tcBorders>
          </w:tcPr>
          <w:p w14:paraId="233B8C41" w14:textId="77777777" w:rsidR="001D484D" w:rsidRPr="00B327ED" w:rsidRDefault="001D484D" w:rsidP="001D484D">
            <w:pPr>
              <w:rPr>
                <w:rFonts w:ascii="Times New Roman" w:hAnsi="Times New Roman" w:cs="Times New Roman"/>
                <w:sz w:val="18"/>
                <w:szCs w:val="18"/>
              </w:rPr>
            </w:pPr>
            <w:r w:rsidRPr="00B327ED">
              <w:rPr>
                <w:rFonts w:ascii="Times New Roman" w:hAnsi="Times New Roman" w:cs="Times New Roman"/>
                <w:sz w:val="18"/>
                <w:szCs w:val="18"/>
              </w:rPr>
              <w:t>[2.2867]</w:t>
            </w:r>
          </w:p>
        </w:tc>
        <w:tc>
          <w:tcPr>
            <w:tcW w:w="1199" w:type="dxa"/>
            <w:tcBorders>
              <w:top w:val="nil"/>
              <w:left w:val="nil"/>
              <w:bottom w:val="nil"/>
              <w:right w:val="nil"/>
            </w:tcBorders>
            <w:vAlign w:val="center"/>
          </w:tcPr>
          <w:p w14:paraId="3E8067C4" w14:textId="77777777" w:rsidR="001D484D" w:rsidRPr="00B327ED" w:rsidRDefault="001D484D" w:rsidP="001D484D">
            <w:pPr>
              <w:rPr>
                <w:rFonts w:ascii="Times New Roman" w:hAnsi="Times New Roman" w:cs="Times New Roman"/>
                <w:sz w:val="18"/>
                <w:szCs w:val="18"/>
              </w:rPr>
            </w:pPr>
            <w:r>
              <w:rPr>
                <w:rFonts w:ascii="Times New Roman" w:hAnsi="Times New Roman" w:cs="Times New Roman"/>
                <w:sz w:val="18"/>
                <w:szCs w:val="18"/>
              </w:rPr>
              <w:t>[1.6684]</w:t>
            </w:r>
          </w:p>
        </w:tc>
      </w:tr>
      <w:tr w:rsidR="001D484D" w:rsidRPr="00B327ED" w14:paraId="1CD37BCF" w14:textId="77777777" w:rsidTr="00AD48C2">
        <w:tc>
          <w:tcPr>
            <w:tcW w:w="2700" w:type="dxa"/>
            <w:tcBorders>
              <w:top w:val="nil"/>
              <w:left w:val="nil"/>
              <w:bottom w:val="nil"/>
              <w:right w:val="nil"/>
            </w:tcBorders>
          </w:tcPr>
          <w:p w14:paraId="728F5001" w14:textId="77777777" w:rsidR="001D484D" w:rsidRPr="00B327ED" w:rsidRDefault="001D484D" w:rsidP="001D484D">
            <w:pPr>
              <w:rPr>
                <w:rFonts w:ascii="Times New Roman" w:hAnsi="Times New Roman" w:cs="Times New Roman"/>
                <w:sz w:val="18"/>
                <w:szCs w:val="18"/>
              </w:rPr>
            </w:pPr>
            <w:r>
              <w:rPr>
                <w:rFonts w:ascii="Times New Roman" w:hAnsi="Times New Roman" w:cs="Times New Roman"/>
                <w:sz w:val="18"/>
                <w:szCs w:val="18"/>
              </w:rPr>
              <w:t>Eviction (lagged)</w:t>
            </w:r>
          </w:p>
        </w:tc>
        <w:tc>
          <w:tcPr>
            <w:tcW w:w="2993" w:type="dxa"/>
            <w:tcBorders>
              <w:top w:val="nil"/>
              <w:left w:val="nil"/>
              <w:bottom w:val="nil"/>
              <w:right w:val="nil"/>
            </w:tcBorders>
          </w:tcPr>
          <w:p w14:paraId="7EFD3D3B" w14:textId="77777777" w:rsidR="001D484D" w:rsidRPr="00B327ED" w:rsidRDefault="001D484D" w:rsidP="001D484D">
            <w:pPr>
              <w:rPr>
                <w:rFonts w:ascii="Times New Roman" w:hAnsi="Times New Roman" w:cs="Times New Roman"/>
                <w:sz w:val="18"/>
                <w:szCs w:val="18"/>
              </w:rPr>
            </w:pPr>
          </w:p>
        </w:tc>
        <w:tc>
          <w:tcPr>
            <w:tcW w:w="1226" w:type="dxa"/>
            <w:tcBorders>
              <w:top w:val="nil"/>
              <w:left w:val="nil"/>
              <w:bottom w:val="nil"/>
              <w:right w:val="nil"/>
            </w:tcBorders>
          </w:tcPr>
          <w:p w14:paraId="5422FED6" w14:textId="77777777" w:rsidR="001D484D" w:rsidRPr="00B327ED" w:rsidRDefault="001D484D" w:rsidP="001D484D">
            <w:pPr>
              <w:rPr>
                <w:rFonts w:ascii="Times New Roman" w:hAnsi="Times New Roman" w:cs="Times New Roman"/>
                <w:sz w:val="18"/>
                <w:szCs w:val="18"/>
              </w:rPr>
            </w:pPr>
          </w:p>
        </w:tc>
        <w:tc>
          <w:tcPr>
            <w:tcW w:w="1242" w:type="dxa"/>
            <w:tcBorders>
              <w:top w:val="nil"/>
              <w:left w:val="nil"/>
              <w:bottom w:val="nil"/>
              <w:right w:val="nil"/>
            </w:tcBorders>
          </w:tcPr>
          <w:p w14:paraId="5D974210" w14:textId="77777777" w:rsidR="001D484D" w:rsidRPr="00B327ED" w:rsidRDefault="001D484D" w:rsidP="001D484D">
            <w:pPr>
              <w:rPr>
                <w:rFonts w:ascii="Times New Roman" w:hAnsi="Times New Roman" w:cs="Times New Roman"/>
                <w:sz w:val="18"/>
                <w:szCs w:val="18"/>
              </w:rPr>
            </w:pPr>
          </w:p>
        </w:tc>
        <w:tc>
          <w:tcPr>
            <w:tcW w:w="1199" w:type="dxa"/>
            <w:tcBorders>
              <w:top w:val="nil"/>
              <w:left w:val="nil"/>
              <w:bottom w:val="nil"/>
              <w:right w:val="nil"/>
            </w:tcBorders>
            <w:vAlign w:val="center"/>
          </w:tcPr>
          <w:p w14:paraId="0ECE565A" w14:textId="77777777" w:rsidR="001D484D" w:rsidRPr="00B327ED" w:rsidRDefault="001D484D" w:rsidP="001D484D">
            <w:pPr>
              <w:rPr>
                <w:rFonts w:ascii="Times New Roman" w:hAnsi="Times New Roman" w:cs="Times New Roman"/>
                <w:sz w:val="18"/>
                <w:szCs w:val="18"/>
              </w:rPr>
            </w:pPr>
            <w:r>
              <w:rPr>
                <w:rFonts w:ascii="Times New Roman" w:hAnsi="Times New Roman" w:cs="Times New Roman"/>
                <w:sz w:val="18"/>
                <w:szCs w:val="18"/>
              </w:rPr>
              <w:t>0.5499***</w:t>
            </w:r>
          </w:p>
        </w:tc>
      </w:tr>
      <w:tr w:rsidR="001D484D" w:rsidRPr="00B327ED" w14:paraId="16E576EF" w14:textId="77777777" w:rsidTr="00AD48C2">
        <w:tc>
          <w:tcPr>
            <w:tcW w:w="2700" w:type="dxa"/>
            <w:tcBorders>
              <w:top w:val="nil"/>
              <w:left w:val="nil"/>
              <w:bottom w:val="nil"/>
              <w:right w:val="nil"/>
            </w:tcBorders>
          </w:tcPr>
          <w:p w14:paraId="7841881E" w14:textId="77777777" w:rsidR="001D484D" w:rsidRDefault="001D484D" w:rsidP="001D484D">
            <w:pPr>
              <w:rPr>
                <w:rFonts w:ascii="Times New Roman" w:hAnsi="Times New Roman" w:cs="Times New Roman"/>
                <w:sz w:val="18"/>
                <w:szCs w:val="18"/>
              </w:rPr>
            </w:pPr>
          </w:p>
        </w:tc>
        <w:tc>
          <w:tcPr>
            <w:tcW w:w="2993" w:type="dxa"/>
            <w:tcBorders>
              <w:top w:val="nil"/>
              <w:left w:val="nil"/>
              <w:bottom w:val="nil"/>
              <w:right w:val="nil"/>
            </w:tcBorders>
          </w:tcPr>
          <w:p w14:paraId="050FD186" w14:textId="77777777" w:rsidR="001D484D" w:rsidRPr="00B327ED" w:rsidRDefault="001D484D" w:rsidP="001D484D">
            <w:pPr>
              <w:rPr>
                <w:rFonts w:ascii="Times New Roman" w:hAnsi="Times New Roman" w:cs="Times New Roman"/>
                <w:sz w:val="18"/>
                <w:szCs w:val="18"/>
              </w:rPr>
            </w:pPr>
          </w:p>
        </w:tc>
        <w:tc>
          <w:tcPr>
            <w:tcW w:w="1226" w:type="dxa"/>
            <w:tcBorders>
              <w:top w:val="nil"/>
              <w:left w:val="nil"/>
              <w:bottom w:val="nil"/>
              <w:right w:val="nil"/>
            </w:tcBorders>
          </w:tcPr>
          <w:p w14:paraId="4AE5C770" w14:textId="77777777" w:rsidR="001D484D" w:rsidRPr="00B327ED" w:rsidRDefault="001D484D" w:rsidP="001D484D">
            <w:pPr>
              <w:rPr>
                <w:rFonts w:ascii="Times New Roman" w:hAnsi="Times New Roman" w:cs="Times New Roman"/>
                <w:sz w:val="18"/>
                <w:szCs w:val="18"/>
              </w:rPr>
            </w:pPr>
          </w:p>
        </w:tc>
        <w:tc>
          <w:tcPr>
            <w:tcW w:w="1242" w:type="dxa"/>
            <w:tcBorders>
              <w:top w:val="nil"/>
              <w:left w:val="nil"/>
              <w:bottom w:val="nil"/>
              <w:right w:val="nil"/>
            </w:tcBorders>
          </w:tcPr>
          <w:p w14:paraId="6C20F1A5" w14:textId="77777777" w:rsidR="001D484D" w:rsidRPr="00B327ED" w:rsidRDefault="001D484D" w:rsidP="001D484D">
            <w:pPr>
              <w:rPr>
                <w:rFonts w:ascii="Times New Roman" w:hAnsi="Times New Roman" w:cs="Times New Roman"/>
                <w:sz w:val="18"/>
                <w:szCs w:val="18"/>
              </w:rPr>
            </w:pPr>
          </w:p>
        </w:tc>
        <w:tc>
          <w:tcPr>
            <w:tcW w:w="1199" w:type="dxa"/>
            <w:tcBorders>
              <w:top w:val="nil"/>
              <w:left w:val="nil"/>
              <w:bottom w:val="nil"/>
              <w:right w:val="nil"/>
            </w:tcBorders>
            <w:vAlign w:val="center"/>
          </w:tcPr>
          <w:p w14:paraId="46E33E9A" w14:textId="77777777" w:rsidR="001D484D" w:rsidRPr="00B327ED" w:rsidRDefault="001D484D" w:rsidP="001D484D">
            <w:pPr>
              <w:rPr>
                <w:rFonts w:ascii="Times New Roman" w:hAnsi="Times New Roman" w:cs="Times New Roman"/>
                <w:sz w:val="18"/>
                <w:szCs w:val="18"/>
              </w:rPr>
            </w:pPr>
            <w:r>
              <w:rPr>
                <w:rFonts w:ascii="Times New Roman" w:hAnsi="Times New Roman" w:cs="Times New Roman"/>
                <w:sz w:val="18"/>
                <w:szCs w:val="18"/>
              </w:rPr>
              <w:t>[0.0164]</w:t>
            </w:r>
          </w:p>
        </w:tc>
      </w:tr>
      <w:tr w:rsidR="001D484D" w:rsidRPr="00B327ED" w14:paraId="5E753D61" w14:textId="77777777" w:rsidTr="00AD48C2">
        <w:tc>
          <w:tcPr>
            <w:tcW w:w="2700" w:type="dxa"/>
            <w:tcBorders>
              <w:top w:val="nil"/>
              <w:left w:val="nil"/>
              <w:bottom w:val="nil"/>
              <w:right w:val="nil"/>
            </w:tcBorders>
          </w:tcPr>
          <w:p w14:paraId="7C107242" w14:textId="77777777" w:rsidR="001D484D" w:rsidRPr="00B327ED" w:rsidRDefault="001D484D" w:rsidP="001D484D">
            <w:pPr>
              <w:rPr>
                <w:rFonts w:ascii="Times New Roman" w:hAnsi="Times New Roman" w:cs="Times New Roman"/>
                <w:sz w:val="18"/>
                <w:szCs w:val="18"/>
              </w:rPr>
            </w:pPr>
          </w:p>
        </w:tc>
        <w:tc>
          <w:tcPr>
            <w:tcW w:w="2993" w:type="dxa"/>
            <w:tcBorders>
              <w:top w:val="nil"/>
              <w:left w:val="nil"/>
              <w:bottom w:val="nil"/>
              <w:right w:val="nil"/>
            </w:tcBorders>
          </w:tcPr>
          <w:p w14:paraId="1DFC3A1A" w14:textId="77777777" w:rsidR="001D484D" w:rsidRPr="00B327ED" w:rsidRDefault="001D484D" w:rsidP="001D484D">
            <w:pPr>
              <w:rPr>
                <w:rFonts w:ascii="Times New Roman" w:hAnsi="Times New Roman" w:cs="Times New Roman"/>
                <w:sz w:val="18"/>
                <w:szCs w:val="18"/>
              </w:rPr>
            </w:pPr>
          </w:p>
        </w:tc>
        <w:tc>
          <w:tcPr>
            <w:tcW w:w="1226" w:type="dxa"/>
            <w:tcBorders>
              <w:top w:val="nil"/>
              <w:left w:val="nil"/>
              <w:bottom w:val="nil"/>
              <w:right w:val="nil"/>
            </w:tcBorders>
          </w:tcPr>
          <w:p w14:paraId="704DAF1D" w14:textId="77777777" w:rsidR="001D484D" w:rsidRPr="00B327ED" w:rsidRDefault="001D484D" w:rsidP="001D484D">
            <w:pPr>
              <w:rPr>
                <w:rFonts w:ascii="Times New Roman" w:hAnsi="Times New Roman" w:cs="Times New Roman"/>
                <w:sz w:val="18"/>
                <w:szCs w:val="18"/>
              </w:rPr>
            </w:pPr>
          </w:p>
        </w:tc>
        <w:tc>
          <w:tcPr>
            <w:tcW w:w="1242" w:type="dxa"/>
            <w:tcBorders>
              <w:top w:val="nil"/>
              <w:left w:val="nil"/>
              <w:bottom w:val="nil"/>
              <w:right w:val="nil"/>
            </w:tcBorders>
          </w:tcPr>
          <w:p w14:paraId="6F43EA29" w14:textId="77777777" w:rsidR="001D484D" w:rsidRPr="00B327ED" w:rsidRDefault="001D484D" w:rsidP="001D484D">
            <w:pPr>
              <w:rPr>
                <w:rFonts w:ascii="Times New Roman" w:hAnsi="Times New Roman" w:cs="Times New Roman"/>
                <w:sz w:val="18"/>
                <w:szCs w:val="18"/>
              </w:rPr>
            </w:pPr>
          </w:p>
        </w:tc>
        <w:tc>
          <w:tcPr>
            <w:tcW w:w="1199" w:type="dxa"/>
            <w:tcBorders>
              <w:top w:val="nil"/>
              <w:left w:val="nil"/>
              <w:bottom w:val="nil"/>
              <w:right w:val="nil"/>
            </w:tcBorders>
            <w:vAlign w:val="center"/>
          </w:tcPr>
          <w:p w14:paraId="1B7B2633" w14:textId="77777777" w:rsidR="001D484D" w:rsidRPr="00B327ED" w:rsidRDefault="001D484D" w:rsidP="001D484D">
            <w:pPr>
              <w:rPr>
                <w:rFonts w:ascii="Times New Roman" w:hAnsi="Times New Roman" w:cs="Times New Roman"/>
                <w:sz w:val="18"/>
                <w:szCs w:val="18"/>
              </w:rPr>
            </w:pPr>
          </w:p>
        </w:tc>
      </w:tr>
      <w:tr w:rsidR="001D484D" w:rsidRPr="00B327ED" w14:paraId="1FF3BE89" w14:textId="77777777" w:rsidTr="00AD48C2">
        <w:trPr>
          <w:trHeight w:val="288"/>
        </w:trPr>
        <w:tc>
          <w:tcPr>
            <w:tcW w:w="2700" w:type="dxa"/>
            <w:tcBorders>
              <w:top w:val="nil"/>
              <w:left w:val="nil"/>
              <w:bottom w:val="single" w:sz="4" w:space="0" w:color="auto"/>
              <w:right w:val="nil"/>
            </w:tcBorders>
          </w:tcPr>
          <w:p w14:paraId="52C09DAF" w14:textId="77777777" w:rsidR="001D484D" w:rsidRPr="00B327ED" w:rsidRDefault="001D484D" w:rsidP="001D484D">
            <w:pPr>
              <w:rPr>
                <w:rFonts w:ascii="Times New Roman" w:hAnsi="Times New Roman" w:cs="Times New Roman"/>
                <w:sz w:val="18"/>
                <w:szCs w:val="18"/>
              </w:rPr>
            </w:pPr>
            <w:r w:rsidRPr="00B327ED">
              <w:rPr>
                <w:rFonts w:ascii="Times New Roman" w:hAnsi="Times New Roman" w:cs="Times New Roman"/>
                <w:sz w:val="18"/>
                <w:szCs w:val="18"/>
              </w:rPr>
              <w:t>R-squared</w:t>
            </w:r>
          </w:p>
        </w:tc>
        <w:tc>
          <w:tcPr>
            <w:tcW w:w="2993" w:type="dxa"/>
            <w:tcBorders>
              <w:top w:val="nil"/>
              <w:left w:val="nil"/>
              <w:bottom w:val="single" w:sz="4" w:space="0" w:color="auto"/>
              <w:right w:val="nil"/>
            </w:tcBorders>
          </w:tcPr>
          <w:p w14:paraId="426E2E8C" w14:textId="77777777" w:rsidR="001D484D" w:rsidRPr="00B327ED" w:rsidRDefault="001D484D" w:rsidP="001D484D">
            <w:pPr>
              <w:rPr>
                <w:rFonts w:ascii="Times New Roman" w:hAnsi="Times New Roman" w:cs="Times New Roman"/>
                <w:sz w:val="18"/>
                <w:szCs w:val="18"/>
              </w:rPr>
            </w:pPr>
          </w:p>
        </w:tc>
        <w:tc>
          <w:tcPr>
            <w:tcW w:w="1226" w:type="dxa"/>
            <w:tcBorders>
              <w:top w:val="nil"/>
              <w:left w:val="nil"/>
              <w:bottom w:val="single" w:sz="4" w:space="0" w:color="auto"/>
              <w:right w:val="nil"/>
            </w:tcBorders>
          </w:tcPr>
          <w:p w14:paraId="17FC80E3" w14:textId="77777777" w:rsidR="001D484D" w:rsidRPr="00B327ED" w:rsidRDefault="001D484D" w:rsidP="001D484D">
            <w:pPr>
              <w:rPr>
                <w:rFonts w:ascii="Times New Roman" w:hAnsi="Times New Roman" w:cs="Times New Roman"/>
                <w:sz w:val="18"/>
                <w:szCs w:val="18"/>
              </w:rPr>
            </w:pPr>
            <w:r w:rsidRPr="00B327ED">
              <w:rPr>
                <w:rFonts w:ascii="Times New Roman" w:hAnsi="Times New Roman" w:cs="Times New Roman"/>
                <w:sz w:val="18"/>
                <w:szCs w:val="18"/>
              </w:rPr>
              <w:t>0.03049</w:t>
            </w:r>
          </w:p>
        </w:tc>
        <w:tc>
          <w:tcPr>
            <w:tcW w:w="1242" w:type="dxa"/>
            <w:tcBorders>
              <w:top w:val="nil"/>
              <w:left w:val="nil"/>
              <w:bottom w:val="single" w:sz="4" w:space="0" w:color="auto"/>
              <w:right w:val="nil"/>
            </w:tcBorders>
          </w:tcPr>
          <w:p w14:paraId="4CE937A4" w14:textId="77777777" w:rsidR="001D484D" w:rsidRPr="00B327ED" w:rsidRDefault="001D484D" w:rsidP="001D484D">
            <w:pPr>
              <w:rPr>
                <w:rFonts w:ascii="Times New Roman" w:hAnsi="Times New Roman" w:cs="Times New Roman"/>
                <w:sz w:val="18"/>
                <w:szCs w:val="18"/>
              </w:rPr>
            </w:pPr>
            <w:r w:rsidRPr="00B327ED">
              <w:rPr>
                <w:rFonts w:ascii="Times New Roman" w:hAnsi="Times New Roman" w:cs="Times New Roman"/>
                <w:sz w:val="18"/>
                <w:szCs w:val="18"/>
              </w:rPr>
              <w:t>0.03968</w:t>
            </w:r>
          </w:p>
        </w:tc>
        <w:tc>
          <w:tcPr>
            <w:tcW w:w="1199" w:type="dxa"/>
            <w:tcBorders>
              <w:top w:val="nil"/>
              <w:left w:val="nil"/>
              <w:bottom w:val="single" w:sz="4" w:space="0" w:color="auto"/>
              <w:right w:val="nil"/>
            </w:tcBorders>
            <w:vAlign w:val="center"/>
          </w:tcPr>
          <w:p w14:paraId="2A086ABE" w14:textId="77777777" w:rsidR="001D484D" w:rsidRPr="00B327ED" w:rsidRDefault="001D484D" w:rsidP="001D484D">
            <w:pPr>
              <w:rPr>
                <w:rFonts w:ascii="Times New Roman" w:hAnsi="Times New Roman" w:cs="Times New Roman"/>
                <w:sz w:val="18"/>
                <w:szCs w:val="18"/>
              </w:rPr>
            </w:pPr>
            <w:r>
              <w:rPr>
                <w:rFonts w:ascii="Times New Roman" w:hAnsi="Times New Roman" w:cs="Times New Roman"/>
                <w:sz w:val="18"/>
                <w:szCs w:val="18"/>
              </w:rPr>
              <w:t>0.402</w:t>
            </w:r>
          </w:p>
        </w:tc>
      </w:tr>
    </w:tbl>
    <w:p w14:paraId="64E15A7F" w14:textId="77777777" w:rsidR="00A90824" w:rsidRPr="00B327ED" w:rsidRDefault="00A90824" w:rsidP="00A90824">
      <w:pPr>
        <w:rPr>
          <w:rFonts w:ascii="Times New Roman" w:hAnsi="Times New Roman" w:cs="Times New Roman"/>
          <w:sz w:val="18"/>
          <w:szCs w:val="18"/>
        </w:rPr>
      </w:pPr>
      <w:r w:rsidRPr="00B327ED">
        <w:rPr>
          <w:rFonts w:ascii="Times New Roman" w:hAnsi="Times New Roman" w:cs="Times New Roman"/>
          <w:i/>
          <w:sz w:val="18"/>
          <w:szCs w:val="18"/>
        </w:rPr>
        <w:t>Notes</w:t>
      </w:r>
      <w:r w:rsidRPr="00B327ED">
        <w:rPr>
          <w:rFonts w:ascii="Times New Roman" w:hAnsi="Times New Roman" w:cs="Times New Roman"/>
          <w:sz w:val="18"/>
          <w:szCs w:val="18"/>
        </w:rPr>
        <w:t xml:space="preserve">: All specifications include county fixed effects and yearly fixed effects and </w:t>
      </w:r>
      <w:r w:rsidRPr="00B327ED">
        <w:rPr>
          <w:rFonts w:ascii="Times New Roman" w:hAnsi="Times New Roman" w:cs="Times New Roman"/>
          <w:sz w:val="18"/>
          <w:szCs w:val="18"/>
        </w:rPr>
        <w:br/>
        <w:t xml:space="preserve">Significance codes:  0 ‘***’ 0.001 ‘**’ 0.01 ‘*’ 0.05 ‘.’ 0.1 </w:t>
      </w:r>
      <w:proofErr w:type="gramStart"/>
      <w:r w:rsidRPr="00B327ED">
        <w:rPr>
          <w:rFonts w:ascii="Times New Roman" w:hAnsi="Times New Roman" w:cs="Times New Roman"/>
          <w:sz w:val="18"/>
          <w:szCs w:val="18"/>
        </w:rPr>
        <w:t>‘ ’</w:t>
      </w:r>
      <w:proofErr w:type="gramEnd"/>
      <w:r w:rsidRPr="00B327ED">
        <w:rPr>
          <w:rFonts w:ascii="Times New Roman" w:hAnsi="Times New Roman" w:cs="Times New Roman"/>
          <w:sz w:val="18"/>
          <w:szCs w:val="18"/>
        </w:rPr>
        <w:t xml:space="preserve"> 1</w:t>
      </w:r>
    </w:p>
    <w:p w14:paraId="345993FA" w14:textId="77777777" w:rsidR="00204281" w:rsidRDefault="00836688" w:rsidP="00204281">
      <w:pPr>
        <w:spacing w:line="360" w:lineRule="auto"/>
        <w:ind w:firstLine="720"/>
        <w:rPr>
          <w:rFonts w:ascii="Times New Roman" w:hAnsi="Times New Roman" w:cs="Times New Roman"/>
          <w:sz w:val="24"/>
        </w:rPr>
      </w:pPr>
      <w:r w:rsidRPr="00204281">
        <w:rPr>
          <w:rFonts w:ascii="Times New Roman" w:hAnsi="Times New Roman" w:cs="Times New Roman"/>
          <w:sz w:val="24"/>
        </w:rPr>
        <w:t xml:space="preserve">For a 100 unit increase in the number of low-income housing units, in a county for a particular year, the </w:t>
      </w:r>
      <w:r w:rsidR="00204281" w:rsidRPr="00204281">
        <w:rPr>
          <w:rFonts w:ascii="Times New Roman" w:hAnsi="Times New Roman" w:cs="Times New Roman"/>
          <w:sz w:val="24"/>
        </w:rPr>
        <w:t xml:space="preserve">number of </w:t>
      </w:r>
      <w:r w:rsidRPr="00204281">
        <w:rPr>
          <w:rFonts w:ascii="Times New Roman" w:hAnsi="Times New Roman" w:cs="Times New Roman"/>
          <w:sz w:val="24"/>
        </w:rPr>
        <w:t>eviction</w:t>
      </w:r>
      <w:r w:rsidR="00204281" w:rsidRPr="00204281">
        <w:rPr>
          <w:rFonts w:ascii="Times New Roman" w:hAnsi="Times New Roman" w:cs="Times New Roman"/>
          <w:sz w:val="24"/>
        </w:rPr>
        <w:t>s</w:t>
      </w:r>
      <w:r w:rsidRPr="00204281">
        <w:rPr>
          <w:rFonts w:ascii="Times New Roman" w:hAnsi="Times New Roman" w:cs="Times New Roman"/>
          <w:sz w:val="24"/>
        </w:rPr>
        <w:t xml:space="preserve"> actually increases by </w:t>
      </w:r>
      <w:r w:rsidR="00204281" w:rsidRPr="00204281">
        <w:rPr>
          <w:rFonts w:ascii="Times New Roman" w:hAnsi="Times New Roman" w:cs="Times New Roman"/>
          <w:sz w:val="24"/>
        </w:rPr>
        <w:t xml:space="preserve">7.37 for the column 1 model and 7.73 for the column 2 model. Both estimates of β are statistically significant. The R-squared for both models have extremely low R-squared values which can potentially be problematic when using the model to interpret and predict results. Adding additional covariates to increase the explanatory power of the model did increase the R-squared value but did not change the magnitude of the treatment variable of interest Looking at column 3, our eviction lagged model. We see another statistically significant result but the coefficient estimate is half the estimates in models 1 and 2. For a 100 unit increase in the number of low-income housing units in a county, the number of evictions increases by 3.85. </w:t>
      </w:r>
    </w:p>
    <w:p w14:paraId="6B8EAF7D" w14:textId="77777777" w:rsidR="00301F98" w:rsidRDefault="00204281" w:rsidP="005754D7">
      <w:pPr>
        <w:spacing w:line="360" w:lineRule="auto"/>
        <w:ind w:firstLine="720"/>
        <w:rPr>
          <w:rFonts w:ascii="Times New Roman" w:hAnsi="Times New Roman" w:cs="Times New Roman"/>
          <w:sz w:val="24"/>
        </w:rPr>
      </w:pPr>
      <w:r>
        <w:rPr>
          <w:rFonts w:ascii="Times New Roman" w:hAnsi="Times New Roman" w:cs="Times New Roman"/>
          <w:sz w:val="24"/>
        </w:rPr>
        <w:t>We may have expected for the coefficient estimates to be either closer to zero or negative because we could see the mechanism that more affordable housing should result in lower evictions</w:t>
      </w:r>
      <w:r w:rsidRPr="00204281">
        <w:rPr>
          <w:rFonts w:ascii="Times New Roman" w:hAnsi="Times New Roman" w:cs="Times New Roman"/>
          <w:sz w:val="24"/>
        </w:rPr>
        <w:t xml:space="preserve">. However, the positive coefficient estimates for all three models for the treatment variable may imply a different </w:t>
      </w:r>
      <w:r>
        <w:rPr>
          <w:rFonts w:ascii="Times New Roman" w:hAnsi="Times New Roman" w:cs="Times New Roman"/>
          <w:sz w:val="24"/>
        </w:rPr>
        <w:t xml:space="preserve">theory. </w:t>
      </w:r>
      <w:r w:rsidR="00301F98">
        <w:rPr>
          <w:rFonts w:ascii="Times New Roman" w:hAnsi="Times New Roman" w:cs="Times New Roman"/>
          <w:sz w:val="24"/>
        </w:rPr>
        <w:t xml:space="preserve">We tested changing the treatment variable of interest from cumulative number of low-income units in case if there was any bias by aggregating the years pre-2000. </w:t>
      </w:r>
      <w:r w:rsidR="005754D7">
        <w:rPr>
          <w:rFonts w:ascii="Times New Roman" w:hAnsi="Times New Roman" w:cs="Times New Roman"/>
          <w:sz w:val="24"/>
        </w:rPr>
        <w:t xml:space="preserve">We saw no significant change in results. Instead of the number of evictions, eviction rate and eviction filings and rate were used to determine if any sign change occurred, but results remained statically significant with marginal coefficient estimates and in the same negative direction. </w:t>
      </w:r>
    </w:p>
    <w:p w14:paraId="5BEF4E29" w14:textId="77777777" w:rsidR="005754D7" w:rsidRPr="00204281" w:rsidRDefault="005754D7" w:rsidP="005754D7">
      <w:pPr>
        <w:spacing w:line="360" w:lineRule="auto"/>
        <w:ind w:firstLine="720"/>
        <w:rPr>
          <w:rFonts w:ascii="Times New Roman" w:hAnsi="Times New Roman" w:cs="Times New Roman"/>
          <w:sz w:val="24"/>
        </w:rPr>
      </w:pPr>
    </w:p>
    <w:p w14:paraId="06966F90" w14:textId="77777777" w:rsidR="00972315" w:rsidRPr="005754D7" w:rsidRDefault="00A90824" w:rsidP="00204281">
      <w:pPr>
        <w:spacing w:line="360" w:lineRule="auto"/>
        <w:rPr>
          <w:rFonts w:ascii="Times New Roman" w:hAnsi="Times New Roman" w:cs="Times New Roman"/>
          <w:b/>
          <w:sz w:val="24"/>
        </w:rPr>
      </w:pPr>
      <w:r w:rsidRPr="005754D7">
        <w:rPr>
          <w:rFonts w:ascii="Times New Roman" w:hAnsi="Times New Roman" w:cs="Times New Roman"/>
          <w:b/>
          <w:sz w:val="24"/>
        </w:rPr>
        <w:lastRenderedPageBreak/>
        <w:t>6</w:t>
      </w:r>
      <w:r w:rsidR="00972315" w:rsidRPr="005754D7">
        <w:rPr>
          <w:rFonts w:ascii="Times New Roman" w:hAnsi="Times New Roman" w:cs="Times New Roman"/>
          <w:b/>
          <w:sz w:val="24"/>
        </w:rPr>
        <w:t xml:space="preserve">. Discussion and </w:t>
      </w:r>
      <w:r w:rsidR="005754D7">
        <w:rPr>
          <w:rFonts w:ascii="Times New Roman" w:hAnsi="Times New Roman" w:cs="Times New Roman"/>
          <w:b/>
          <w:sz w:val="24"/>
        </w:rPr>
        <w:t>C</w:t>
      </w:r>
      <w:r w:rsidR="00972315" w:rsidRPr="005754D7">
        <w:rPr>
          <w:rFonts w:ascii="Times New Roman" w:hAnsi="Times New Roman" w:cs="Times New Roman"/>
          <w:b/>
          <w:sz w:val="24"/>
        </w:rPr>
        <w:t>onclusions</w:t>
      </w:r>
    </w:p>
    <w:p w14:paraId="544293AB" w14:textId="77777777" w:rsidR="00B006D0" w:rsidRPr="00204281" w:rsidRDefault="00B006D0" w:rsidP="00B323D1">
      <w:pPr>
        <w:spacing w:line="360" w:lineRule="auto"/>
        <w:ind w:firstLine="720"/>
        <w:rPr>
          <w:rFonts w:ascii="Times New Roman" w:hAnsi="Times New Roman" w:cs="Times New Roman"/>
          <w:sz w:val="24"/>
        </w:rPr>
      </w:pPr>
      <w:r w:rsidRPr="00204281">
        <w:rPr>
          <w:rFonts w:ascii="Times New Roman" w:hAnsi="Times New Roman" w:cs="Times New Roman"/>
          <w:sz w:val="24"/>
        </w:rPr>
        <w:t>The Literature has listed numerous challenges for the LIHTC program to overcome. Despite bipartisan support in Congress, many economists and researchers have attempted to tackle the economic inefficiencies of the program and provide solutions through reform or funding redistribution</w:t>
      </w:r>
      <w:r w:rsidR="00377FA4">
        <w:rPr>
          <w:rFonts w:ascii="Times New Roman" w:hAnsi="Times New Roman" w:cs="Times New Roman"/>
          <w:sz w:val="24"/>
        </w:rPr>
        <w:t>.</w:t>
      </w:r>
      <w:r w:rsidR="00B323D1">
        <w:rPr>
          <w:rFonts w:ascii="Times New Roman" w:hAnsi="Times New Roman" w:cs="Times New Roman"/>
          <w:sz w:val="24"/>
        </w:rPr>
        <w:t xml:space="preserve"> </w:t>
      </w:r>
    </w:p>
    <w:p w14:paraId="1927F558" w14:textId="77777777" w:rsidR="00AD48C2" w:rsidRPr="00204281" w:rsidRDefault="00AD48C2" w:rsidP="00B323D1">
      <w:pPr>
        <w:spacing w:line="360" w:lineRule="auto"/>
        <w:ind w:firstLine="720"/>
        <w:rPr>
          <w:rFonts w:ascii="Times New Roman" w:hAnsi="Times New Roman" w:cs="Times New Roman"/>
          <w:sz w:val="24"/>
        </w:rPr>
      </w:pPr>
      <w:r w:rsidRPr="00204281">
        <w:rPr>
          <w:rFonts w:ascii="Times New Roman" w:hAnsi="Times New Roman" w:cs="Times New Roman"/>
          <w:sz w:val="24"/>
        </w:rPr>
        <w:t xml:space="preserve">In this paper, we have shown </w:t>
      </w:r>
      <w:r w:rsidR="00B006D0" w:rsidRPr="00204281">
        <w:rPr>
          <w:rFonts w:ascii="Times New Roman" w:hAnsi="Times New Roman" w:cs="Times New Roman"/>
          <w:sz w:val="24"/>
        </w:rPr>
        <w:t xml:space="preserve">that the effects of </w:t>
      </w:r>
      <w:r w:rsidR="002E1710">
        <w:rPr>
          <w:rFonts w:ascii="Times New Roman" w:hAnsi="Times New Roman" w:cs="Times New Roman"/>
          <w:sz w:val="24"/>
        </w:rPr>
        <w:t xml:space="preserve">LIHTC projects on local eviction rates. We find that </w:t>
      </w:r>
      <w:r w:rsidR="00377FA4">
        <w:rPr>
          <w:rFonts w:ascii="Times New Roman" w:hAnsi="Times New Roman" w:cs="Times New Roman"/>
          <w:sz w:val="24"/>
        </w:rPr>
        <w:t xml:space="preserve">there </w:t>
      </w:r>
      <w:r w:rsidR="00301F98">
        <w:rPr>
          <w:rFonts w:ascii="Times New Roman" w:hAnsi="Times New Roman" w:cs="Times New Roman"/>
          <w:sz w:val="24"/>
        </w:rPr>
        <w:t xml:space="preserve">is little evidence to support that </w:t>
      </w:r>
      <w:r w:rsidR="00B323D1">
        <w:rPr>
          <w:rFonts w:ascii="Times New Roman" w:hAnsi="Times New Roman" w:cs="Times New Roman"/>
          <w:sz w:val="24"/>
        </w:rPr>
        <w:t>the LIHTC program helps the eviction crisis</w:t>
      </w:r>
      <w:r w:rsidR="00301F98">
        <w:rPr>
          <w:rFonts w:ascii="Times New Roman" w:hAnsi="Times New Roman" w:cs="Times New Roman"/>
          <w:sz w:val="24"/>
        </w:rPr>
        <w:t xml:space="preserve">. Our results show the opposite in that an increase in the number of LIHTC units </w:t>
      </w:r>
      <w:r w:rsidR="00B323D1">
        <w:rPr>
          <w:rFonts w:ascii="Times New Roman" w:hAnsi="Times New Roman" w:cs="Times New Roman"/>
          <w:sz w:val="24"/>
        </w:rPr>
        <w:t xml:space="preserve">actually increased the number of evictions. A caveat to this paper’s results is the smaller sample size and very small number of rental units involved (46,000 projects compared to 959 in Virginia). To generalize any of these results to the rest of the U.S. would be inappropriate. </w:t>
      </w:r>
    </w:p>
    <w:p w14:paraId="2CFBEBDD" w14:textId="77777777" w:rsidR="00E54436" w:rsidRDefault="00EE780B" w:rsidP="00B323D1">
      <w:pPr>
        <w:spacing w:line="360" w:lineRule="auto"/>
        <w:ind w:firstLine="720"/>
        <w:rPr>
          <w:rFonts w:ascii="Times New Roman" w:hAnsi="Times New Roman" w:cs="Times New Roman"/>
          <w:sz w:val="24"/>
        </w:rPr>
      </w:pPr>
      <w:r w:rsidRPr="00204281">
        <w:rPr>
          <w:rFonts w:ascii="Times New Roman" w:hAnsi="Times New Roman" w:cs="Times New Roman"/>
          <w:sz w:val="24"/>
        </w:rPr>
        <w:t>Studies have produced evidence that show LIHTC units can still be too expensive for many extremely low-income individuals and households. The Urban Institute presents a list of challenges that the LIHTC program faces due its structure and performance. Among those challenges includes the fact that “LIHTC does not serve the lowest-income households well on its own” (</w:t>
      </w:r>
      <w:proofErr w:type="spellStart"/>
      <w:r w:rsidRPr="00204281">
        <w:rPr>
          <w:rFonts w:ascii="Times New Roman" w:hAnsi="Times New Roman" w:cs="Times New Roman"/>
          <w:sz w:val="24"/>
        </w:rPr>
        <w:t>Scally</w:t>
      </w:r>
      <w:proofErr w:type="spellEnd"/>
      <w:r w:rsidRPr="00204281">
        <w:rPr>
          <w:rFonts w:ascii="Times New Roman" w:hAnsi="Times New Roman" w:cs="Times New Roman"/>
          <w:sz w:val="24"/>
        </w:rPr>
        <w:t xml:space="preserve">, 2018). Many property owners seek households who earn as close to the 60 percent Area Median Income requirement as possible. </w:t>
      </w:r>
      <w:r w:rsidR="00377FA4" w:rsidRPr="00204281">
        <w:rPr>
          <w:rFonts w:ascii="Times New Roman" w:hAnsi="Times New Roman" w:cs="Times New Roman"/>
          <w:sz w:val="24"/>
        </w:rPr>
        <w:t>Therefore,</w:t>
      </w:r>
      <w:r w:rsidRPr="00204281">
        <w:rPr>
          <w:rFonts w:ascii="Times New Roman" w:hAnsi="Times New Roman" w:cs="Times New Roman"/>
          <w:sz w:val="24"/>
        </w:rPr>
        <w:t xml:space="preserve"> the program has not served extremely low-income households</w:t>
      </w:r>
      <w:r w:rsidR="00377FA4">
        <w:rPr>
          <w:rFonts w:ascii="Times New Roman" w:hAnsi="Times New Roman" w:cs="Times New Roman"/>
          <w:sz w:val="24"/>
        </w:rPr>
        <w:t xml:space="preserve"> historically. This means that the policy does not affect those who are at most risk for evictions. The p</w:t>
      </w:r>
      <w:r w:rsidR="001D484D" w:rsidRPr="00204281">
        <w:rPr>
          <w:rFonts w:ascii="Times New Roman" w:hAnsi="Times New Roman" w:cs="Times New Roman"/>
          <w:sz w:val="24"/>
        </w:rPr>
        <w:t>olicy implications from th</w:t>
      </w:r>
      <w:r w:rsidR="00377FA4">
        <w:rPr>
          <w:rFonts w:ascii="Times New Roman" w:hAnsi="Times New Roman" w:cs="Times New Roman"/>
          <w:sz w:val="24"/>
        </w:rPr>
        <w:t>ese</w:t>
      </w:r>
      <w:r w:rsidR="001D484D" w:rsidRPr="00204281">
        <w:rPr>
          <w:rFonts w:ascii="Times New Roman" w:hAnsi="Times New Roman" w:cs="Times New Roman"/>
          <w:sz w:val="24"/>
        </w:rPr>
        <w:t xml:space="preserve"> result</w:t>
      </w:r>
      <w:r w:rsidR="00377FA4">
        <w:rPr>
          <w:rFonts w:ascii="Times New Roman" w:hAnsi="Times New Roman" w:cs="Times New Roman"/>
          <w:sz w:val="24"/>
        </w:rPr>
        <w:t xml:space="preserve">s present another issue that the Low-Income Housing Tax Credit has despite the bipartisan support it receives. </w:t>
      </w:r>
      <w:r w:rsidR="00B323D1">
        <w:rPr>
          <w:rFonts w:ascii="Times New Roman" w:hAnsi="Times New Roman" w:cs="Times New Roman"/>
          <w:sz w:val="24"/>
        </w:rPr>
        <w:t xml:space="preserve">The results parallel the lack of strong evidence to support such a policy without more research. </w:t>
      </w:r>
    </w:p>
    <w:p w14:paraId="57944E48" w14:textId="77777777" w:rsidR="00585907" w:rsidRPr="007B2B67" w:rsidRDefault="00377FA4" w:rsidP="007B2B67">
      <w:pPr>
        <w:spacing w:line="360" w:lineRule="auto"/>
        <w:rPr>
          <w:rFonts w:ascii="Times New Roman" w:hAnsi="Times New Roman" w:cs="Times New Roman"/>
          <w:sz w:val="24"/>
        </w:rPr>
      </w:pPr>
      <w:r>
        <w:rPr>
          <w:rFonts w:ascii="Times New Roman" w:hAnsi="Times New Roman" w:cs="Times New Roman"/>
          <w:sz w:val="24"/>
        </w:rPr>
        <w:t>Further research could be directed towards the expansion of the sample used in this paper to the United States</w:t>
      </w:r>
      <w:r w:rsidR="00B323D1">
        <w:rPr>
          <w:rFonts w:ascii="Times New Roman" w:hAnsi="Times New Roman" w:cs="Times New Roman"/>
          <w:sz w:val="24"/>
        </w:rPr>
        <w:t>.</w:t>
      </w:r>
    </w:p>
    <w:p w14:paraId="6F8C078E" w14:textId="77777777" w:rsidR="00E54436" w:rsidRPr="00E54436" w:rsidRDefault="006A4A23" w:rsidP="00E54436">
      <w:pPr>
        <w:spacing w:after="0" w:line="240" w:lineRule="auto"/>
        <w:rPr>
          <w:rFonts w:ascii="Times New Roman" w:hAnsi="Times New Roman" w:cs="Times New Roman"/>
          <w:sz w:val="24"/>
          <w:szCs w:val="20"/>
        </w:rPr>
      </w:pPr>
      <w:r w:rsidRPr="00E54436">
        <w:rPr>
          <w:rFonts w:ascii="Times New Roman" w:hAnsi="Times New Roman" w:cs="Times New Roman"/>
          <w:b/>
          <w:sz w:val="24"/>
          <w:szCs w:val="20"/>
        </w:rPr>
        <w:t>References</w:t>
      </w:r>
      <w:r w:rsidR="00E54436" w:rsidRPr="00E54436">
        <w:rPr>
          <w:rFonts w:ascii="Times New Roman" w:hAnsi="Times New Roman" w:cs="Times New Roman"/>
          <w:sz w:val="24"/>
          <w:szCs w:val="20"/>
        </w:rPr>
        <w:t xml:space="preserve"> </w:t>
      </w:r>
    </w:p>
    <w:p w14:paraId="6A0AC5E6" w14:textId="77777777" w:rsidR="00E54436" w:rsidRPr="00E54436" w:rsidRDefault="00E54436" w:rsidP="00E54436">
      <w:pPr>
        <w:pStyle w:val="NormalWeb"/>
        <w:spacing w:before="0" w:beforeAutospacing="0" w:after="0" w:afterAutospacing="0"/>
        <w:ind w:left="450" w:hanging="450"/>
        <w:rPr>
          <w:szCs w:val="20"/>
        </w:rPr>
      </w:pPr>
    </w:p>
    <w:p w14:paraId="3A56F760" w14:textId="77777777" w:rsidR="00E54436" w:rsidRPr="00E54436" w:rsidRDefault="00E54436" w:rsidP="00E54436">
      <w:pPr>
        <w:pStyle w:val="NormalWeb"/>
        <w:spacing w:before="0" w:beforeAutospacing="0" w:after="0" w:afterAutospacing="0"/>
        <w:ind w:left="450" w:hanging="450"/>
        <w:rPr>
          <w:szCs w:val="20"/>
        </w:rPr>
      </w:pPr>
      <w:proofErr w:type="spellStart"/>
      <w:r w:rsidRPr="00E54436">
        <w:rPr>
          <w:szCs w:val="20"/>
        </w:rPr>
        <w:t>Aurand</w:t>
      </w:r>
      <w:proofErr w:type="spellEnd"/>
      <w:r w:rsidRPr="00E54436">
        <w:rPr>
          <w:szCs w:val="20"/>
        </w:rPr>
        <w:t xml:space="preserve">, A. (2019). </w:t>
      </w:r>
      <w:r w:rsidRPr="00E54436">
        <w:rPr>
          <w:i/>
          <w:iCs/>
          <w:szCs w:val="20"/>
        </w:rPr>
        <w:t>The gap: A shortage of affordable homes</w:t>
      </w:r>
      <w:r w:rsidRPr="00E54436">
        <w:rPr>
          <w:szCs w:val="20"/>
        </w:rPr>
        <w:t xml:space="preserve"> (Research Report. Washington, DC.: National </w:t>
      </w:r>
      <w:proofErr w:type="gramStart"/>
      <w:r w:rsidRPr="00E54436">
        <w:rPr>
          <w:szCs w:val="20"/>
        </w:rPr>
        <w:t>Low Income</w:t>
      </w:r>
      <w:proofErr w:type="gramEnd"/>
      <w:r w:rsidRPr="00E54436">
        <w:rPr>
          <w:szCs w:val="20"/>
        </w:rPr>
        <w:t xml:space="preserve"> Housing Coalition. </w:t>
      </w:r>
    </w:p>
    <w:p w14:paraId="355CEA27" w14:textId="77777777" w:rsidR="00E54436" w:rsidRPr="00E54436" w:rsidRDefault="00E54436" w:rsidP="00E54436">
      <w:pPr>
        <w:pStyle w:val="NormalWeb"/>
        <w:spacing w:before="0" w:beforeAutospacing="0" w:after="0" w:afterAutospacing="0"/>
        <w:ind w:left="450" w:hanging="450"/>
        <w:rPr>
          <w:szCs w:val="20"/>
        </w:rPr>
      </w:pPr>
      <w:r w:rsidRPr="00E54436">
        <w:rPr>
          <w:szCs w:val="20"/>
        </w:rPr>
        <w:t xml:space="preserve">Baum-Snow, N., &amp; Marion, J. (2009). The effects of </w:t>
      </w:r>
      <w:proofErr w:type="gramStart"/>
      <w:r w:rsidRPr="00E54436">
        <w:rPr>
          <w:szCs w:val="20"/>
        </w:rPr>
        <w:t>low income</w:t>
      </w:r>
      <w:proofErr w:type="gramEnd"/>
      <w:r w:rsidRPr="00E54436">
        <w:rPr>
          <w:szCs w:val="20"/>
        </w:rPr>
        <w:t xml:space="preserve"> housing tax credit developments on neighborhoods.</w:t>
      </w:r>
      <w:r w:rsidRPr="00E54436">
        <w:rPr>
          <w:i/>
          <w:iCs/>
          <w:szCs w:val="20"/>
        </w:rPr>
        <w:t xml:space="preserve"> Journal of Public Economics, 93</w:t>
      </w:r>
      <w:r w:rsidRPr="00E54436">
        <w:rPr>
          <w:szCs w:val="20"/>
        </w:rPr>
        <w:t xml:space="preserve">, 654. </w:t>
      </w:r>
    </w:p>
    <w:p w14:paraId="488FB08F" w14:textId="77777777" w:rsidR="00E54436" w:rsidRPr="00E54436" w:rsidRDefault="00E54436" w:rsidP="00E54436">
      <w:pPr>
        <w:pStyle w:val="NormalWeb"/>
        <w:spacing w:before="0" w:beforeAutospacing="0" w:after="0" w:afterAutospacing="0"/>
        <w:ind w:left="450" w:hanging="450"/>
        <w:rPr>
          <w:szCs w:val="20"/>
        </w:rPr>
      </w:pPr>
      <w:r w:rsidRPr="00E54436">
        <w:rPr>
          <w:szCs w:val="20"/>
        </w:rPr>
        <w:t>Burge, G. S. (2011). Do tenants capture the benefits from the low-income housing tax credit program?</w:t>
      </w:r>
      <w:r w:rsidRPr="00E54436">
        <w:rPr>
          <w:i/>
          <w:iCs/>
          <w:szCs w:val="20"/>
        </w:rPr>
        <w:t xml:space="preserve"> Real Estate Economics, 39</w:t>
      </w:r>
      <w:r w:rsidRPr="00E54436">
        <w:rPr>
          <w:szCs w:val="20"/>
        </w:rPr>
        <w:t xml:space="preserve">(1), 71. </w:t>
      </w:r>
    </w:p>
    <w:p w14:paraId="4B754859" w14:textId="77777777" w:rsidR="00E54436" w:rsidRPr="00E54436" w:rsidRDefault="00E54436" w:rsidP="00E54436">
      <w:pPr>
        <w:pStyle w:val="NormalWeb"/>
        <w:spacing w:before="0" w:beforeAutospacing="0" w:after="0" w:afterAutospacing="0"/>
        <w:ind w:left="450" w:hanging="450"/>
        <w:rPr>
          <w:szCs w:val="20"/>
        </w:rPr>
      </w:pPr>
      <w:r w:rsidRPr="00E54436">
        <w:rPr>
          <w:szCs w:val="20"/>
        </w:rPr>
        <w:lastRenderedPageBreak/>
        <w:t>Cummings, J. L., &amp; DiPasquale, D. (1999). The low-income housing tax credit: An analysis of the first ten years.</w:t>
      </w:r>
      <w:r w:rsidRPr="00E54436">
        <w:rPr>
          <w:i/>
          <w:iCs/>
          <w:szCs w:val="20"/>
        </w:rPr>
        <w:t xml:space="preserve"> Housing Policy Debate, 10</w:t>
      </w:r>
      <w:r w:rsidRPr="00E54436">
        <w:rPr>
          <w:szCs w:val="20"/>
        </w:rPr>
        <w:t xml:space="preserve">(2), 251. </w:t>
      </w:r>
    </w:p>
    <w:p w14:paraId="6D655579" w14:textId="77777777" w:rsidR="00E54436" w:rsidRPr="00E54436" w:rsidRDefault="00E54436" w:rsidP="00E54436">
      <w:pPr>
        <w:pStyle w:val="NormalWeb"/>
        <w:spacing w:before="0" w:beforeAutospacing="0" w:after="0" w:afterAutospacing="0"/>
        <w:ind w:left="450" w:hanging="450"/>
        <w:rPr>
          <w:szCs w:val="20"/>
        </w:rPr>
      </w:pPr>
      <w:r w:rsidRPr="00E54436">
        <w:rPr>
          <w:szCs w:val="20"/>
        </w:rPr>
        <w:t xml:space="preserve">Di, W., &amp; Murdoch, J. C. (2013). The impact of </w:t>
      </w:r>
      <w:proofErr w:type="gramStart"/>
      <w:r w:rsidRPr="00E54436">
        <w:rPr>
          <w:szCs w:val="20"/>
        </w:rPr>
        <w:t>low income</w:t>
      </w:r>
      <w:proofErr w:type="gramEnd"/>
      <w:r w:rsidRPr="00E54436">
        <w:rPr>
          <w:szCs w:val="20"/>
        </w:rPr>
        <w:t xml:space="preserve"> housing tax credit program on local schools.</w:t>
      </w:r>
      <w:r w:rsidRPr="00E54436">
        <w:rPr>
          <w:i/>
          <w:iCs/>
          <w:szCs w:val="20"/>
        </w:rPr>
        <w:t xml:space="preserve"> Journal of Housing Economics, 22</w:t>
      </w:r>
      <w:r w:rsidRPr="00E54436">
        <w:rPr>
          <w:szCs w:val="20"/>
        </w:rPr>
        <w:t xml:space="preserve">(4), 308. </w:t>
      </w:r>
    </w:p>
    <w:p w14:paraId="638CE64F" w14:textId="77777777" w:rsidR="00E54436" w:rsidRPr="00E54436" w:rsidRDefault="00E54436" w:rsidP="00E54436">
      <w:pPr>
        <w:spacing w:after="0" w:line="240" w:lineRule="auto"/>
        <w:ind w:left="540" w:hanging="540"/>
        <w:rPr>
          <w:rFonts w:ascii="Times New Roman" w:hAnsi="Times New Roman" w:cs="Times New Roman"/>
          <w:sz w:val="24"/>
          <w:szCs w:val="20"/>
        </w:rPr>
      </w:pPr>
      <w:r w:rsidRPr="00E54436">
        <w:rPr>
          <w:rFonts w:ascii="Times New Roman" w:hAnsi="Times New Roman" w:cs="Times New Roman"/>
          <w:sz w:val="24"/>
          <w:szCs w:val="20"/>
          <w:shd w:val="clear" w:color="auto" w:fill="FFFFFF"/>
        </w:rPr>
        <w:t xml:space="preserve">Eriksen, Michael D. and Lang, Bree J., Overview and Proposed Reforms of the Low-Income Housing Tax Credit Program (July 3, 2018). University of Cincinnati Lindner College of Business Research </w:t>
      </w:r>
      <w:proofErr w:type="gramStart"/>
      <w:r w:rsidRPr="00E54436">
        <w:rPr>
          <w:rFonts w:ascii="Times New Roman" w:hAnsi="Times New Roman" w:cs="Times New Roman"/>
          <w:sz w:val="24"/>
          <w:szCs w:val="20"/>
          <w:shd w:val="clear" w:color="auto" w:fill="FFFFFF"/>
        </w:rPr>
        <w:t>Paper .</w:t>
      </w:r>
      <w:proofErr w:type="gramEnd"/>
      <w:r w:rsidRPr="00E54436">
        <w:rPr>
          <w:rFonts w:ascii="Times New Roman" w:hAnsi="Times New Roman" w:cs="Times New Roman"/>
          <w:sz w:val="24"/>
          <w:szCs w:val="20"/>
          <w:shd w:val="clear" w:color="auto" w:fill="FFFFFF"/>
        </w:rPr>
        <w:t xml:space="preserve"> Available at SSRN: </w:t>
      </w:r>
      <w:hyperlink r:id="rId7" w:tgtFrame="_blank" w:history="1">
        <w:r w:rsidRPr="00E54436">
          <w:rPr>
            <w:rStyle w:val="Hyperlink"/>
            <w:rFonts w:ascii="Times New Roman" w:hAnsi="Times New Roman" w:cs="Times New Roman"/>
            <w:color w:val="auto"/>
            <w:sz w:val="24"/>
            <w:szCs w:val="20"/>
            <w:shd w:val="clear" w:color="auto" w:fill="FFFFFF"/>
          </w:rPr>
          <w:t>https://ssrn.com/abstract=3132493</w:t>
        </w:r>
      </w:hyperlink>
      <w:r w:rsidRPr="00E54436">
        <w:rPr>
          <w:rFonts w:ascii="Times New Roman" w:hAnsi="Times New Roman" w:cs="Times New Roman"/>
          <w:sz w:val="24"/>
          <w:szCs w:val="20"/>
          <w:shd w:val="clear" w:color="auto" w:fill="FFFFFF"/>
        </w:rPr>
        <w:t> or </w:t>
      </w:r>
      <w:hyperlink r:id="rId8" w:tgtFrame="_blank" w:history="1">
        <w:r w:rsidRPr="00E54436">
          <w:rPr>
            <w:rStyle w:val="Hyperlink"/>
            <w:rFonts w:ascii="Times New Roman" w:hAnsi="Times New Roman" w:cs="Times New Roman"/>
            <w:color w:val="auto"/>
            <w:sz w:val="24"/>
            <w:szCs w:val="20"/>
            <w:shd w:val="clear" w:color="auto" w:fill="FFFFFF"/>
          </w:rPr>
          <w:t>http://dx.doi.org/10.2139/ssrn.3132493</w:t>
        </w:r>
      </w:hyperlink>
    </w:p>
    <w:p w14:paraId="2F6C5F82" w14:textId="77777777" w:rsidR="00E54436" w:rsidRPr="00E54436" w:rsidRDefault="00E54436" w:rsidP="00E54436">
      <w:pPr>
        <w:pStyle w:val="NormalWeb"/>
        <w:spacing w:before="0" w:beforeAutospacing="0" w:after="0" w:afterAutospacing="0"/>
        <w:ind w:left="450" w:hanging="450"/>
        <w:rPr>
          <w:szCs w:val="20"/>
        </w:rPr>
      </w:pPr>
      <w:r w:rsidRPr="00E54436">
        <w:rPr>
          <w:szCs w:val="20"/>
        </w:rPr>
        <w:t xml:space="preserve">Freedman, M., &amp; Owens, E. (2011). </w:t>
      </w:r>
      <w:r w:rsidRPr="00E54436">
        <w:rPr>
          <w:b/>
          <w:bCs/>
          <w:szCs w:val="20"/>
        </w:rPr>
        <w:t>Low-income housing development and crime</w:t>
      </w:r>
      <w:r w:rsidRPr="00E54436">
        <w:rPr>
          <w:szCs w:val="20"/>
        </w:rPr>
        <w:t>.</w:t>
      </w:r>
      <w:r w:rsidRPr="00E54436">
        <w:rPr>
          <w:i/>
          <w:iCs/>
          <w:szCs w:val="20"/>
        </w:rPr>
        <w:t xml:space="preserve"> Journal of Housing Economics, 70</w:t>
      </w:r>
      <w:r w:rsidRPr="00E54436">
        <w:rPr>
          <w:szCs w:val="20"/>
        </w:rPr>
        <w:t xml:space="preserve">(2-3), 115-131. </w:t>
      </w:r>
    </w:p>
    <w:p w14:paraId="6B98CCE6" w14:textId="77777777" w:rsidR="00E54436" w:rsidRPr="00E54436" w:rsidRDefault="00E54436" w:rsidP="00E54436">
      <w:pPr>
        <w:spacing w:after="0" w:line="240" w:lineRule="auto"/>
        <w:ind w:left="450" w:hanging="450"/>
        <w:rPr>
          <w:rFonts w:ascii="Times New Roman" w:hAnsi="Times New Roman" w:cs="Times New Roman"/>
          <w:b/>
          <w:sz w:val="24"/>
          <w:szCs w:val="20"/>
        </w:rPr>
      </w:pPr>
      <w:r w:rsidRPr="00E54436">
        <w:rPr>
          <w:rFonts w:ascii="Times New Roman" w:hAnsi="Times New Roman" w:cs="Times New Roman"/>
          <w:sz w:val="24"/>
          <w:szCs w:val="20"/>
        </w:rPr>
        <w:t xml:space="preserve">Meghan Henry, Anna </w:t>
      </w:r>
      <w:proofErr w:type="spellStart"/>
      <w:r w:rsidRPr="00E54436">
        <w:rPr>
          <w:rFonts w:ascii="Times New Roman" w:hAnsi="Times New Roman" w:cs="Times New Roman"/>
          <w:sz w:val="24"/>
          <w:szCs w:val="20"/>
        </w:rPr>
        <w:t>Mahathey</w:t>
      </w:r>
      <w:proofErr w:type="spellEnd"/>
      <w:r w:rsidRPr="00E54436">
        <w:rPr>
          <w:rFonts w:ascii="Times New Roman" w:hAnsi="Times New Roman" w:cs="Times New Roman"/>
          <w:sz w:val="24"/>
          <w:szCs w:val="20"/>
        </w:rPr>
        <w:t xml:space="preserve">, Tyler Morrill, Anna Robinson, Azim </w:t>
      </w:r>
      <w:proofErr w:type="spellStart"/>
      <w:r w:rsidRPr="00E54436">
        <w:rPr>
          <w:rFonts w:ascii="Times New Roman" w:hAnsi="Times New Roman" w:cs="Times New Roman"/>
          <w:sz w:val="24"/>
          <w:szCs w:val="20"/>
        </w:rPr>
        <w:t>Shivji</w:t>
      </w:r>
      <w:proofErr w:type="spellEnd"/>
      <w:r w:rsidRPr="00E54436">
        <w:rPr>
          <w:rFonts w:ascii="Times New Roman" w:hAnsi="Times New Roman" w:cs="Times New Roman"/>
          <w:sz w:val="24"/>
          <w:szCs w:val="20"/>
        </w:rPr>
        <w:t xml:space="preserve">, and Rian Watt. (2018). The 2018 annual homeless assessment report (AHAR) to congress. (Government Office </w:t>
      </w:r>
      <w:proofErr w:type="gramStart"/>
      <w:r w:rsidRPr="00E54436">
        <w:rPr>
          <w:rFonts w:ascii="Times New Roman" w:hAnsi="Times New Roman" w:cs="Times New Roman"/>
          <w:sz w:val="24"/>
          <w:szCs w:val="20"/>
        </w:rPr>
        <w:t>Of</w:t>
      </w:r>
      <w:proofErr w:type="gramEnd"/>
      <w:r w:rsidRPr="00E54436">
        <w:rPr>
          <w:rFonts w:ascii="Times New Roman" w:hAnsi="Times New Roman" w:cs="Times New Roman"/>
          <w:sz w:val="24"/>
          <w:szCs w:val="20"/>
        </w:rPr>
        <w:t xml:space="preserve"> Community Planning And Development.</w:t>
      </w:r>
    </w:p>
    <w:p w14:paraId="5FF9891E" w14:textId="77777777" w:rsidR="00E54436" w:rsidRPr="00E54436" w:rsidRDefault="00E54436" w:rsidP="00E54436">
      <w:pPr>
        <w:pStyle w:val="NormalWeb"/>
        <w:spacing w:before="0" w:beforeAutospacing="0" w:after="0" w:afterAutospacing="0"/>
        <w:ind w:left="450" w:hanging="450"/>
        <w:rPr>
          <w:szCs w:val="20"/>
        </w:rPr>
      </w:pPr>
      <w:proofErr w:type="spellStart"/>
      <w:r w:rsidRPr="00E54436">
        <w:rPr>
          <w:szCs w:val="20"/>
        </w:rPr>
        <w:t>Keightley</w:t>
      </w:r>
      <w:proofErr w:type="spellEnd"/>
      <w:r w:rsidRPr="00E54436">
        <w:rPr>
          <w:szCs w:val="20"/>
        </w:rPr>
        <w:t xml:space="preserve">, M. P. (2018). </w:t>
      </w:r>
      <w:r w:rsidRPr="00E54436">
        <w:rPr>
          <w:i/>
          <w:iCs/>
          <w:szCs w:val="20"/>
        </w:rPr>
        <w:t>An introduction to the low-income housing tax credit</w:t>
      </w:r>
      <w:r w:rsidRPr="00E54436">
        <w:rPr>
          <w:szCs w:val="20"/>
        </w:rPr>
        <w:t xml:space="preserve"> (CRS Report No. RS22389). Washington D.C.: Congressional Research Service. </w:t>
      </w:r>
    </w:p>
    <w:p w14:paraId="030E1D97" w14:textId="77777777" w:rsidR="00E54436" w:rsidRPr="00E54436" w:rsidRDefault="00E54436" w:rsidP="00E54436">
      <w:pPr>
        <w:pStyle w:val="NormalWeb"/>
        <w:spacing w:before="0" w:beforeAutospacing="0" w:after="0" w:afterAutospacing="0"/>
        <w:ind w:left="450" w:hanging="450"/>
        <w:rPr>
          <w:szCs w:val="20"/>
        </w:rPr>
      </w:pPr>
      <w:r w:rsidRPr="00E54436">
        <w:rPr>
          <w:szCs w:val="20"/>
        </w:rPr>
        <w:t xml:space="preserve">National Housing Law Project. (2017). </w:t>
      </w:r>
      <w:r w:rsidRPr="00E54436">
        <w:rPr>
          <w:i/>
          <w:iCs/>
          <w:szCs w:val="20"/>
        </w:rPr>
        <w:t>Low-income housing tax credits.</w:t>
      </w:r>
      <w:r w:rsidRPr="00E54436">
        <w:rPr>
          <w:szCs w:val="20"/>
        </w:rPr>
        <w:t xml:space="preserve"> Retrieved 02/11, 2019, from </w:t>
      </w:r>
      <w:hyperlink r:id="rId9" w:tgtFrame="_blank" w:history="1">
        <w:r w:rsidRPr="00E54436">
          <w:rPr>
            <w:rStyle w:val="Hyperlink"/>
            <w:szCs w:val="20"/>
          </w:rPr>
          <w:t>https://www.nhlp.org/resource-center/low-income-housing-tax-credits/</w:t>
        </w:r>
      </w:hyperlink>
      <w:r w:rsidRPr="00E54436">
        <w:rPr>
          <w:szCs w:val="20"/>
        </w:rPr>
        <w:t xml:space="preserve"> </w:t>
      </w:r>
    </w:p>
    <w:p w14:paraId="4F91ED97" w14:textId="77777777" w:rsidR="00E54436" w:rsidRPr="00E54436" w:rsidRDefault="00E54436" w:rsidP="00E54436">
      <w:pPr>
        <w:pStyle w:val="NormalWeb"/>
        <w:spacing w:before="0" w:beforeAutospacing="0" w:after="0" w:afterAutospacing="0"/>
        <w:ind w:left="450" w:hanging="450"/>
        <w:rPr>
          <w:szCs w:val="20"/>
        </w:rPr>
      </w:pPr>
      <w:r w:rsidRPr="00E54436">
        <w:rPr>
          <w:szCs w:val="20"/>
        </w:rPr>
        <w:t xml:space="preserve">Olsen, E. (2018). </w:t>
      </w:r>
      <w:r w:rsidRPr="00E54436">
        <w:rPr>
          <w:i/>
          <w:iCs/>
          <w:szCs w:val="20"/>
        </w:rPr>
        <w:t xml:space="preserve">The Low-Income Housing Tax Credit: Nature Size and Performance, </w:t>
      </w:r>
      <w:r w:rsidRPr="00E54436">
        <w:rPr>
          <w:szCs w:val="20"/>
        </w:rPr>
        <w:t xml:space="preserve">7th Annual AEI-CRN Conference on Housing Markets and Finance. </w:t>
      </w:r>
    </w:p>
    <w:p w14:paraId="2C549B7E" w14:textId="77777777" w:rsidR="00E54436" w:rsidRPr="00E54436" w:rsidRDefault="00E54436" w:rsidP="00E54436">
      <w:pPr>
        <w:pStyle w:val="NormalWeb"/>
        <w:spacing w:before="0" w:beforeAutospacing="0" w:after="0" w:afterAutospacing="0"/>
        <w:ind w:left="450" w:hanging="450"/>
        <w:rPr>
          <w:szCs w:val="20"/>
        </w:rPr>
      </w:pPr>
      <w:proofErr w:type="spellStart"/>
      <w:r w:rsidRPr="00E54436">
        <w:rPr>
          <w:szCs w:val="20"/>
        </w:rPr>
        <w:t>Roden</w:t>
      </w:r>
      <w:proofErr w:type="spellEnd"/>
      <w:r w:rsidRPr="00E54436">
        <w:rPr>
          <w:szCs w:val="20"/>
        </w:rPr>
        <w:t xml:space="preserve">, A. (2010, April 12th, 2010). Building a better low-income housing tax </w:t>
      </w:r>
      <w:proofErr w:type="gramStart"/>
      <w:r w:rsidRPr="00E54436">
        <w:rPr>
          <w:szCs w:val="20"/>
        </w:rPr>
        <w:t>credits</w:t>
      </w:r>
      <w:proofErr w:type="gramEnd"/>
      <w:r w:rsidRPr="00E54436">
        <w:rPr>
          <w:szCs w:val="20"/>
        </w:rPr>
        <w:t>.</w:t>
      </w:r>
      <w:r w:rsidRPr="00E54436">
        <w:rPr>
          <w:i/>
          <w:iCs/>
          <w:szCs w:val="20"/>
        </w:rPr>
        <w:t xml:space="preserve"> On the Margin, Tax Notes</w:t>
      </w:r>
      <w:proofErr w:type="gramStart"/>
      <w:r w:rsidRPr="00E54436">
        <w:rPr>
          <w:i/>
          <w:iCs/>
          <w:szCs w:val="20"/>
        </w:rPr>
        <w:t xml:space="preserve">, </w:t>
      </w:r>
      <w:r w:rsidRPr="00E54436">
        <w:rPr>
          <w:szCs w:val="20"/>
        </w:rPr>
        <w:t>,</w:t>
      </w:r>
      <w:proofErr w:type="gramEnd"/>
      <w:r w:rsidRPr="00E54436">
        <w:rPr>
          <w:szCs w:val="20"/>
        </w:rPr>
        <w:t xml:space="preserve"> 209. </w:t>
      </w:r>
    </w:p>
    <w:p w14:paraId="44DDEEE4" w14:textId="77777777" w:rsidR="00E54436" w:rsidRPr="00E54436" w:rsidRDefault="00E54436" w:rsidP="00E54436">
      <w:pPr>
        <w:pStyle w:val="NormalWeb"/>
        <w:spacing w:before="0" w:beforeAutospacing="0" w:after="0" w:afterAutospacing="0"/>
        <w:ind w:left="450" w:hanging="450"/>
        <w:rPr>
          <w:szCs w:val="20"/>
        </w:rPr>
      </w:pPr>
      <w:proofErr w:type="spellStart"/>
      <w:r w:rsidRPr="00E54436">
        <w:rPr>
          <w:szCs w:val="20"/>
        </w:rPr>
        <w:t>Scally</w:t>
      </w:r>
      <w:proofErr w:type="spellEnd"/>
      <w:r w:rsidRPr="00E54436">
        <w:rPr>
          <w:szCs w:val="20"/>
        </w:rPr>
        <w:t xml:space="preserve">, C. P., Gold, A., &amp; DuBois, N. (2018). </w:t>
      </w:r>
      <w:r w:rsidRPr="00E54436">
        <w:rPr>
          <w:i/>
          <w:iCs/>
          <w:szCs w:val="20"/>
        </w:rPr>
        <w:t>The low-income housing tax credit: How it works and who it serves</w:t>
      </w:r>
      <w:r w:rsidRPr="00E54436">
        <w:rPr>
          <w:szCs w:val="20"/>
        </w:rPr>
        <w:t xml:space="preserve"> (Research </w:t>
      </w:r>
      <w:proofErr w:type="spellStart"/>
      <w:r w:rsidRPr="00E54436">
        <w:rPr>
          <w:szCs w:val="20"/>
        </w:rPr>
        <w:t>ReportUrban</w:t>
      </w:r>
      <w:proofErr w:type="spellEnd"/>
      <w:r w:rsidRPr="00E54436">
        <w:rPr>
          <w:szCs w:val="20"/>
        </w:rPr>
        <w:t xml:space="preserve"> Institute. </w:t>
      </w:r>
    </w:p>
    <w:p w14:paraId="11226A90" w14:textId="77777777" w:rsidR="00E54436" w:rsidRPr="00E54436" w:rsidRDefault="00E54436" w:rsidP="00E54436">
      <w:pPr>
        <w:pStyle w:val="NormalWeb"/>
        <w:spacing w:before="0" w:beforeAutospacing="0" w:after="0" w:afterAutospacing="0"/>
        <w:ind w:left="450" w:hanging="450"/>
        <w:rPr>
          <w:szCs w:val="20"/>
        </w:rPr>
      </w:pPr>
      <w:r w:rsidRPr="00E54436">
        <w:rPr>
          <w:szCs w:val="20"/>
        </w:rPr>
        <w:t xml:space="preserve">Sinai, T., &amp; </w:t>
      </w:r>
      <w:proofErr w:type="spellStart"/>
      <w:r w:rsidRPr="00E54436">
        <w:rPr>
          <w:szCs w:val="20"/>
        </w:rPr>
        <w:t>Waldfogel</w:t>
      </w:r>
      <w:proofErr w:type="spellEnd"/>
      <w:r w:rsidRPr="00E54436">
        <w:rPr>
          <w:szCs w:val="20"/>
        </w:rPr>
        <w:t>, J. (2005). Do low-income housing subsidies increase the occupied housing stock?</w:t>
      </w:r>
      <w:r w:rsidRPr="00E54436">
        <w:rPr>
          <w:i/>
          <w:iCs/>
          <w:szCs w:val="20"/>
        </w:rPr>
        <w:t xml:space="preserve"> Journal of Public Economics, 89</w:t>
      </w:r>
      <w:r w:rsidRPr="00E54436">
        <w:rPr>
          <w:szCs w:val="20"/>
        </w:rPr>
        <w:t xml:space="preserve">(11-12), 2137. </w:t>
      </w:r>
    </w:p>
    <w:p w14:paraId="705EBF98" w14:textId="77777777" w:rsidR="00E54436" w:rsidRPr="00E54436" w:rsidRDefault="00E54436" w:rsidP="00E54436">
      <w:pPr>
        <w:pStyle w:val="NormalWeb"/>
        <w:spacing w:before="0" w:beforeAutospacing="0" w:after="0" w:afterAutospacing="0"/>
        <w:ind w:left="450" w:hanging="450"/>
        <w:rPr>
          <w:szCs w:val="20"/>
        </w:rPr>
      </w:pPr>
      <w:r w:rsidRPr="00E54436">
        <w:rPr>
          <w:szCs w:val="20"/>
        </w:rPr>
        <w:t xml:space="preserve">Wagner School of Public Service. (2017). </w:t>
      </w:r>
      <w:r w:rsidRPr="00E54436">
        <w:rPr>
          <w:i/>
          <w:iCs/>
          <w:szCs w:val="20"/>
        </w:rPr>
        <w:t>The effects of the low-income housing tax credit (LIHTC)</w:t>
      </w:r>
      <w:r w:rsidRPr="00E54436">
        <w:rPr>
          <w:szCs w:val="20"/>
        </w:rPr>
        <w:t xml:space="preserve"> (Research Brief. New York City: NYU Furman Center. </w:t>
      </w:r>
    </w:p>
    <w:p w14:paraId="7DE92DA4" w14:textId="77777777" w:rsidR="006A4A23" w:rsidRDefault="006A4A23">
      <w:pPr>
        <w:rPr>
          <w:rFonts w:ascii="Times New Roman" w:hAnsi="Times New Roman" w:cs="Times New Roman"/>
          <w:b/>
          <w:sz w:val="20"/>
        </w:rPr>
      </w:pPr>
    </w:p>
    <w:p w14:paraId="7588DD7E" w14:textId="77777777" w:rsidR="00B65B4B" w:rsidRPr="00B65B4B" w:rsidRDefault="00B65B4B">
      <w:pPr>
        <w:rPr>
          <w:rFonts w:ascii="Times New Roman" w:hAnsi="Times New Roman" w:cs="Times New Roman"/>
          <w:b/>
          <w:sz w:val="20"/>
        </w:rPr>
      </w:pPr>
    </w:p>
    <w:sectPr w:rsidR="00B65B4B" w:rsidRPr="00B65B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E0FCE" w14:textId="77777777" w:rsidR="00512CAF" w:rsidRDefault="00512CAF" w:rsidP="00D72F2A">
      <w:pPr>
        <w:spacing w:after="0" w:line="240" w:lineRule="auto"/>
      </w:pPr>
      <w:r>
        <w:separator/>
      </w:r>
    </w:p>
  </w:endnote>
  <w:endnote w:type="continuationSeparator" w:id="0">
    <w:p w14:paraId="55713723" w14:textId="77777777" w:rsidR="00512CAF" w:rsidRDefault="00512CAF" w:rsidP="00D72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64811" w14:textId="77777777" w:rsidR="00512CAF" w:rsidRDefault="00512CAF" w:rsidP="00D72F2A">
      <w:pPr>
        <w:spacing w:after="0" w:line="240" w:lineRule="auto"/>
      </w:pPr>
      <w:r>
        <w:separator/>
      </w:r>
    </w:p>
  </w:footnote>
  <w:footnote w:type="continuationSeparator" w:id="0">
    <w:p w14:paraId="12479283" w14:textId="77777777" w:rsidR="00512CAF" w:rsidRDefault="00512CAF" w:rsidP="00D72F2A">
      <w:pPr>
        <w:spacing w:after="0" w:line="240" w:lineRule="auto"/>
      </w:pPr>
      <w:r>
        <w:continuationSeparator/>
      </w:r>
    </w:p>
  </w:footnote>
  <w:footnote w:id="1">
    <w:p w14:paraId="5ECC795D" w14:textId="77777777" w:rsidR="00204281" w:rsidRPr="00AC7322" w:rsidRDefault="00204281" w:rsidP="008A1BDE">
      <w:pPr>
        <w:pStyle w:val="FootnoteText"/>
        <w:rPr>
          <w:rFonts w:ascii="Times New Roman" w:hAnsi="Times New Roman" w:cs="Times New Roman"/>
        </w:rPr>
      </w:pPr>
      <w:r w:rsidRPr="00AC7322">
        <w:rPr>
          <w:rStyle w:val="FootnoteReference"/>
          <w:rFonts w:ascii="Times New Roman" w:hAnsi="Times New Roman" w:cs="Times New Roman"/>
        </w:rPr>
        <w:footnoteRef/>
      </w:r>
      <w:r w:rsidRPr="00AC7322">
        <w:rPr>
          <w:rFonts w:ascii="Times New Roman" w:hAnsi="Times New Roman" w:cs="Times New Roman"/>
        </w:rPr>
        <w:t xml:space="preserve"> The 2018 annual homeless assessment report (AHAR) to Congress.</w:t>
      </w:r>
    </w:p>
  </w:footnote>
  <w:footnote w:id="2">
    <w:p w14:paraId="6558D374" w14:textId="77777777" w:rsidR="00204281" w:rsidRPr="00AC7322" w:rsidRDefault="00204281" w:rsidP="008A1BDE">
      <w:pPr>
        <w:pStyle w:val="FootnoteText"/>
        <w:rPr>
          <w:rFonts w:ascii="Times New Roman" w:hAnsi="Times New Roman" w:cs="Times New Roman"/>
        </w:rPr>
      </w:pPr>
      <w:r w:rsidRPr="00AC7322">
        <w:rPr>
          <w:rStyle w:val="FootnoteReference"/>
          <w:rFonts w:ascii="Times New Roman" w:hAnsi="Times New Roman" w:cs="Times New Roman"/>
        </w:rPr>
        <w:footnoteRef/>
      </w:r>
      <w:r w:rsidRPr="00AC7322">
        <w:rPr>
          <w:rFonts w:ascii="Times New Roman" w:hAnsi="Times New Roman" w:cs="Times New Roman"/>
        </w:rPr>
        <w:t xml:space="preserve"> U.S. Census Bureau and U.S. Department of Housing and Urban Development, Median Sales Price of Houses Sold for the United States [MSPUS], retrieved from FRED, Federal Reserve Bank of St. Louis; https://fred.stlouisfed.org/series/MSPUS, May 1, 2019.</w:t>
      </w:r>
    </w:p>
  </w:footnote>
  <w:footnote w:id="3">
    <w:p w14:paraId="1BB4EDD9" w14:textId="77777777" w:rsidR="00204281" w:rsidRPr="00AC7322" w:rsidRDefault="00204281">
      <w:pPr>
        <w:pStyle w:val="FootnoteText"/>
        <w:rPr>
          <w:rFonts w:ascii="Times New Roman" w:hAnsi="Times New Roman" w:cs="Times New Roman"/>
        </w:rPr>
      </w:pPr>
      <w:r w:rsidRPr="00AC7322">
        <w:rPr>
          <w:rStyle w:val="FootnoteReference"/>
          <w:rFonts w:ascii="Times New Roman" w:hAnsi="Times New Roman" w:cs="Times New Roman"/>
        </w:rPr>
        <w:footnoteRef/>
      </w:r>
      <w:r w:rsidRPr="00AC7322">
        <w:rPr>
          <w:rFonts w:ascii="Times New Roman" w:hAnsi="Times New Roman" w:cs="Times New Roman"/>
        </w:rPr>
        <w:t xml:space="preserve"> National Low-Income Housing Coalition produces an annual report on the gap of affordable housing for low income households.</w:t>
      </w:r>
    </w:p>
  </w:footnote>
  <w:footnote w:id="4">
    <w:p w14:paraId="0715561B" w14:textId="77777777" w:rsidR="00204281" w:rsidRPr="00AC7322" w:rsidRDefault="00204281" w:rsidP="007A6F15">
      <w:pPr>
        <w:pStyle w:val="FootnoteText"/>
        <w:rPr>
          <w:rFonts w:ascii="Times New Roman" w:hAnsi="Times New Roman" w:cs="Times New Roman"/>
        </w:rPr>
      </w:pPr>
      <w:r w:rsidRPr="00AC7322">
        <w:rPr>
          <w:rStyle w:val="FootnoteReference"/>
          <w:rFonts w:ascii="Times New Roman" w:hAnsi="Times New Roman" w:cs="Times New Roman"/>
        </w:rPr>
        <w:footnoteRef/>
      </w:r>
      <w:r w:rsidRPr="00AC7322">
        <w:rPr>
          <w:rFonts w:ascii="Times New Roman" w:hAnsi="Times New Roman" w:cs="Times New Roman"/>
        </w:rPr>
        <w:t xml:space="preserve"> </w:t>
      </w:r>
      <w:proofErr w:type="spellStart"/>
      <w:r w:rsidR="00AC7322" w:rsidRPr="00AC7322">
        <w:rPr>
          <w:rFonts w:ascii="Times New Roman" w:hAnsi="Times New Roman" w:cs="Times New Roman"/>
        </w:rPr>
        <w:t>Blau</w:t>
      </w:r>
      <w:proofErr w:type="spellEnd"/>
      <w:r w:rsidR="00AC7322" w:rsidRPr="00AC7322">
        <w:rPr>
          <w:rFonts w:ascii="Times New Roman" w:hAnsi="Times New Roman" w:cs="Times New Roman"/>
        </w:rPr>
        <w:t>, M. (2019, January 18, 2019). Black southerners are bearing the brunt of America’s eviction epidemic. Stateline,</w:t>
      </w:r>
    </w:p>
  </w:footnote>
  <w:footnote w:id="5">
    <w:p w14:paraId="58950D18" w14:textId="77777777" w:rsidR="00204281" w:rsidRPr="00AC7322" w:rsidRDefault="00204281" w:rsidP="003C7F92">
      <w:pPr>
        <w:pStyle w:val="FootnoteText"/>
        <w:rPr>
          <w:rFonts w:ascii="Times New Roman" w:hAnsi="Times New Roman" w:cs="Times New Roman"/>
        </w:rPr>
      </w:pPr>
      <w:r w:rsidRPr="00AC7322">
        <w:rPr>
          <w:rStyle w:val="FootnoteReference"/>
          <w:rFonts w:ascii="Times New Roman" w:hAnsi="Times New Roman" w:cs="Times New Roman"/>
        </w:rPr>
        <w:footnoteRef/>
      </w:r>
      <w:r w:rsidRPr="00AC7322">
        <w:rPr>
          <w:rFonts w:ascii="Times New Roman" w:hAnsi="Times New Roman" w:cs="Times New Roman"/>
        </w:rPr>
        <w:t xml:space="preserve"> </w:t>
      </w:r>
      <w:r w:rsidR="00AC7322" w:rsidRPr="00AC7322">
        <w:rPr>
          <w:rFonts w:ascii="Times New Roman" w:hAnsi="Times New Roman" w:cs="Times New Roman"/>
        </w:rPr>
        <w:t xml:space="preserve">Badger, E., &amp; Bui, Q. (2018, April 7, 2018). In 83 million eviction records, a sweeping and intimate new look at housing in </w:t>
      </w:r>
      <w:proofErr w:type="spellStart"/>
      <w:r w:rsidR="00AC7322" w:rsidRPr="00AC7322">
        <w:rPr>
          <w:rFonts w:ascii="Times New Roman" w:hAnsi="Times New Roman" w:cs="Times New Roman"/>
        </w:rPr>
        <w:t>america</w:t>
      </w:r>
      <w:proofErr w:type="spellEnd"/>
      <w:r w:rsidR="00AC7322" w:rsidRPr="00AC7322">
        <w:rPr>
          <w:rFonts w:ascii="Times New Roman" w:hAnsi="Times New Roman" w:cs="Times New Roman"/>
        </w:rPr>
        <w:t>. Upshot, New York Times,</w:t>
      </w:r>
    </w:p>
  </w:footnote>
  <w:footnote w:id="6">
    <w:p w14:paraId="69242FE7" w14:textId="77777777" w:rsidR="00204281" w:rsidRPr="00AC7322" w:rsidRDefault="00204281">
      <w:pPr>
        <w:pStyle w:val="FootnoteText"/>
        <w:rPr>
          <w:rFonts w:ascii="Times New Roman" w:hAnsi="Times New Roman" w:cs="Times New Roman"/>
        </w:rPr>
      </w:pPr>
      <w:r w:rsidRPr="00AC7322">
        <w:rPr>
          <w:rStyle w:val="FootnoteReference"/>
          <w:rFonts w:ascii="Times New Roman" w:hAnsi="Times New Roman" w:cs="Times New Roman"/>
        </w:rPr>
        <w:footnoteRef/>
      </w:r>
      <w:r w:rsidRPr="00AC7322">
        <w:rPr>
          <w:rFonts w:ascii="Times New Roman" w:hAnsi="Times New Roman" w:cs="Times New Roman"/>
        </w:rPr>
        <w:t xml:space="preserve"> </w:t>
      </w:r>
      <w:r w:rsidR="00AC7322" w:rsidRPr="00AC7322">
        <w:rPr>
          <w:rFonts w:ascii="Times New Roman" w:hAnsi="Times New Roman" w:cs="Times New Roman"/>
        </w:rPr>
        <w:t xml:space="preserve">The Congressional Research Service published a brief that describes the LIHTC allocation process. The process is overly detailed with many different partners involved, and produces a very long process that takes up to several years before the project is finally placed in service. </w:t>
      </w:r>
    </w:p>
  </w:footnote>
  <w:footnote w:id="7">
    <w:p w14:paraId="2C4E971F" w14:textId="77777777" w:rsidR="00204281" w:rsidRPr="00AC7322" w:rsidRDefault="00204281">
      <w:pPr>
        <w:pStyle w:val="FootnoteText"/>
        <w:rPr>
          <w:rFonts w:ascii="Times New Roman" w:hAnsi="Times New Roman" w:cs="Times New Roman"/>
        </w:rPr>
      </w:pPr>
      <w:r w:rsidRPr="00AC7322">
        <w:rPr>
          <w:rStyle w:val="FootnoteReference"/>
          <w:rFonts w:ascii="Times New Roman" w:hAnsi="Times New Roman" w:cs="Times New Roman"/>
        </w:rPr>
        <w:footnoteRef/>
      </w:r>
      <w:r w:rsidRPr="00AC7322">
        <w:rPr>
          <w:rFonts w:ascii="Times New Roman" w:hAnsi="Times New Roman" w:cs="Times New Roman"/>
        </w:rPr>
        <w:t xml:space="preserve"> Area Median Income is a measure used by the HUD to compare family incomes within a geographic area. The HUD uses this measure to determine eligibility for many of its housing programs. Making 30% or less of AMI defines you as extremely low income while making less than 50% of AMI makes you very low-income.</w:t>
      </w:r>
    </w:p>
  </w:footnote>
  <w:footnote w:id="8">
    <w:p w14:paraId="5E0850CF" w14:textId="77777777" w:rsidR="00204281" w:rsidRPr="00AC7322" w:rsidRDefault="00204281">
      <w:pPr>
        <w:pStyle w:val="FootnoteText"/>
        <w:rPr>
          <w:rFonts w:ascii="Times New Roman" w:hAnsi="Times New Roman" w:cs="Times New Roman"/>
        </w:rPr>
      </w:pPr>
      <w:r w:rsidRPr="00AC7322">
        <w:rPr>
          <w:rStyle w:val="FootnoteReference"/>
          <w:rFonts w:ascii="Times New Roman" w:hAnsi="Times New Roman" w:cs="Times New Roman"/>
        </w:rPr>
        <w:footnoteRef/>
      </w:r>
      <w:r w:rsidRPr="00AC7322">
        <w:rPr>
          <w:rFonts w:ascii="Times New Roman" w:hAnsi="Times New Roman" w:cs="Times New Roman"/>
        </w:rPr>
        <w:t xml:space="preserve"> Previously for projects placed in service between 1987 and 1989, the period of affordability was only 15 years. </w:t>
      </w:r>
    </w:p>
  </w:footnote>
  <w:footnote w:id="9">
    <w:p w14:paraId="0010F928" w14:textId="77777777" w:rsidR="00204281" w:rsidRPr="00AC7322" w:rsidRDefault="00204281">
      <w:pPr>
        <w:pStyle w:val="FootnoteText"/>
        <w:rPr>
          <w:rFonts w:ascii="Times New Roman" w:hAnsi="Times New Roman" w:cs="Times New Roman"/>
          <w:color w:val="000000"/>
        </w:rPr>
      </w:pPr>
      <w:r w:rsidRPr="00AC7322">
        <w:rPr>
          <w:rStyle w:val="FootnoteReference"/>
          <w:rFonts w:ascii="Times New Roman" w:hAnsi="Times New Roman" w:cs="Times New Roman"/>
        </w:rPr>
        <w:footnoteRef/>
      </w:r>
      <w:r w:rsidRPr="00AC7322">
        <w:rPr>
          <w:rFonts w:ascii="Times New Roman" w:hAnsi="Times New Roman" w:cs="Times New Roman"/>
        </w:rPr>
        <w:t xml:space="preserve"> </w:t>
      </w:r>
      <w:r w:rsidRPr="00AC7322">
        <w:rPr>
          <w:rFonts w:ascii="Times New Roman" w:hAnsi="Times New Roman" w:cs="Times New Roman"/>
          <w:i/>
          <w:iCs/>
          <w:color w:val="000000"/>
        </w:rPr>
        <w:t>Data</w:t>
      </w:r>
      <w:r w:rsidRPr="00AC7322">
        <w:rPr>
          <w:rFonts w:ascii="Times New Roman" w:hAnsi="Times New Roman" w:cs="Times New Roman"/>
          <w:color w:val="000000"/>
        </w:rPr>
        <w:t xml:space="preserve">: Matthew Desmond, Ashley </w:t>
      </w:r>
      <w:proofErr w:type="spellStart"/>
      <w:r w:rsidRPr="00AC7322">
        <w:rPr>
          <w:rFonts w:ascii="Times New Roman" w:hAnsi="Times New Roman" w:cs="Times New Roman"/>
          <w:color w:val="000000"/>
        </w:rPr>
        <w:t>Gromis</w:t>
      </w:r>
      <w:proofErr w:type="spellEnd"/>
      <w:r w:rsidRPr="00AC7322">
        <w:rPr>
          <w:rFonts w:ascii="Times New Roman" w:hAnsi="Times New Roman" w:cs="Times New Roman"/>
          <w:color w:val="000000"/>
        </w:rPr>
        <w:t xml:space="preserve">, </w:t>
      </w:r>
      <w:proofErr w:type="spellStart"/>
      <w:r w:rsidRPr="00AC7322">
        <w:rPr>
          <w:rFonts w:ascii="Times New Roman" w:hAnsi="Times New Roman" w:cs="Times New Roman"/>
          <w:color w:val="000000"/>
        </w:rPr>
        <w:t>Lavar</w:t>
      </w:r>
      <w:proofErr w:type="spellEnd"/>
      <w:r w:rsidRPr="00AC7322">
        <w:rPr>
          <w:rFonts w:ascii="Times New Roman" w:hAnsi="Times New Roman" w:cs="Times New Roman"/>
          <w:color w:val="000000"/>
        </w:rPr>
        <w:t xml:space="preserve"> Edmonds, James Hendrickson, Katie </w:t>
      </w:r>
      <w:proofErr w:type="spellStart"/>
      <w:r w:rsidRPr="00AC7322">
        <w:rPr>
          <w:rFonts w:ascii="Times New Roman" w:hAnsi="Times New Roman" w:cs="Times New Roman"/>
          <w:color w:val="000000"/>
        </w:rPr>
        <w:t>Krywokulski</w:t>
      </w:r>
      <w:proofErr w:type="spellEnd"/>
      <w:r w:rsidRPr="00AC7322">
        <w:rPr>
          <w:rFonts w:ascii="Times New Roman" w:hAnsi="Times New Roman" w:cs="Times New Roman"/>
          <w:color w:val="000000"/>
        </w:rPr>
        <w:t xml:space="preserve">, Lillian Leung, and Adam </w:t>
      </w:r>
      <w:proofErr w:type="spellStart"/>
      <w:r w:rsidRPr="00AC7322">
        <w:rPr>
          <w:rFonts w:ascii="Times New Roman" w:hAnsi="Times New Roman" w:cs="Times New Roman"/>
          <w:color w:val="000000"/>
        </w:rPr>
        <w:t>Porton</w:t>
      </w:r>
      <w:proofErr w:type="spellEnd"/>
      <w:r w:rsidRPr="00AC7322">
        <w:rPr>
          <w:rFonts w:ascii="Times New Roman" w:hAnsi="Times New Roman" w:cs="Times New Roman"/>
          <w:color w:val="000000"/>
        </w:rPr>
        <w:t xml:space="preserve">. </w:t>
      </w:r>
      <w:r w:rsidRPr="00AC7322">
        <w:rPr>
          <w:rFonts w:ascii="Times New Roman" w:hAnsi="Times New Roman" w:cs="Times New Roman"/>
          <w:i/>
          <w:iCs/>
          <w:color w:val="000000"/>
        </w:rPr>
        <w:t>Eviction Lab National Database: Version 1.0</w:t>
      </w:r>
      <w:r w:rsidRPr="00AC7322">
        <w:rPr>
          <w:rFonts w:ascii="Times New Roman" w:hAnsi="Times New Roman" w:cs="Times New Roman"/>
          <w:color w:val="000000"/>
        </w:rPr>
        <w:t xml:space="preserve">. Princeton: Princeton University, 2018, </w:t>
      </w:r>
      <w:hyperlink r:id="rId1" w:history="1">
        <w:r w:rsidR="00AC7322" w:rsidRPr="00AC7322">
          <w:rPr>
            <w:rStyle w:val="Hyperlink"/>
            <w:rFonts w:ascii="Times New Roman" w:hAnsi="Times New Roman" w:cs="Times New Roman"/>
          </w:rPr>
          <w:t>www.evictionlab.org</w:t>
        </w:r>
      </w:hyperlink>
      <w:r w:rsidRPr="00AC7322">
        <w:rPr>
          <w:rFonts w:ascii="Times New Roman" w:hAnsi="Times New Roman" w:cs="Times New Roman"/>
          <w:color w:val="000000"/>
        </w:rPr>
        <w:t>.</w:t>
      </w:r>
    </w:p>
  </w:footnote>
  <w:footnote w:id="10">
    <w:p w14:paraId="263332D9" w14:textId="77777777" w:rsidR="00204281" w:rsidRPr="00AC7322" w:rsidRDefault="00204281">
      <w:pPr>
        <w:pStyle w:val="FootnoteText"/>
        <w:rPr>
          <w:rFonts w:ascii="Times New Roman" w:hAnsi="Times New Roman" w:cs="Times New Roman"/>
        </w:rPr>
      </w:pPr>
      <w:r w:rsidRPr="00AC7322">
        <w:rPr>
          <w:rStyle w:val="FootnoteReference"/>
          <w:rFonts w:ascii="Times New Roman" w:hAnsi="Times New Roman" w:cs="Times New Roman"/>
        </w:rPr>
        <w:footnoteRef/>
      </w:r>
      <w:r w:rsidRPr="00AC7322">
        <w:rPr>
          <w:rFonts w:ascii="Times New Roman" w:hAnsi="Times New Roman" w:cs="Times New Roman"/>
        </w:rPr>
        <w:t xml:space="preserve"> During the cleaning process of the dataset, it was apparent that a restriction needed to be placed. Geocoding each LIHTC property required pinging a Google API service called Geocoding API that processed addresses into geographic coordinates. These geographic coordinates were used to find the exact county or city each project was located in. Google provided this service for free until a certain quota or limit was met. After hitting the limit, a $250 purchase could provide unlimited access or at a billable cost of $5 for each 1000 requests to the API service. This was deemed too high of a cost for this paper and therefore the dataset for this study was restricted to Virginia.</w:t>
      </w:r>
    </w:p>
  </w:footnote>
  <w:footnote w:id="11">
    <w:p w14:paraId="153274F8" w14:textId="77777777" w:rsidR="00204281" w:rsidRPr="00AC7322" w:rsidRDefault="00204281">
      <w:pPr>
        <w:pStyle w:val="FootnoteText"/>
        <w:rPr>
          <w:rFonts w:ascii="Times New Roman" w:hAnsi="Times New Roman" w:cs="Times New Roman"/>
        </w:rPr>
      </w:pPr>
      <w:r w:rsidRPr="00AC7322">
        <w:rPr>
          <w:rStyle w:val="FootnoteReference"/>
          <w:rFonts w:ascii="Times New Roman" w:hAnsi="Times New Roman" w:cs="Times New Roman"/>
        </w:rPr>
        <w:footnoteRef/>
      </w:r>
      <w:r w:rsidRPr="00AC7322">
        <w:rPr>
          <w:rFonts w:ascii="Times New Roman" w:hAnsi="Times New Roman" w:cs="Times New Roman"/>
        </w:rPr>
        <w:t xml:space="preserve"> Properties developed between 1987 and 1989 have use restrictions for 15 years. After the </w:t>
      </w:r>
      <w:proofErr w:type="gramStart"/>
      <w:r w:rsidRPr="00AC7322">
        <w:rPr>
          <w:rFonts w:ascii="Times New Roman" w:hAnsi="Times New Roman" w:cs="Times New Roman"/>
        </w:rPr>
        <w:t>15 year</w:t>
      </w:r>
      <w:proofErr w:type="gramEnd"/>
      <w:r w:rsidRPr="00AC7322">
        <w:rPr>
          <w:rFonts w:ascii="Times New Roman" w:hAnsi="Times New Roman" w:cs="Times New Roman"/>
        </w:rPr>
        <w:t xml:space="preserve"> period, property owners had the right to forego affordability and income requirements and raise prices for rental units to market levels. Without data on which properties ended their commitments to affordable housing, all LIHTC projects placed between 1987 and 1989 were excluded from the sample.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2A"/>
    <w:rsid w:val="00012F6E"/>
    <w:rsid w:val="00033E7C"/>
    <w:rsid w:val="00061707"/>
    <w:rsid w:val="00075451"/>
    <w:rsid w:val="00086A8B"/>
    <w:rsid w:val="000A1403"/>
    <w:rsid w:val="000D06BF"/>
    <w:rsid w:val="00113E04"/>
    <w:rsid w:val="001616CB"/>
    <w:rsid w:val="00174F75"/>
    <w:rsid w:val="0019215D"/>
    <w:rsid w:val="001B73C5"/>
    <w:rsid w:val="001D484D"/>
    <w:rsid w:val="00200EA8"/>
    <w:rsid w:val="00202553"/>
    <w:rsid w:val="00204281"/>
    <w:rsid w:val="00207743"/>
    <w:rsid w:val="002474A3"/>
    <w:rsid w:val="00254B1A"/>
    <w:rsid w:val="002608B7"/>
    <w:rsid w:val="002A5CE6"/>
    <w:rsid w:val="002A601E"/>
    <w:rsid w:val="002C2EA6"/>
    <w:rsid w:val="002D575C"/>
    <w:rsid w:val="002E1710"/>
    <w:rsid w:val="002E52D6"/>
    <w:rsid w:val="002F27A4"/>
    <w:rsid w:val="00301F98"/>
    <w:rsid w:val="00356EAE"/>
    <w:rsid w:val="00361433"/>
    <w:rsid w:val="00377FA4"/>
    <w:rsid w:val="003B1928"/>
    <w:rsid w:val="003B29E3"/>
    <w:rsid w:val="003C69B5"/>
    <w:rsid w:val="003C7F92"/>
    <w:rsid w:val="00401A15"/>
    <w:rsid w:val="00430CFA"/>
    <w:rsid w:val="004702C5"/>
    <w:rsid w:val="00473B07"/>
    <w:rsid w:val="00496539"/>
    <w:rsid w:val="004D52FD"/>
    <w:rsid w:val="00506EB9"/>
    <w:rsid w:val="00512CAF"/>
    <w:rsid w:val="00513D33"/>
    <w:rsid w:val="00532CA1"/>
    <w:rsid w:val="00543051"/>
    <w:rsid w:val="005554CA"/>
    <w:rsid w:val="005754D7"/>
    <w:rsid w:val="00585907"/>
    <w:rsid w:val="005C5816"/>
    <w:rsid w:val="005D534C"/>
    <w:rsid w:val="00601A07"/>
    <w:rsid w:val="006A4A23"/>
    <w:rsid w:val="007019D1"/>
    <w:rsid w:val="00782B55"/>
    <w:rsid w:val="007936B9"/>
    <w:rsid w:val="007A6F15"/>
    <w:rsid w:val="007B2B67"/>
    <w:rsid w:val="007D0988"/>
    <w:rsid w:val="007D59B1"/>
    <w:rsid w:val="007F28E5"/>
    <w:rsid w:val="007F6586"/>
    <w:rsid w:val="00836688"/>
    <w:rsid w:val="00856268"/>
    <w:rsid w:val="0088337A"/>
    <w:rsid w:val="008A1BDE"/>
    <w:rsid w:val="008B1105"/>
    <w:rsid w:val="008F707F"/>
    <w:rsid w:val="0091284C"/>
    <w:rsid w:val="0092654B"/>
    <w:rsid w:val="00944947"/>
    <w:rsid w:val="00972315"/>
    <w:rsid w:val="009C0BC7"/>
    <w:rsid w:val="009C319D"/>
    <w:rsid w:val="00A06A30"/>
    <w:rsid w:val="00A53448"/>
    <w:rsid w:val="00A74214"/>
    <w:rsid w:val="00A90824"/>
    <w:rsid w:val="00A94B8E"/>
    <w:rsid w:val="00AC7322"/>
    <w:rsid w:val="00AD48C2"/>
    <w:rsid w:val="00AE50AF"/>
    <w:rsid w:val="00B006D0"/>
    <w:rsid w:val="00B00A8D"/>
    <w:rsid w:val="00B14157"/>
    <w:rsid w:val="00B323D1"/>
    <w:rsid w:val="00B327ED"/>
    <w:rsid w:val="00B65B4B"/>
    <w:rsid w:val="00B71C2C"/>
    <w:rsid w:val="00B75CFB"/>
    <w:rsid w:val="00B826BC"/>
    <w:rsid w:val="00B93B12"/>
    <w:rsid w:val="00BC3A95"/>
    <w:rsid w:val="00C03833"/>
    <w:rsid w:val="00C47083"/>
    <w:rsid w:val="00C51C8A"/>
    <w:rsid w:val="00C56859"/>
    <w:rsid w:val="00C61E9F"/>
    <w:rsid w:val="00C90E8E"/>
    <w:rsid w:val="00CA72E7"/>
    <w:rsid w:val="00CE3AF2"/>
    <w:rsid w:val="00CF342C"/>
    <w:rsid w:val="00D212CF"/>
    <w:rsid w:val="00D278F0"/>
    <w:rsid w:val="00D402BF"/>
    <w:rsid w:val="00D65ED4"/>
    <w:rsid w:val="00D72F2A"/>
    <w:rsid w:val="00E03849"/>
    <w:rsid w:val="00E04F98"/>
    <w:rsid w:val="00E362A4"/>
    <w:rsid w:val="00E54436"/>
    <w:rsid w:val="00E56166"/>
    <w:rsid w:val="00E60F87"/>
    <w:rsid w:val="00E61866"/>
    <w:rsid w:val="00EC34E5"/>
    <w:rsid w:val="00ED240D"/>
    <w:rsid w:val="00EE780B"/>
    <w:rsid w:val="00EF3267"/>
    <w:rsid w:val="00F513EE"/>
    <w:rsid w:val="00F83BB6"/>
    <w:rsid w:val="00FC34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2470"/>
  <w15:chartTrackingRefBased/>
  <w15:docId w15:val="{67ACF30A-3B14-4F15-B34F-CA0C1787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72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F2A"/>
    <w:rPr>
      <w:sz w:val="20"/>
      <w:szCs w:val="20"/>
    </w:rPr>
  </w:style>
  <w:style w:type="character" w:styleId="FootnoteReference">
    <w:name w:val="footnote reference"/>
    <w:basedOn w:val="DefaultParagraphFont"/>
    <w:uiPriority w:val="99"/>
    <w:semiHidden/>
    <w:unhideWhenUsed/>
    <w:rsid w:val="00D72F2A"/>
    <w:rPr>
      <w:vertAlign w:val="superscript"/>
    </w:rPr>
  </w:style>
  <w:style w:type="character" w:styleId="Hyperlink">
    <w:name w:val="Hyperlink"/>
    <w:basedOn w:val="DefaultParagraphFont"/>
    <w:uiPriority w:val="99"/>
    <w:unhideWhenUsed/>
    <w:rsid w:val="007D0988"/>
    <w:rPr>
      <w:color w:val="0000FF"/>
      <w:u w:val="single"/>
    </w:rPr>
  </w:style>
  <w:style w:type="table" w:styleId="TableGrid">
    <w:name w:val="Table Grid"/>
    <w:basedOn w:val="TableNormal"/>
    <w:uiPriority w:val="39"/>
    <w:rsid w:val="00C61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61E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3C69B5"/>
    <w:rPr>
      <w:sz w:val="16"/>
      <w:szCs w:val="16"/>
    </w:rPr>
  </w:style>
  <w:style w:type="paragraph" w:styleId="CommentText">
    <w:name w:val="annotation text"/>
    <w:basedOn w:val="Normal"/>
    <w:link w:val="CommentTextChar"/>
    <w:uiPriority w:val="99"/>
    <w:semiHidden/>
    <w:unhideWhenUsed/>
    <w:rsid w:val="003C69B5"/>
    <w:pPr>
      <w:spacing w:line="240" w:lineRule="auto"/>
    </w:pPr>
    <w:rPr>
      <w:sz w:val="20"/>
      <w:szCs w:val="20"/>
    </w:rPr>
  </w:style>
  <w:style w:type="character" w:customStyle="1" w:styleId="CommentTextChar">
    <w:name w:val="Comment Text Char"/>
    <w:basedOn w:val="DefaultParagraphFont"/>
    <w:link w:val="CommentText"/>
    <w:uiPriority w:val="99"/>
    <w:semiHidden/>
    <w:rsid w:val="003C69B5"/>
    <w:rPr>
      <w:sz w:val="20"/>
      <w:szCs w:val="20"/>
    </w:rPr>
  </w:style>
  <w:style w:type="paragraph" w:styleId="CommentSubject">
    <w:name w:val="annotation subject"/>
    <w:basedOn w:val="CommentText"/>
    <w:next w:val="CommentText"/>
    <w:link w:val="CommentSubjectChar"/>
    <w:uiPriority w:val="99"/>
    <w:semiHidden/>
    <w:unhideWhenUsed/>
    <w:rsid w:val="003C69B5"/>
    <w:rPr>
      <w:b/>
      <w:bCs/>
    </w:rPr>
  </w:style>
  <w:style w:type="character" w:customStyle="1" w:styleId="CommentSubjectChar">
    <w:name w:val="Comment Subject Char"/>
    <w:basedOn w:val="CommentTextChar"/>
    <w:link w:val="CommentSubject"/>
    <w:uiPriority w:val="99"/>
    <w:semiHidden/>
    <w:rsid w:val="003C69B5"/>
    <w:rPr>
      <w:b/>
      <w:bCs/>
      <w:sz w:val="20"/>
      <w:szCs w:val="20"/>
    </w:rPr>
  </w:style>
  <w:style w:type="paragraph" w:styleId="BalloonText">
    <w:name w:val="Balloon Text"/>
    <w:basedOn w:val="Normal"/>
    <w:link w:val="BalloonTextChar"/>
    <w:uiPriority w:val="99"/>
    <w:semiHidden/>
    <w:unhideWhenUsed/>
    <w:rsid w:val="003C6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9B5"/>
    <w:rPr>
      <w:rFonts w:ascii="Segoe UI" w:hAnsi="Segoe UI" w:cs="Segoe UI"/>
      <w:sz w:val="18"/>
      <w:szCs w:val="18"/>
    </w:rPr>
  </w:style>
  <w:style w:type="paragraph" w:styleId="ListParagraph">
    <w:name w:val="List Paragraph"/>
    <w:basedOn w:val="Normal"/>
    <w:uiPriority w:val="34"/>
    <w:qFormat/>
    <w:rsid w:val="00944947"/>
    <w:pPr>
      <w:ind w:left="720"/>
      <w:contextualSpacing/>
    </w:pPr>
  </w:style>
  <w:style w:type="character" w:styleId="PlaceholderText">
    <w:name w:val="Placeholder Text"/>
    <w:basedOn w:val="DefaultParagraphFont"/>
    <w:uiPriority w:val="99"/>
    <w:semiHidden/>
    <w:rsid w:val="00A53448"/>
    <w:rPr>
      <w:color w:val="808080"/>
    </w:rPr>
  </w:style>
  <w:style w:type="character" w:styleId="UnresolvedMention">
    <w:name w:val="Unresolved Mention"/>
    <w:basedOn w:val="DefaultParagraphFont"/>
    <w:uiPriority w:val="99"/>
    <w:semiHidden/>
    <w:unhideWhenUsed/>
    <w:rsid w:val="00B65B4B"/>
    <w:rPr>
      <w:color w:val="605E5C"/>
      <w:shd w:val="clear" w:color="auto" w:fill="E1DFDD"/>
    </w:rPr>
  </w:style>
  <w:style w:type="paragraph" w:styleId="NormalWeb">
    <w:name w:val="Normal (Web)"/>
    <w:basedOn w:val="Normal"/>
    <w:uiPriority w:val="99"/>
    <w:unhideWhenUsed/>
    <w:rsid w:val="00E5443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9624">
      <w:bodyDiv w:val="1"/>
      <w:marLeft w:val="0"/>
      <w:marRight w:val="0"/>
      <w:marTop w:val="0"/>
      <w:marBottom w:val="0"/>
      <w:divBdr>
        <w:top w:val="none" w:sz="0" w:space="0" w:color="auto"/>
        <w:left w:val="none" w:sz="0" w:space="0" w:color="auto"/>
        <w:bottom w:val="none" w:sz="0" w:space="0" w:color="auto"/>
        <w:right w:val="none" w:sz="0" w:space="0" w:color="auto"/>
      </w:divBdr>
    </w:div>
    <w:div w:id="239142002">
      <w:bodyDiv w:val="1"/>
      <w:marLeft w:val="0"/>
      <w:marRight w:val="0"/>
      <w:marTop w:val="0"/>
      <w:marBottom w:val="0"/>
      <w:divBdr>
        <w:top w:val="none" w:sz="0" w:space="0" w:color="auto"/>
        <w:left w:val="none" w:sz="0" w:space="0" w:color="auto"/>
        <w:bottom w:val="none" w:sz="0" w:space="0" w:color="auto"/>
        <w:right w:val="none" w:sz="0" w:space="0" w:color="auto"/>
      </w:divBdr>
    </w:div>
    <w:div w:id="247469051">
      <w:bodyDiv w:val="1"/>
      <w:marLeft w:val="0"/>
      <w:marRight w:val="0"/>
      <w:marTop w:val="0"/>
      <w:marBottom w:val="0"/>
      <w:divBdr>
        <w:top w:val="none" w:sz="0" w:space="0" w:color="auto"/>
        <w:left w:val="none" w:sz="0" w:space="0" w:color="auto"/>
        <w:bottom w:val="none" w:sz="0" w:space="0" w:color="auto"/>
        <w:right w:val="none" w:sz="0" w:space="0" w:color="auto"/>
      </w:divBdr>
    </w:div>
    <w:div w:id="426585001">
      <w:bodyDiv w:val="1"/>
      <w:marLeft w:val="0"/>
      <w:marRight w:val="0"/>
      <w:marTop w:val="0"/>
      <w:marBottom w:val="0"/>
      <w:divBdr>
        <w:top w:val="none" w:sz="0" w:space="0" w:color="auto"/>
        <w:left w:val="none" w:sz="0" w:space="0" w:color="auto"/>
        <w:bottom w:val="none" w:sz="0" w:space="0" w:color="auto"/>
        <w:right w:val="none" w:sz="0" w:space="0" w:color="auto"/>
      </w:divBdr>
    </w:div>
    <w:div w:id="1205101353">
      <w:bodyDiv w:val="1"/>
      <w:marLeft w:val="0"/>
      <w:marRight w:val="0"/>
      <w:marTop w:val="0"/>
      <w:marBottom w:val="0"/>
      <w:divBdr>
        <w:top w:val="none" w:sz="0" w:space="0" w:color="auto"/>
        <w:left w:val="none" w:sz="0" w:space="0" w:color="auto"/>
        <w:bottom w:val="none" w:sz="0" w:space="0" w:color="auto"/>
        <w:right w:val="none" w:sz="0" w:space="0" w:color="auto"/>
      </w:divBdr>
    </w:div>
    <w:div w:id="2022076208">
      <w:bodyDiv w:val="1"/>
      <w:marLeft w:val="0"/>
      <w:marRight w:val="0"/>
      <w:marTop w:val="0"/>
      <w:marBottom w:val="0"/>
      <w:divBdr>
        <w:top w:val="none" w:sz="0" w:space="0" w:color="auto"/>
        <w:left w:val="none" w:sz="0" w:space="0" w:color="auto"/>
        <w:bottom w:val="none" w:sz="0" w:space="0" w:color="auto"/>
        <w:right w:val="none" w:sz="0" w:space="0" w:color="auto"/>
      </w:divBdr>
    </w:div>
    <w:div w:id="203391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2139/ssrn.3132493" TargetMode="External"/><Relationship Id="rId3" Type="http://schemas.openxmlformats.org/officeDocument/2006/relationships/settings" Target="settings.xml"/><Relationship Id="rId7" Type="http://schemas.openxmlformats.org/officeDocument/2006/relationships/hyperlink" Target="https://ssrn.com/abstract=313249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hlp.org/resource-center/low-income-housing-tax-credi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viction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853A-7915-4D1E-8F40-179EA266B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4657</Words>
  <Characters>26548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 B Lee</cp:lastModifiedBy>
  <cp:revision>2</cp:revision>
  <dcterms:created xsi:type="dcterms:W3CDTF">2021-06-21T05:30:00Z</dcterms:created>
  <dcterms:modified xsi:type="dcterms:W3CDTF">2021-06-21T05:30:00Z</dcterms:modified>
</cp:coreProperties>
</file>