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Figure 1. Scope 1 emissions by scenario, including the Net Zero 2050 pathway with CCUS disabled (2025–2050).</w:t>
      </w:r>
    </w:p>
    <w:p>
      <w:r>
        <w:t>Figure 2. Technology shares by scenario. The top panel emphasises the Net Zero 2050 pathway with CCUS disabled; lower panels show the NGFS Net Zero, Below 2°C, and NDC trajectories.</w:t>
      </w:r>
    </w:p>
    <w:p>
      <w:r>
        <w:t>Figure 3. Production mix by technology route (Mt/year). Panels mirror Figure 2, with the Net Zero 2050 (No CCUS) case highlighted.</w:t>
      </w:r>
    </w:p>
    <w:p>
      <w:r>
        <w:t>Figure 4. Annual Scope 1 emissions (left) and emissions intensity (right) by scenario.</w:t>
      </w:r>
    </w:p>
    <w:p>
      <w:r>
        <w:t>Figure 5. Annual ETS compliance costs across the NGFS price trajectories plus the Net Zero 2050 (No CCUS) sensitivity.</w:t>
      </w:r>
    </w:p>
    <w:p>
      <w:r>
        <w:t>Figure 6. ETS cost mechanics for the Net Zero 2050 (No CCUS) pathway. The top panel contrasts gross emissions, free allocation, and allowance prices; the lower panel shows net ETS liabilities and resulting payments.</w:t>
      </w:r>
    </w:p>
    <w:sectPr/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  <w:qFormat/>
    <w:pPr/>
    <w:rPr>
      <w:rFonts w:ascii="Arial" w:hAnsi="Arial"/>
      <w:sz w:val="20"/>
      <w:szCs w:val="20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</Relationships>
</file>