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94172"/>
          <w:sz w:val="48"/>
        </w:rPr>
        <w:t>OVERSIGHT OVER SPVS &amp; FUND ADMINS CHECKLIST</w:t>
      </w:r>
    </w:p>
    <w:p>
      <w:pPr>
        <w:jc w:val="center"/>
      </w:pPr>
      <w:r>
        <w:rPr>
          <w:rFonts w:ascii="Calibri" w:hAnsi="Calibri"/>
          <w:color w:val="595959"/>
          <w:sz w:val="28"/>
        </w:rPr>
        <w:t>Oversight Over Spvs &amp; Fund Admins</w:t>
      </w:r>
    </w:p>
    <w:p>
      <w:pPr>
        <w:jc w:val="center"/>
      </w:pPr>
      <w:r>
        <w:rPr>
          <w:color w:val="294172"/>
        </w:rPr>
        <w:t>━━━━━━━━━━━━━━━━━━━━━━━━━━━━━━━━━━━━━━━━━━━━━━━━━━━━━━━━━━━━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Entity/Fund Name: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Review Period: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Reviewer: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  <w:tc>
          <w:tcPr>
            <w:tcW w:type="dxa" w:w="2520"/>
          </w:tcPr>
          <w:p>
            <w:r>
              <w:rPr>
                <w:b/>
                <w:color w:val="595959"/>
                <w:sz w:val="20"/>
              </w:rPr>
              <w:t>Date:</w:t>
            </w:r>
          </w:p>
        </w:tc>
        <w:tc>
          <w:tcPr>
            <w:tcW w:type="dxa" w:w="2520"/>
          </w:tcPr>
          <w:p>
            <w:r>
              <w:rPr>
                <w:color w:val="BFBFBF"/>
                <w:sz w:val="20"/>
              </w:rPr>
              <w:t>_________________________</w:t>
            </w:r>
          </w:p>
        </w:tc>
      </w:tr>
    </w:tbl>
    <w:p/>
    <w:p>
      <w:r>
        <w:rPr>
          <w:rFonts w:ascii="Calibri" w:hAnsi="Calibri"/>
          <w:b/>
          <w:color w:val="294172"/>
          <w:sz w:val="32"/>
        </w:rPr>
        <w:t>SPV &amp; Fund Administrator Oversight Checklist - KAGB Framework</w:t>
      </w:r>
    </w:p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A: REGULATORY COMPLIANCE &amp; AUTHORIZATION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1. Initial Authorization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Verify SPV structure complies with KAGB provisions for investment fund vehicles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§§ 1-20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Confirm fund administrator holds required BaFin authorization or delegation agreement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44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Validate professional indemnity insurance coverage for fund administrator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45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and approve SPV constitutional documents (articles, bylaws)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96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Ensure compliance with minimum capital requirements for fund administrator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25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Verify fund administrator's organizational structure meets BaFin standards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27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2. Personnel and Key Function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Assess professional qualifications of fund administrator's key personnel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VAG governance requirements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Verify management board members meet personal and professional requirements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Circular RS 9/2023 (VA)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Confirm adequate segregation of duties within fund administration functions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36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Review appointment of compliance officer and risk management function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29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Validate internal audit function independence and competency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30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Ensure adequate succession planning for key positions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BaFin Governance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B: OPERATIONAL OVERSIGHT &amp; CONTROLS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3. Fund Administration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NAV calculation procedures and reconciliation processes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81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Verify transaction processing controls and settlement procedures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82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Confirm proper handling of master-feeder structures and consolidation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Fund Administration Guidelines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Assess cash management and banking arrangement oversight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83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subscription and redemption processing controls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84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Validate transfer agency operations and investor record keeping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85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4. Risk Management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Establish risk management policies specific to SPV structures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29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Implement operational risk monitoring for fund administration activities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BaFin Risk Guidelines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Create counterparty risk assessment procedures for service providers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37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Develop business continuity and disaster recovery plans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BaFin Operational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Establish key performance indicators for service quality monitoring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Internal Control Standards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Implement regular stress testing for operational capacity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Risk Management Framework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C: DUE DILIGENCE &amp; ANTI-MONEY LAUNDERING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5. AML/KYC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Implement customer due diligence procedures per BaFin requirements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Section 51(8) obligations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Establish enhanced due diligence for politically exposed persons (PEPs)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AML Directive implementation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Create ongoing monitoring procedures for suspicious transactions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BaFin AML Guidelines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Develop record keeping procedures for AML documentation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AML Record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Train personnel on updated AML interpretation and application instructions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BaFin Regular Updates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Establish reporting procedures for suspicious activity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SAR Reporting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6. Ongoing Due Diligence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Conduct regular reviews of fund administrator's compliance status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44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Monitor changes in fund administrator's organizational structure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Notification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Review external auditor reports and management letters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92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Assess regulatory findings and corrective action plans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BaFin Supervisory Actions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Validate ongoing professional qualifications of key personnel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Continuing Education Requirements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Monitor service level agreement compliance and performance metrics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SLA Monitoring Framework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/>
    <w:p>
      <w:pPr>
        <w:jc w:val="left"/>
      </w:pPr>
      <w:r>
        <w:rPr>
          <w:rFonts w:ascii="Calibri" w:hAnsi="Calibri"/>
          <w:b/>
          <w:color w:val="294172"/>
          <w:sz w:val="28"/>
        </w:rPr>
        <w:t>PART D: REPORTING &amp; DOCUMENTATION</w:t>
      </w:r>
    </w:p>
    <w:p>
      <w:r>
        <w:rPr>
          <w:color w:val="0070C0"/>
          <w:sz w:val="16"/>
        </w:rPr>
        <w:t>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0070C0"/>
          <w:sz w:val="22"/>
        </w:rPr>
        <w:t>7. Regulatory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Ensure timely submission of periodic regulatory reports to BaFin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Reporting Schedules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Validate accuracy of fund reporting and investor disclosures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KAGB § 300-314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proper books and records for SPV activities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KAGB § 89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Document all material changes in fund administration arrangements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Change Notification Requirements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Prepare annual compliance attestations and certifications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Annual Compliance Reports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Submit required governance documentation and updates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Governance Reporting Framework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p>
      <w:r>
        <w:rPr>
          <w:rFonts w:ascii="Calibri" w:hAnsi="Calibri"/>
          <w:b/>
          <w:color w:val="0070C0"/>
          <w:sz w:val="22"/>
        </w:rPr>
        <w:t>8. Internal Oversight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57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Checklist Item</w:t>
            </w:r>
          </w:p>
        </w:tc>
        <w:tc>
          <w:tcPr>
            <w:tcW w:type="dxa" w:w="2160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1152"/>
            <w:shd w:fill="2941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oversight committee meeting minutes and decisions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Internal Governance Records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Document service provider due diligence reviews and approvals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Due Diligence Files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Create incident reporting and resolution tracking procedures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Incident Management System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Establish performance measurement and benchmarking documentation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Performance Monitoring Records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color w:val="595959"/>
                <w:sz w:val="20"/>
              </w:rPr>
              <w:t>Maintain training records for oversight personnel</w:t>
            </w:r>
          </w:p>
        </w:tc>
        <w:tc>
          <w:tcPr>
            <w:tcW w:type="dxa" w:w="2160"/>
          </w:tcPr>
          <w:p>
            <w:r>
              <w:rPr>
                <w:i/>
                <w:color w:val="0070C0"/>
                <w:sz w:val="18"/>
              </w:rPr>
              <w:t>Training Documentation Requirements</w:t>
            </w:r>
          </w:p>
        </w:tc>
        <w:tc>
          <w:tcPr>
            <w:tcW w:type="dxa" w:w="1152"/>
          </w:tcPr>
          <w:p>
            <w:pPr>
              <w:jc w:val="center"/>
            </w:pPr>
          </w:p>
        </w:tc>
      </w:tr>
      <w:tr>
        <w:tc>
          <w:tcPr>
            <w:tcW w:type="dxa" w:w="576"/>
            <w:shd w:fill="F2F2F2"/>
          </w:tcPr>
          <w:p>
            <w:pPr>
              <w:jc w:val="center"/>
            </w:pPr>
            <w:r>
              <w:rPr>
                <w:color w:val="595959"/>
                <w:sz w:val="24"/>
              </w:rPr>
              <w:t>☐</w:t>
            </w:r>
          </w:p>
        </w:tc>
        <w:tc>
          <w:tcPr>
            <w:tcW w:type="dxa" w:w="5760"/>
            <w:shd w:fill="F2F2F2"/>
          </w:tcPr>
          <w:p>
            <w:r>
              <w:rPr>
                <w:rFonts w:ascii="Calibri" w:hAnsi="Calibri"/>
                <w:color w:val="595959"/>
                <w:sz w:val="20"/>
              </w:rPr>
              <w:t>Document periodic review procedures and findings</w:t>
            </w:r>
          </w:p>
        </w:tc>
        <w:tc>
          <w:tcPr>
            <w:tcW w:type="dxa" w:w="2160"/>
            <w:shd w:fill="F2F2F2"/>
          </w:tcPr>
          <w:p>
            <w:r>
              <w:rPr>
                <w:i/>
                <w:color w:val="0070C0"/>
                <w:sz w:val="18"/>
              </w:rPr>
              <w:t>Review Documentation Standards</w:t>
            </w:r>
          </w:p>
        </w:tc>
        <w:tc>
          <w:tcPr>
            <w:tcW w:type="dxa" w:w="1152"/>
            <w:shd w:fill="F2F2F2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