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E4E79"/>
          <w:sz w:val="44"/>
          <w:szCs w:val="44"/>
        </w:rPr>
        <w:t xml:space="preserve">OVERSIGHT CHECKLIST</w:t>
      </w:r>
    </w:p>
    <w:p>
      <w:pPr>
        <w:spacing w:after="100"/>
        <w:jc w:val="center"/>
      </w:pPr>
      <w:r>
        <w:rPr>
          <w:rFonts w:ascii="Arial" w:cs="Arial" w:eastAsia="Arial" w:hAnsi="Arial"/>
          <w:b/>
          <w:bCs/>
          <w:sz w:val="32"/>
          <w:szCs w:val="32"/>
        </w:rPr>
        <w:t xml:space="preserve">SPVs &amp; Fund Administrators</w:t>
      </w:r>
    </w:p>
    <w:p>
      <w:pPr>
        <w:spacing w:after="400"/>
        <w:jc w:val="center"/>
      </w:pPr>
      <w:r>
        <w:rPr>
          <w:rFonts w:ascii="Arial" w:cs="Arial" w:eastAsia="Arial" w:hAnsi="Arial"/>
          <w:i/>
          <w:iCs/>
          <w:sz w:val="24"/>
          <w:szCs w:val="24"/>
        </w:rPr>
        <w:t xml:space="preserve">Under the KAGB Framework (Kapitalanlagegesetzbuch)</w:t>
      </w:r>
    </w:p>
    <w:p>
      <w:pPr>
        <w:spacing w:after="100"/>
        <w:jc w:val="center"/>
      </w:pPr>
      <w:r>
        <w:rPr>
          <w:rFonts w:ascii="Arial" w:cs="Arial" w:eastAsia="Arial" w:hAnsi="Arial"/>
          <w:sz w:val="22"/>
          <w:szCs w:val="22"/>
        </w:rPr>
        <w:t xml:space="preserve">As Prescribed by BaFin</w:t>
      </w:r>
    </w:p>
    <w:p>
      <w:pPr>
        <w:spacing w:after="400"/>
        <w:jc w:val="center"/>
      </w:pPr>
      <w:r>
        <w:rPr>
          <w:rFonts w:ascii="Arial" w:cs="Arial" w:eastAsia="Arial" w:hAnsi="Arial"/>
          <w:i/>
          <w:iCs/>
          <w:color w:val="666666"/>
          <w:sz w:val="18"/>
          <w:szCs w:val="18"/>
        </w:rPr>
        <w:t xml:space="preserve">(Federal Financial Supervisory Authority – Bundesanstalt für Finanzdienstleistungsaufsicht)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Fund/AIFM Name: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Review Period:</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Reviewer:</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PART A: DELEGATION &amp; OUTSOURCING GOVERNANCE</w:t>
      </w:r>
    </w:p>
    <w:p>
      <w:pPr>
        <w:spacing w:after="200"/>
      </w:pPr>
      <w:r>
        <w:rPr>
          <w:i/>
          <w:iCs/>
          <w:color w:val="666666"/>
          <w:sz w:val="18"/>
          <w:szCs w:val="18"/>
        </w:rPr>
        <w:t xml:space="preserve">Requirements under Section 36 KAGB, KAMaRisk (Circular 01/2017), and AIFM Level 2 Regulation (EU) 231/2013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860"/>
      </w:tblGrid>
      <w:tr>
        <w:tc>
          <w:tcPr>
            <w:tcW w:type="dxa" w:w="9360"/>
            <w:gridSpan w:val="3"/>
            <w:tcBorders>
              <w:top w:val="single" w:color="CCCCCC" w:sz="1"/>
              <w:left w:val="single" w:color="CCCCCC" w:sz="1"/>
              <w:bottom w:val="single" w:color="CCCCCC" w:sz="1"/>
              <w:right w:val="single" w:color="CCCCCC" w:sz="1"/>
            </w:tcBorders>
            <w:shd w:fill="1E4E79"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1. INITIAL DUE DILIGENCE – SPV &amp; FUND ADMINISTRATOR SELECTION</w:t>
            </w:r>
          </w:p>
        </w:tc>
      </w:tr>
      <w:tr>
        <w:tc>
          <w:tcPr>
            <w:tcW w:type="dxa" w:w="5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Checklist Item</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Legal Reference</w:t>
            </w:r>
          </w:p>
        </w:tc>
        <w:tc>
          <w:tcPr>
            <w:tcW w:type="dxa" w:w="1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Status/Notes</w:t>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1.1 Objective Justification for Delegation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Documented objective reasons for entire delegation structure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76(1)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Individual delegation arrangements have documented justification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36(1)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Delegation does not circumvent regulatory requirements (no letterbox entity)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36(1) No. 4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AIFM retains sufficient resources/expertise for effective oversight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75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1.2 Service Provider Qualification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Service provider holds required license/registration (if applicable)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36(1) No. 3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Service provider has adequate financial resources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Service provider has qualified personnel and expertise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75(e)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Service provider has appropriate organizational structure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Service provider has adequate IT systems and security measures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7.2</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Background checks on key personnel completed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75(e)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References and reputation verified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1.3 Risk Assessment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Risk analysis of outsourcing arrangement conducted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 KAGB; 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Operational risks identified and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BTR 4</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Business continuity capabilities assessed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7.3</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Concentration risk evaluated (dependency on single provider)</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4.3.2</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Data protection and confidentiality measures verified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GDPR; 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r>
        <w:br w:type="page"/>
      </w:r>
    </w:p>
    <w:p>
      <w:pPr>
        <w:pStyle w:val="Heading1"/>
      </w:pPr>
      <w:r>
        <w:t xml:space="preserve">PART B: CONTRACTUAL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860"/>
      </w:tblGrid>
      <w:tr>
        <w:tc>
          <w:tcPr>
            <w:tcW w:type="dxa" w:w="9360"/>
            <w:gridSpan w:val="3"/>
            <w:tcBorders>
              <w:top w:val="single" w:color="CCCCCC" w:sz="1"/>
              <w:left w:val="single" w:color="CCCCCC" w:sz="1"/>
              <w:bottom w:val="single" w:color="CCCCCC" w:sz="1"/>
              <w:right w:val="single" w:color="CCCCCC" w:sz="1"/>
            </w:tcBorders>
            <w:shd w:fill="1E4E79"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2. OUTSOURCING AGREEMENT PROVISIONS</w:t>
            </w:r>
          </w:p>
        </w:tc>
      </w:tr>
      <w:tr>
        <w:tc>
          <w:tcPr>
            <w:tcW w:type="dxa" w:w="5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Checklist Item</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Legal Reference</w:t>
            </w:r>
          </w:p>
        </w:tc>
        <w:tc>
          <w:tcPr>
            <w:tcW w:type="dxa" w:w="1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Status/Notes</w:t>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2.1 Mandatory Contract Clauses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Clear description of delegated functions/services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81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Scope of delegation precisely defined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36(2)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Performance standards and SLAs specified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Reporting obligations and frequency defined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81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Liability provisions clearly established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36(4)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Confidentiality and data protection clauses included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2.2 Oversight &amp; Audit Rights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Unrestricted information rights for AIFM</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36(3)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Unrestricted audit rights for AIFM (on-site inspection)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36(3)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BaFin audit and access rights contractually ensured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36(3)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Bundesbank information access rights included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Access to premises, data, systems, and personnel guaranteed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Independent auditor access rights specified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45a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2.3 Sub-Delegation Controls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Sub-delegation requires prior written consent of AIFM</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77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Sub-delegation notification requirements specified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36(2)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Same standards required of sub-delegates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77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Chain of liability clearly established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36(4)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2.4 Termination &amp; Exit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Termination rights clearly defined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Exit strategy and transition plan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Data return/destruction obligations specified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Business continuity during transition addressed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7.3</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r>
        <w:br w:type="page"/>
      </w:r>
    </w:p>
    <w:p>
      <w:pPr>
        <w:pStyle w:val="Heading1"/>
      </w:pPr>
      <w:r>
        <w:t xml:space="preserve">PART C: REGULATORY NOTIFICATION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860"/>
      </w:tblGrid>
      <w:tr>
        <w:tc>
          <w:tcPr>
            <w:tcW w:type="dxa" w:w="9360"/>
            <w:gridSpan w:val="3"/>
            <w:tcBorders>
              <w:top w:val="single" w:color="CCCCCC" w:sz="1"/>
              <w:left w:val="single" w:color="CCCCCC" w:sz="1"/>
              <w:bottom w:val="single" w:color="CCCCCC" w:sz="1"/>
              <w:right w:val="single" w:color="CCCCCC" w:sz="1"/>
            </w:tcBorders>
            <w:shd w:fill="1E4E79"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3. BaFin NOTIFICATION REQUIREMENTS</w:t>
            </w:r>
          </w:p>
        </w:tc>
      </w:tr>
      <w:tr>
        <w:tc>
          <w:tcPr>
            <w:tcW w:type="dxa" w:w="5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Checklist Item</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Legal Reference</w:t>
            </w:r>
          </w:p>
        </w:tc>
        <w:tc>
          <w:tcPr>
            <w:tcW w:type="dxa" w:w="1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Status/Notes</w:t>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3.1 Pre-Implementation Notifications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Delegation notified to BaFin before agreement takes effect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36(2)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Notification submitted at least one day before effective date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BaFin FAQ</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Function/activity description included in notification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36(2)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Affected investment funds identified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36(2)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Effective date of delegation stated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BaFin FAQ</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Objective reasons for delegation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76(1)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3.2 Ongoing Notifications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Material changes to outsourcing notified to BaFin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36(2) KAGB; FISG</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Severe incidents reported to BaFin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FISG Amendment</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Sub-delegation arrangements notified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36(2)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Termination of delegation notified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36(2)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3.3 Documentation for Notification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Reference number assigned for each outsourcing contract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AnzV § 3</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Service provider identification details complete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AnzV</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Copy of delegation agreement available for BaFin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BaFin FAQ</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r>
        <w:br w:type="page"/>
      </w:r>
    </w:p>
    <w:p>
      <w:pPr>
        <w:pStyle w:val="Heading1"/>
      </w:pPr>
      <w:r>
        <w:t xml:space="preserve">PART D: ONGOING MONITORING &amp; OVERSIGHT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860"/>
      </w:tblGrid>
      <w:tr>
        <w:tc>
          <w:tcPr>
            <w:tcW w:type="dxa" w:w="9360"/>
            <w:gridSpan w:val="3"/>
            <w:tcBorders>
              <w:top w:val="single" w:color="CCCCCC" w:sz="1"/>
              <w:left w:val="single" w:color="CCCCCC" w:sz="1"/>
              <w:bottom w:val="single" w:color="CCCCCC" w:sz="1"/>
              <w:right w:val="single" w:color="CCCCCC" w:sz="1"/>
            </w:tcBorders>
            <w:shd w:fill="1E4E79"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4. CONTINUOUS OVERSIGHT REQUIREMENTS</w:t>
            </w:r>
          </w:p>
        </w:tc>
      </w:tr>
      <w:tr>
        <w:tc>
          <w:tcPr>
            <w:tcW w:type="dxa" w:w="5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Checklist Item</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Legal Reference</w:t>
            </w:r>
          </w:p>
        </w:tc>
        <w:tc>
          <w:tcPr>
            <w:tcW w:type="dxa" w:w="1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Status/Notes</w:t>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4.1 Performance Monitoring</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Regular performance reviews conducted (at least quarterly)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SLA compliance monitored and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Quality of services assessed against agreed standards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75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Error rates and incidents tracked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BTR 4</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Timeliness of reporting verified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Escalation procedures tested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4.2 Risk Monitoring</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Ongoing risk assessment of outsourcing arrangement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4.3.2</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Operational risk indicators monitored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BTR 4</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Financial stability of service provider monitored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Concentration risk reassessed periodically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4.3.2</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Reputational risk considerations reviewed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4.3 Compliance Monitoring</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Service provider regulatory compliance verified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AML/CFT compliance of service provider monitored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GwG; § 45a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Data protection compliance verified (GDPR)</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GDPR; 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Changes in service provider's regulatory status tracked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Service provider's internal controls reviewed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4.4 Audit &amp; Review</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Annual audit of outsourcing arrangement conducted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45a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On-site inspections performed (as appropriate)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36(3)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Audit findings documented and followed up</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BT 2</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Remediation actions tracked to completion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BT 2.5</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Internal audit coverage of outsourcing adequate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BT 2</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r>
        <w:br w:type="page"/>
      </w:r>
    </w:p>
    <w:p>
      <w:pPr>
        <w:pStyle w:val="Heading1"/>
      </w:pPr>
      <w:r>
        <w:t xml:space="preserve">PART E: SPV-SPECIFIC OVERSIGHT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860"/>
      </w:tblGrid>
      <w:tr>
        <w:tc>
          <w:tcPr>
            <w:tcW w:type="dxa" w:w="9360"/>
            <w:gridSpan w:val="3"/>
            <w:tcBorders>
              <w:top w:val="single" w:color="CCCCCC" w:sz="1"/>
              <w:left w:val="single" w:color="CCCCCC" w:sz="1"/>
              <w:bottom w:val="single" w:color="CCCCCC" w:sz="1"/>
              <w:right w:val="single" w:color="CCCCCC" w:sz="1"/>
            </w:tcBorders>
            <w:shd w:fill="1E4E79"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5. SPV ADMINISTRATION &amp; GOVERNANCE</w:t>
            </w:r>
          </w:p>
        </w:tc>
      </w:tr>
      <w:tr>
        <w:tc>
          <w:tcPr>
            <w:tcW w:type="dxa" w:w="5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Checklist Item</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Legal Reference</w:t>
            </w:r>
          </w:p>
        </w:tc>
        <w:tc>
          <w:tcPr>
            <w:tcW w:type="dxa" w:w="1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Status/Notes</w:t>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5.1 SPV Legal Entity Management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Legal entity formation properly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 Company Law</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Registered office maintained in good standing</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Director appointments properly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Company Law</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Corporate governance documents up to date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Compliance filings current and complete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5.2 SPV Financial Oversight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Bank account coordination and reconciliation performed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Cash flow monitoring conducted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21(7)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Asset verification at SPV level completed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21(8)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Inter-entity transactions properly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Consolidated reporting accurate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5.3 SPV Risk Management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SPV-level risk assessment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4</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Asset segregation properly maintained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21(8)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Liability isolation effective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Insurance coverage adequate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r>
        <w:br w:type="page"/>
      </w:r>
    </w:p>
    <w:p>
      <w:pPr>
        <w:pStyle w:val="Heading1"/>
      </w:pPr>
      <w:r>
        <w:t xml:space="preserve">PART F: FUND ADMINISTRATOR-SPECIFIC OVERSIGHT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860"/>
      </w:tblGrid>
      <w:tr>
        <w:tc>
          <w:tcPr>
            <w:tcW w:type="dxa" w:w="9360"/>
            <w:gridSpan w:val="3"/>
            <w:tcBorders>
              <w:top w:val="single" w:color="CCCCCC" w:sz="1"/>
              <w:left w:val="single" w:color="CCCCCC" w:sz="1"/>
              <w:bottom w:val="single" w:color="CCCCCC" w:sz="1"/>
              <w:right w:val="single" w:color="CCCCCC" w:sz="1"/>
            </w:tcBorders>
            <w:shd w:fill="1E4E79"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6. FUND ADMINISTRATION FUNCTIONS</w:t>
            </w:r>
          </w:p>
        </w:tc>
      </w:tr>
      <w:tr>
        <w:tc>
          <w:tcPr>
            <w:tcW w:type="dxa" w:w="5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Checklist Item</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Legal Reference</w:t>
            </w:r>
          </w:p>
        </w:tc>
        <w:tc>
          <w:tcPr>
            <w:tcW w:type="dxa" w:w="1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Status/Notes</w:t>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6.1 NAV Calculation &amp; Valuation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NAV calculation methodology documented and approved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Valuation policies properly applied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19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Fair value determinations properly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Pricing sources verified and independent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19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NAV errors tracked and reported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6.2 Investor Services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Subscription/redemption processing accurate and timely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Investor communications delivered properly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Investor register maintained accurately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Distribution calculations verified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Tax reporting prepared correctly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 InvStG</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6.3 Regulatory Reporting</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Annex IV reporting (AIFMD) complete and accurate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24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Bundesbank reporting timely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Bundesbank requirements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Annual reports prepared per KAGB requirements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101, 135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Semi-annual reports (where required) complete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101, 135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6.4 Record Keeping</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Transaction records complete and accessible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 KAGB; 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Documentation retention period compliant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KAGB; GwG</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Audit trail maintained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Records available for BaFin inspection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36(3)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r>
        <w:br w:type="page"/>
      </w:r>
    </w:p>
    <w:p>
      <w:pPr>
        <w:pStyle w:val="Heading1"/>
      </w:pPr>
      <w:r>
        <w:t xml:space="preserve">PART G: DEPOSITARY COORDINATION (Where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860"/>
      </w:tblGrid>
      <w:tr>
        <w:tc>
          <w:tcPr>
            <w:tcW w:type="dxa" w:w="9360"/>
            <w:gridSpan w:val="3"/>
            <w:tcBorders>
              <w:top w:val="single" w:color="CCCCCC" w:sz="1"/>
              <w:left w:val="single" w:color="CCCCCC" w:sz="1"/>
              <w:bottom w:val="single" w:color="CCCCCC" w:sz="1"/>
              <w:right w:val="single" w:color="CCCCCC" w:sz="1"/>
            </w:tcBorders>
            <w:shd w:fill="1E4E79"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7. DEPOSITARY INTERFACE REQUIREMENTS</w:t>
            </w:r>
          </w:p>
        </w:tc>
      </w:tr>
      <w:tr>
        <w:tc>
          <w:tcPr>
            <w:tcW w:type="dxa" w:w="5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Checklist Item</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Legal Reference</w:t>
            </w:r>
          </w:p>
        </w:tc>
        <w:tc>
          <w:tcPr>
            <w:tcW w:type="dxa" w:w="1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Status/Notes</w:t>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7.1 Cash Flow Monitoring Coordination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Cash flow information shared with depositary timely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21(7)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Significant cash flows flagged to depositary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21(7)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Reconciliation with depositary performed regularly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AIFMD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Discrepancies investigated and resolved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7.2 Asset Safekeeping Coordination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Asset holdings reconciled with depositary records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21(8)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Ownership verification supported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21(8)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Asset movements communicated to depositary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AIFMD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Segregation requirements maintained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21(8)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7.3 Depositary Oversight Support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Information requests from depositary responded to timely</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21(9)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Cooperation with depositary oversight duties effective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21(9)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Depositary-lite requirements met (for non-EU AIFs)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36 AIFMD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r>
        <w:br w:type="page"/>
      </w:r>
    </w:p>
    <w:p>
      <w:pPr>
        <w:pStyle w:val="Heading1"/>
      </w:pPr>
      <w:r>
        <w:t xml:space="preserve">PART H: INTERNAL GOVERNANCE &amp;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860"/>
      </w:tblGrid>
      <w:tr>
        <w:tc>
          <w:tcPr>
            <w:tcW w:type="dxa" w:w="9360"/>
            <w:gridSpan w:val="3"/>
            <w:tcBorders>
              <w:top w:val="single" w:color="CCCCCC" w:sz="1"/>
              <w:left w:val="single" w:color="CCCCCC" w:sz="1"/>
              <w:bottom w:val="single" w:color="CCCCCC" w:sz="1"/>
              <w:right w:val="single" w:color="CCCCCC" w:sz="1"/>
            </w:tcBorders>
            <w:shd w:fill="1E4E79"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8. AIFM INTERNAL REQUIREMENTS</w:t>
            </w:r>
          </w:p>
        </w:tc>
      </w:tr>
      <w:tr>
        <w:tc>
          <w:tcPr>
            <w:tcW w:type="dxa" w:w="5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Checklist Item</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Legal Reference</w:t>
            </w:r>
          </w:p>
        </w:tc>
        <w:tc>
          <w:tcPr>
            <w:tcW w:type="dxa" w:w="1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Status/Notes</w:t>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8.1 Outsourcing Register</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Comprehensive outsourcing register maintained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Register includes all material outsourcing arrangements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FISG; AnzV</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Register updated for changes and new arrangements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Register available for regulatory inspection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8.2 Policies &amp; Procedures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Outsourcing policy documented and approved by management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Due diligence procedures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Monitoring procedures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Escalation procedures defined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Exit procedures documented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8.3 Governance &amp; Reporting</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Management board oversight of outsourcing effective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3</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Regular reporting to management board on outsourcing</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4.3.2</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Supervisory board informed of material outsourcing</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39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Clear accountability assigned for outsourcing oversight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9</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8.4 Staff &amp; Resources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Sufficient qualified staff for outsourcing oversight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Art. 75 AIFM Level 2-VO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Staff training on outsourcing oversight provided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KAMaRisk AT 7.1</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  </w:t>
            </w:r>
            <w:r>
              <w:rPr>
                <w:rFonts w:ascii="Arial" w:cs="Arial" w:eastAsia="Arial" w:hAnsi="Arial"/>
                <w:sz w:val="20"/>
                <w:szCs w:val="20"/>
              </w:rPr>
              <w:t xml:space="preserve">Expertise retained to evaluate service provider performance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36(1) No. 4 KAGB</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r>
        <w:br w:type="page"/>
      </w:r>
    </w:p>
    <w:p>
      <w:pPr>
        <w:pStyle w:val="Heading1"/>
      </w:pPr>
      <w:r>
        <w:t xml:space="preserve">REVIEW SIGN-OFF</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Reviewed By: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Approved By:</w:t>
            </w:r>
          </w:p>
        </w:tc>
      </w:tr>
      <w:tr>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20"/>
                <w:szCs w:val="20"/>
              </w:rPr>
              <w:t xml:space="preserve">Name: _________________</w:t>
            </w:r>
          </w:p>
          <w:p>
            <w:pPr>
              <w:spacing w:before="200"/>
            </w:pPr>
            <w:r>
              <w:rPr>
                <w:rFonts w:ascii="Arial" w:cs="Arial" w:eastAsia="Arial" w:hAnsi="Arial"/>
                <w:sz w:val="20"/>
                <w:szCs w:val="20"/>
              </w:rPr>
              <w:t xml:space="preserve">Role: _________________</w:t>
            </w:r>
          </w:p>
          <w:p>
            <w:pPr>
              <w:spacing w:before="200"/>
            </w:pPr>
            <w:r>
              <w:rPr>
                <w:rFonts w:ascii="Arial" w:cs="Arial" w:eastAsia="Arial" w:hAnsi="Arial"/>
                <w:sz w:val="20"/>
                <w:szCs w:val="20"/>
              </w:rPr>
              <w:t xml:space="preserve">Date: _________________</w:t>
            </w:r>
          </w:p>
          <w:p>
            <w:pPr>
              <w:spacing w:before="200"/>
            </w:pPr>
            <w:r>
              <w:rPr>
                <w:rFonts w:ascii="Arial" w:cs="Arial" w:eastAsia="Arial" w:hAnsi="Arial"/>
                <w:sz w:val="20"/>
                <w:szCs w:val="20"/>
              </w:rPr>
              <w:t xml:space="preserve">Signature: _____________</w:t>
            </w:r>
          </w:p>
        </w:tc>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20"/>
                <w:szCs w:val="20"/>
              </w:rPr>
              <w:t xml:space="preserve">Name: _________________</w:t>
            </w:r>
          </w:p>
          <w:p>
            <w:pPr>
              <w:spacing w:before="200"/>
            </w:pPr>
            <w:r>
              <w:rPr>
                <w:rFonts w:ascii="Arial" w:cs="Arial" w:eastAsia="Arial" w:hAnsi="Arial"/>
                <w:sz w:val="20"/>
                <w:szCs w:val="20"/>
              </w:rPr>
              <w:t xml:space="preserve">Role: _________________</w:t>
            </w:r>
          </w:p>
          <w:p>
            <w:pPr>
              <w:spacing w:before="200"/>
            </w:pPr>
            <w:r>
              <w:rPr>
                <w:rFonts w:ascii="Arial" w:cs="Arial" w:eastAsia="Arial" w:hAnsi="Arial"/>
                <w:sz w:val="20"/>
                <w:szCs w:val="20"/>
              </w:rPr>
              <w:t xml:space="preserve">Date: _________________</w:t>
            </w:r>
          </w:p>
          <w:p>
            <w:pPr>
              <w:spacing w:before="200"/>
            </w:pPr>
            <w:r>
              <w:rPr>
                <w:rFonts w:ascii="Arial" w:cs="Arial" w:eastAsia="Arial" w:hAnsi="Arial"/>
                <w:sz w:val="20"/>
                <w:szCs w:val="20"/>
              </w:rPr>
              <w:t xml:space="preserve">Signature: _____________</w:t>
            </w:r>
          </w:p>
        </w:tc>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20"/>
                <w:szCs w:val="20"/>
              </w:rPr>
              <w:t xml:space="preserve">Name: _________________</w:t>
            </w:r>
          </w:p>
          <w:p>
            <w:pPr>
              <w:spacing w:before="200"/>
            </w:pPr>
            <w:r>
              <w:rPr>
                <w:rFonts w:ascii="Arial" w:cs="Arial" w:eastAsia="Arial" w:hAnsi="Arial"/>
                <w:sz w:val="20"/>
                <w:szCs w:val="20"/>
              </w:rPr>
              <w:t xml:space="preserve">Role: _________________</w:t>
            </w:r>
          </w:p>
          <w:p>
            <w:pPr>
              <w:spacing w:before="200"/>
            </w:pPr>
            <w:r>
              <w:rPr>
                <w:rFonts w:ascii="Arial" w:cs="Arial" w:eastAsia="Arial" w:hAnsi="Arial"/>
                <w:sz w:val="20"/>
                <w:szCs w:val="20"/>
              </w:rPr>
              <w:t xml:space="preserve">Date: _________________</w:t>
            </w:r>
          </w:p>
          <w:p>
            <w:pPr>
              <w:spacing w:before="200"/>
            </w:pPr>
            <w:r>
              <w:rPr>
                <w:rFonts w:ascii="Arial" w:cs="Arial" w:eastAsia="Arial" w:hAnsi="Arial"/>
                <w:sz w:val="20"/>
                <w:szCs w:val="20"/>
              </w:rPr>
              <w:t xml:space="preserve">Signature: _____________</w:t>
            </w:r>
          </w:p>
        </w:tc>
      </w:tr>
    </w:tbl>
    <w:p>
      <w:pPr>
        <w:spacing w:before="400"/>
      </w:pPr>
    </w:p>
    <w:p>
      <w:pPr>
        <w:pStyle w:val="Heading2"/>
      </w:pPr>
      <w:r>
        <w:t xml:space="preserve">NOTES &amp; OBSERVATIONS</w:t>
      </w:r>
    </w:p>
    <w:p>
      <w:pPr>
        <w:spacing w:after="100"/>
      </w:pPr>
      <w:r>
        <w:rPr>
          <w:rFonts w:ascii="Arial" w:cs="Arial" w:eastAsia="Arial" w:hAnsi="Arial"/>
          <w:sz w:val="20"/>
          <w:szCs w:val="20"/>
        </w:rPr>
        <w:t xml:space="preserve">________________________________________________________________________</w:t>
      </w:r>
    </w:p>
    <w:p>
      <w:pPr>
        <w:spacing w:after="100"/>
      </w:pPr>
      <w:r>
        <w:rPr>
          <w:rFonts w:ascii="Arial" w:cs="Arial" w:eastAsia="Arial" w:hAnsi="Arial"/>
          <w:sz w:val="20"/>
          <w:szCs w:val="20"/>
        </w:rPr>
        <w:t xml:space="preserve">________________________________________________________________________</w:t>
      </w:r>
    </w:p>
    <w:p>
      <w:pPr>
        <w:spacing w:after="100"/>
      </w:pPr>
      <w:r>
        <w:rPr>
          <w:rFonts w:ascii="Arial" w:cs="Arial" w:eastAsia="Arial" w:hAnsi="Arial"/>
          <w:sz w:val="20"/>
          <w:szCs w:val="20"/>
        </w:rPr>
        <w:t xml:space="preserve">________________________________________________________________________</w:t>
      </w:r>
    </w:p>
    <w:p>
      <w:pPr>
        <w:spacing w:after="100"/>
      </w:pPr>
      <w:r>
        <w:rPr>
          <w:rFonts w:ascii="Arial" w:cs="Arial" w:eastAsia="Arial" w:hAnsi="Arial"/>
          <w:sz w:val="20"/>
          <w:szCs w:val="20"/>
        </w:rPr>
        <w:t xml:space="preserve">________________________________________________________________________</w:t>
      </w:r>
    </w:p>
    <w:p>
      <w:pPr>
        <w:spacing w:after="100"/>
      </w:pPr>
      <w:r>
        <w:rPr>
          <w:rFonts w:ascii="Arial" w:cs="Arial" w:eastAsia="Arial" w:hAnsi="Arial"/>
          <w:sz w:val="20"/>
          <w:szCs w:val="20"/>
        </w:rPr>
        <w:t xml:space="preserve">________________________________________________________________________</w:t>
      </w:r>
    </w:p>
    <w:p>
      <w:pPr>
        <w:spacing w:after="100"/>
      </w:pPr>
      <w:r>
        <w:rPr>
          <w:rFonts w:ascii="Arial" w:cs="Arial" w:eastAsia="Arial" w:hAnsi="Arial"/>
          <w:sz w:val="20"/>
          <w:szCs w:val="20"/>
        </w:rPr>
        <w:t xml:space="preserve">________________________________________________________________________</w:t>
      </w:r>
    </w:p>
    <w:p>
      <w:pPr>
        <w:spacing w:before="400"/>
      </w:pPr>
    </w:p>
    <w:p>
      <w:pPr>
        <w:shd w:fill="F5F5F5" w:val="clear"/>
        <w:spacing w:before="200" w:after="200"/>
      </w:pPr>
      <w:r>
        <w:rPr>
          <w:rFonts w:ascii="Arial" w:cs="Arial" w:eastAsia="Arial" w:hAnsi="Arial"/>
          <w:i/>
          <w:iCs/>
          <w:color w:val="666666"/>
          <w:sz w:val="16"/>
          <w:szCs w:val="16"/>
        </w:rPr>
        <w:t xml:space="preserve">Disclaimer: This checklist is provided for general guidance purposes only and does not constitute legal or regulatory advice. Requirements may change and should be verified against current BaFin publications, KAGB, and applicable EU regulations. Organizations should consult with qualified legal and compliance professionals for specific guidance.</w:t>
      </w:r>
    </w:p>
    <w:p>
      <w:pPr>
        <w:pStyle w:val="Heading2"/>
        <w:spacing w:before="300"/>
      </w:pPr>
      <w:r>
        <w:t xml:space="preserve">KEY REGULATORY REFERENCES</w:t>
      </w:r>
    </w:p>
    <w:p>
      <w:pPr>
        <w:spacing w:after="60"/>
      </w:pPr>
      <w:r>
        <w:rPr>
          <w:rFonts w:ascii="Arial" w:cs="Arial" w:eastAsia="Arial" w:hAnsi="Arial"/>
          <w:sz w:val="18"/>
          <w:szCs w:val="18"/>
        </w:rPr>
        <w:t xml:space="preserve">• KAGB (Kapitalanlagegesetzbuch) – German Capital Investment Code</w:t>
      </w:r>
    </w:p>
    <w:p>
      <w:pPr>
        <w:spacing w:after="60"/>
      </w:pPr>
      <w:r>
        <w:rPr>
          <w:rFonts w:ascii="Arial" w:cs="Arial" w:eastAsia="Arial" w:hAnsi="Arial"/>
          <w:sz w:val="18"/>
          <w:szCs w:val="18"/>
        </w:rPr>
        <w:t xml:space="preserve">• KAMaRisk – Circular 01/2017 (WA) – Minimum Requirements for Risk Management of Capital Management Companies</w:t>
      </w:r>
    </w:p>
    <w:p>
      <w:pPr>
        <w:spacing w:after="60"/>
      </w:pPr>
      <w:r>
        <w:rPr>
          <w:rFonts w:ascii="Arial" w:cs="Arial" w:eastAsia="Arial" w:hAnsi="Arial"/>
          <w:sz w:val="18"/>
          <w:szCs w:val="18"/>
        </w:rPr>
        <w:t xml:space="preserve">• AIFMD – Directive 2011/61/EU on Alternative Investment Fund Managers</w:t>
      </w:r>
    </w:p>
    <w:p>
      <w:pPr>
        <w:spacing w:after="60"/>
      </w:pPr>
      <w:r>
        <w:rPr>
          <w:rFonts w:ascii="Arial" w:cs="Arial" w:eastAsia="Arial" w:hAnsi="Arial"/>
          <w:sz w:val="18"/>
          <w:szCs w:val="18"/>
        </w:rPr>
        <w:t xml:space="preserve">• AIFM Level 2 Regulation – Commission Delegated Regulation (EU) No 231/2013</w:t>
      </w:r>
    </w:p>
    <w:p>
      <w:pPr>
        <w:spacing w:after="60"/>
      </w:pPr>
      <w:r>
        <w:rPr>
          <w:rFonts w:ascii="Arial" w:cs="Arial" w:eastAsia="Arial" w:hAnsi="Arial"/>
          <w:sz w:val="18"/>
          <w:szCs w:val="18"/>
        </w:rPr>
        <w:t xml:space="preserve">• FISG – Financial Market Integrity Strengthening Act</w:t>
      </w:r>
    </w:p>
    <w:p>
      <w:pPr>
        <w:spacing w:after="60"/>
      </w:pPr>
      <w:r>
        <w:rPr>
          <w:rFonts w:ascii="Arial" w:cs="Arial" w:eastAsia="Arial" w:hAnsi="Arial"/>
          <w:sz w:val="18"/>
          <w:szCs w:val="18"/>
        </w:rPr>
        <w:t xml:space="preserve">• GwG – German Money Laundering Act (Geldwäschegesetz)</w:t>
      </w:r>
    </w:p>
    <w:p>
      <w:pPr>
        <w:spacing w:after="60"/>
      </w:pPr>
      <w:r>
        <w:rPr>
          <w:rFonts w:ascii="Arial" w:cs="Arial" w:eastAsia="Arial" w:hAnsi="Arial"/>
          <w:sz w:val="18"/>
          <w:szCs w:val="18"/>
        </w:rPr>
        <w:t xml:space="preserve">• AnzV – Notification Ordinance (Anzeigenverordnung)</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SPV &amp; Fund Administrator Oversight Checklist – KAGB/BaFin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4E79"/>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E4E79"/>
      <w:sz w:val="28"/>
      <w:szCs w:val="28"/>
    </w:rPr>
  </w:style>
  <w:style w:type="paragraph" w:styleId="Heading3">
    <w:name w:val="Heading 3"/>
    <w:basedOn w:val="Normal"/>
    <w:next w:val="Normal"/>
    <w:qFormat/>
    <w:pPr>
      <w:spacing w:before="16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2026-01-30T08:30:57.391Z</dcterms:created>
  <dcterms:modified xsi:type="dcterms:W3CDTF">2026-01-30T08:30:57.391Z</dcterms:modified>
</cp:coreProperties>
</file>

<file path=docProps/custom.xml><?xml version="1.0" encoding="utf-8"?>
<Properties xmlns="http://schemas.openxmlformats.org/officeDocument/2006/custom-properties" xmlns:vt="http://schemas.openxmlformats.org/officeDocument/2006/docPropsVTypes"/>
</file>