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1B659" w14:textId="4168CE3D" w:rsidR="00663247" w:rsidRPr="00612948" w:rsidRDefault="008F5D58" w:rsidP="00612948">
      <w:pPr>
        <w:pStyle w:val="Heading1"/>
      </w:pPr>
      <w:r w:rsidRPr="00612948">
        <w:t>Introduction</w:t>
      </w:r>
    </w:p>
    <w:p w14:paraId="3B2B1323" w14:textId="33E5DD05" w:rsidR="008540FC" w:rsidRDefault="008540FC" w:rsidP="005907BF">
      <w:r>
        <w:t xml:space="preserve">Fresh groundwater resources in coastal regions are a topic </w:t>
      </w:r>
      <w:r w:rsidR="00DF2BDC">
        <w:t>of</w:t>
      </w:r>
      <w:r>
        <w:t xml:space="preserve"> study that may become increasingly important in the face of</w:t>
      </w:r>
      <w:r w:rsidR="00E6661D">
        <w:t xml:space="preserve"> challenges of modern times:</w:t>
      </w:r>
      <w:r>
        <w:t xml:space="preserve"> environmental, socio-economic, and geopolitical. </w:t>
      </w:r>
      <w:r w:rsidR="005907BF" w:rsidRPr="005907BF">
        <w:t xml:space="preserve">Coastal regions are home to a </w:t>
      </w:r>
      <w:r w:rsidR="00450864">
        <w:t>significant</w:t>
      </w:r>
      <w:r w:rsidR="005907BF" w:rsidRPr="005907BF">
        <w:t xml:space="preserve"> </w:t>
      </w:r>
      <w:r w:rsidR="00337062">
        <w:t>share</w:t>
      </w:r>
      <w:r w:rsidR="005907BF" w:rsidRPr="005907BF">
        <w:t xml:space="preserve"> of humanity</w:t>
      </w:r>
      <w:r w:rsidR="00CD1BC9">
        <w:t>. In 2016,</w:t>
      </w:r>
      <w:r w:rsidR="005907BF" w:rsidRPr="005907BF">
        <w:t xml:space="preserve"> 44% of the world population was living within a 150km range of the coastline (J. </w:t>
      </w:r>
      <w:proofErr w:type="spellStart"/>
      <w:r w:rsidR="005907BF" w:rsidRPr="005907BF">
        <w:t>Akrofi</w:t>
      </w:r>
      <w:proofErr w:type="spellEnd"/>
      <w:r w:rsidR="005907BF" w:rsidRPr="005907BF">
        <w:t>, 2016)</w:t>
      </w:r>
      <w:r w:rsidR="00CD1BC9">
        <w:t>, where</w:t>
      </w:r>
      <w:r w:rsidR="005907BF" w:rsidRPr="005907BF">
        <w:t xml:space="preserve"> </w:t>
      </w:r>
      <w:r w:rsidR="00CD1BC9">
        <w:t xml:space="preserve">people </w:t>
      </w:r>
      <w:r w:rsidR="005907BF" w:rsidRPr="005907BF">
        <w:t>largely rely on fresh groundwater resources, for domestic, industrial, and agricultural use (Delsman, 2015).</w:t>
      </w:r>
      <w:r w:rsidR="000D2E05">
        <w:t xml:space="preserve"> In coastal areas, fresh</w:t>
      </w:r>
      <w:r w:rsidR="00663247" w:rsidRPr="005907BF">
        <w:t xml:space="preserve"> groundwater resource</w:t>
      </w:r>
      <w:r w:rsidR="00450864">
        <w:t>s</w:t>
      </w:r>
      <w:r w:rsidR="00663247" w:rsidRPr="005907BF">
        <w:t xml:space="preserve"> are susceptible to degradation due to their proximity to saline seawater</w:t>
      </w:r>
      <w:r w:rsidR="000D2E05">
        <w:t xml:space="preserve">, </w:t>
      </w:r>
      <w:r w:rsidR="00663247" w:rsidRPr="005907BF">
        <w:t>high demands</w:t>
      </w:r>
      <w:r w:rsidR="000D2E05">
        <w:t>,</w:t>
      </w:r>
      <w:r w:rsidR="00663247" w:rsidRPr="005907BF">
        <w:t xml:space="preserve"> land use change</w:t>
      </w:r>
      <w:r w:rsidR="000D2E05">
        <w:t>,</w:t>
      </w:r>
      <w:r w:rsidR="00663247" w:rsidRPr="005907BF">
        <w:t xml:space="preserve"> climate change</w:t>
      </w:r>
      <w:r w:rsidR="000D2E05">
        <w:t xml:space="preserve"> and </w:t>
      </w:r>
      <w:r w:rsidR="00663247" w:rsidRPr="005907BF">
        <w:t xml:space="preserve">sea level fluctuations (Werner et. al., 2013). </w:t>
      </w:r>
    </w:p>
    <w:p w14:paraId="4F090683" w14:textId="693695B3" w:rsidR="004B501A" w:rsidRDefault="00450864" w:rsidP="005907BF">
      <w:r>
        <w:t xml:space="preserve">This study aims to </w:t>
      </w:r>
      <w:r w:rsidR="00987D9A">
        <w:t>assess</w:t>
      </w:r>
      <w:r w:rsidR="001045BD">
        <w:t xml:space="preserve"> and enhance</w:t>
      </w:r>
      <w:r>
        <w:t xml:space="preserve"> </w:t>
      </w:r>
      <w:r w:rsidR="004B501A">
        <w:t>state of the art groundwater modeling techniques for freshwater reservoirs in dunes</w:t>
      </w:r>
      <w:r w:rsidR="00EE514D">
        <w:t xml:space="preserve">. The coastline of the Netherlands is deemed a suitable study area for this aim, thanks to extensive research and </w:t>
      </w:r>
      <w:r w:rsidR="00FC159F">
        <w:t xml:space="preserve">desirable </w:t>
      </w:r>
      <w:r w:rsidR="000D2E05">
        <w:t xml:space="preserve">study </w:t>
      </w:r>
      <w:r w:rsidR="00FC159F">
        <w:t>conditions (</w:t>
      </w:r>
      <w:r w:rsidR="00FC159F" w:rsidRPr="00C03618">
        <w:rPr>
          <w:highlight w:val="lightGray"/>
        </w:rPr>
        <w:t>See section 1.2</w:t>
      </w:r>
      <w:r w:rsidR="00FC159F">
        <w:t>)</w:t>
      </w:r>
      <w:r w:rsidR="004B501A">
        <w:t>. The insights and analyses from this study may contribute to developing more efficient models used to increase the robustness and sustainability of drinking water resources in coastal areas globally.</w:t>
      </w:r>
    </w:p>
    <w:p w14:paraId="39D2204A" w14:textId="5600B071" w:rsidR="00663247" w:rsidRPr="00663247" w:rsidRDefault="00663247" w:rsidP="002603A4">
      <w:pPr>
        <w:pStyle w:val="Heading2"/>
      </w:pPr>
      <w:r>
        <w:t>State of the Art</w:t>
      </w:r>
    </w:p>
    <w:p w14:paraId="54D47FBA" w14:textId="3FBE8754" w:rsidR="00215F41" w:rsidRDefault="00215F41" w:rsidP="005456F1">
      <w:r w:rsidRPr="00215F41">
        <w:t xml:space="preserve">A prerequisite to sustainable management of coastal fresh groundwater reserves is an accurate description of their present-day distribution, which is difficult to obtain due to the sparse measurements at depth (Delsman, 2015). </w:t>
      </w:r>
      <w:r w:rsidR="000D2E05">
        <w:t>The coastline of the Netherlands may be an exception to this statement, as n</w:t>
      </w:r>
      <w:r w:rsidRPr="00215F41">
        <w:t xml:space="preserve">umerous studies have been conducted on </w:t>
      </w:r>
      <w:r w:rsidR="00E6661D">
        <w:t>its</w:t>
      </w:r>
      <w:r w:rsidRPr="00215F41">
        <w:t xml:space="preserve"> geohydrology, which provide a basis for further research. (Stuyfzand, 1993) conducted a </w:t>
      </w:r>
      <w:r w:rsidR="00987D9A">
        <w:t>hydrochemical facies analysis</w:t>
      </w:r>
      <w:r w:rsidRPr="00215F41">
        <w:t xml:space="preserve"> to identify the origins of </w:t>
      </w:r>
      <w:r w:rsidR="00987D9A">
        <w:t xml:space="preserve">over 2000 </w:t>
      </w:r>
      <w:r w:rsidRPr="00215F41">
        <w:t>groundwater</w:t>
      </w:r>
      <w:r w:rsidR="00987D9A">
        <w:t xml:space="preserve"> samples collected</w:t>
      </w:r>
      <w:r w:rsidRPr="00215F41">
        <w:t xml:space="preserve"> along the coastline; (Oude </w:t>
      </w:r>
      <w:proofErr w:type="spellStart"/>
      <w:r w:rsidRPr="00215F41">
        <w:t>Essink</w:t>
      </w:r>
      <w:proofErr w:type="spellEnd"/>
      <w:r w:rsidRPr="00215F41">
        <w:t xml:space="preserve">, 2001) </w:t>
      </w:r>
      <w:r w:rsidR="00AD6DB6">
        <w:t xml:space="preserve">introduced the concept of a fresh-saline groundwater interface and discussed problems that arise in the Dutch coastline as a result of variable density flow, by using a </w:t>
      </w:r>
      <w:r w:rsidRPr="00215F41">
        <w:t xml:space="preserve"> numerical three-dimensional groundwater flow model; (Delsman, 2015) used a two-dimensional numerical model to perform a paleo-hydrological reconstruction, to investigate intrusion of saline groundwater from the sea over a longer timescale, throughout the Holocene.</w:t>
      </w:r>
    </w:p>
    <w:p w14:paraId="78C8FFCD" w14:textId="0241BA02" w:rsidR="00215F41" w:rsidRDefault="00215F41" w:rsidP="005456F1">
      <w:r w:rsidRPr="00215F41">
        <w:t xml:space="preserve">Dunea </w:t>
      </w:r>
      <w:r w:rsidR="00E6661D">
        <w:t>manages</w:t>
      </w:r>
      <w:r w:rsidRPr="00215F41">
        <w:t xml:space="preserve"> drinking water</w:t>
      </w:r>
      <w:r w:rsidR="00E6661D">
        <w:t xml:space="preserve"> supply</w:t>
      </w:r>
      <w:r w:rsidRPr="00215F41">
        <w:t xml:space="preserve"> from fresh groundwater reserves in the dunes </w:t>
      </w:r>
      <w:r w:rsidR="00FC159F">
        <w:t>of</w:t>
      </w:r>
      <w:r w:rsidRPr="00215F41">
        <w:t xml:space="preserve"> </w:t>
      </w:r>
      <w:r w:rsidR="00FC159F">
        <w:t>T</w:t>
      </w:r>
      <w:r w:rsidRPr="00215F41">
        <w:t xml:space="preserve">he </w:t>
      </w:r>
      <w:r w:rsidR="00AD6DB6">
        <w:t>Hague and seeks to increase their supply with 30% from 2021 to 2025 to</w:t>
      </w:r>
      <w:r w:rsidRPr="00215F41">
        <w:t xml:space="preserve"> account for </w:t>
      </w:r>
      <w:r w:rsidR="00E6661D">
        <w:t xml:space="preserve">future </w:t>
      </w:r>
      <w:r w:rsidRPr="00215F41">
        <w:t>increase</w:t>
      </w:r>
      <w:r w:rsidR="00E6661D">
        <w:t>s</w:t>
      </w:r>
      <w:r w:rsidRPr="00215F41">
        <w:t xml:space="preserve"> in deman</w:t>
      </w:r>
      <w:r w:rsidR="0028068A">
        <w:t>d</w:t>
      </w:r>
      <w:r w:rsidR="00AD6DB6">
        <w:t>,</w:t>
      </w:r>
      <w:r w:rsidR="0028068A">
        <w:t xml:space="preserve"> or deficit</w:t>
      </w:r>
      <w:r w:rsidR="00E6661D">
        <w:t>s</w:t>
      </w:r>
      <w:r w:rsidR="0028068A">
        <w:t xml:space="preserve"> in precipitation due to climate change</w:t>
      </w:r>
      <w:r w:rsidRPr="00215F41">
        <w:t xml:space="preserve"> (Bootsma et al., 2021). In a preliminary study to investigate the feasibility of brackish groundwater as an additional source for producing drinking water, (Bootsma et.al., 2021) used a numerical three-dimensional state-of-the-art fresh-saline groundwater flow model to find that </w:t>
      </w:r>
      <w:r w:rsidR="00826926">
        <w:t xml:space="preserve">the extraction of </w:t>
      </w:r>
      <w:r w:rsidRPr="00215F41">
        <w:t xml:space="preserve">brackish groundwater as a </w:t>
      </w:r>
      <w:r w:rsidR="00826926">
        <w:t xml:space="preserve">drinking water </w:t>
      </w:r>
      <w:r w:rsidRPr="00215F41">
        <w:t>resource may be feasible, but that further research is necessary.</w:t>
      </w:r>
    </w:p>
    <w:p w14:paraId="7BA80530" w14:textId="65931C20" w:rsidR="00E6661D" w:rsidRDefault="00215F41" w:rsidP="002833BC">
      <w:r>
        <w:t>The state-of-the-art</w:t>
      </w:r>
      <w:r w:rsidR="00902978">
        <w:t xml:space="preserve"> model</w:t>
      </w:r>
      <w:r>
        <w:t xml:space="preserve">’s </w:t>
      </w:r>
      <w:r w:rsidR="00A91C12">
        <w:t>applicability and reliability can be questioned,</w:t>
      </w:r>
      <w:r w:rsidR="00E6661D">
        <w:t xml:space="preserve"> however,</w:t>
      </w:r>
      <w:r w:rsidR="00A91C12">
        <w:t xml:space="preserve"> since it has only been calibrated on hydraulic head data </w:t>
      </w:r>
      <w:r>
        <w:t>(Bootsma et.al., 2021)</w:t>
      </w:r>
      <w:r w:rsidR="00A91C12">
        <w:t xml:space="preserve">, </w:t>
      </w:r>
      <w:r w:rsidR="00EF7C54">
        <w:t xml:space="preserve">potentially </w:t>
      </w:r>
      <w:r w:rsidR="00A91C12">
        <w:t>overseeing effects of variable density flow</w:t>
      </w:r>
      <w:r w:rsidR="00EF7C54">
        <w:t xml:space="preserve"> and</w:t>
      </w:r>
      <w:r w:rsidR="00E6661D">
        <w:t xml:space="preserve"> thereby</w:t>
      </w:r>
      <w:r w:rsidR="00A91C12">
        <w:t xml:space="preserve"> neglecting </w:t>
      </w:r>
      <w:r w:rsidR="00EF7C54">
        <w:t>validation</w:t>
      </w:r>
      <w:r w:rsidR="00A91C12">
        <w:t xml:space="preserve"> on groundwater salinity. Moreover, the model’s calculation times</w:t>
      </w:r>
      <w:r w:rsidR="00902978">
        <w:t xml:space="preserve"> are impractical</w:t>
      </w:r>
      <w:r w:rsidR="00AD6DB6">
        <w:t xml:space="preserve"> for use</w:t>
      </w:r>
      <w:r w:rsidR="00902978">
        <w:t xml:space="preserve">, </w:t>
      </w:r>
      <w:r w:rsidR="00A91C12">
        <w:t>exce</w:t>
      </w:r>
      <w:r w:rsidR="007809F8">
        <w:t>eding</w:t>
      </w:r>
      <w:r w:rsidR="00A91C12">
        <w:t xml:space="preserve"> 40 days for a </w:t>
      </w:r>
      <w:r w:rsidR="00A91C12">
        <w:lastRenderedPageBreak/>
        <w:t>simulation of 1000 years</w:t>
      </w:r>
      <w:r w:rsidR="00902978">
        <w:t xml:space="preserve"> (REF)</w:t>
      </w:r>
      <w:r w:rsidR="00AD6DB6">
        <w:t xml:space="preserve"> (</w:t>
      </w:r>
      <w:r w:rsidR="00A91C12">
        <w:t>not an uncommon</w:t>
      </w:r>
      <w:r w:rsidR="00902978">
        <w:t xml:space="preserve"> simulation</w:t>
      </w:r>
      <w:r w:rsidR="00A91C12">
        <w:t xml:space="preserve"> timescale for a geohydrological model</w:t>
      </w:r>
      <w:r w:rsidR="00AD6DB6">
        <w:t>), using powerful computing by Amazon Web Services</w:t>
      </w:r>
      <w:r w:rsidR="00A91C12">
        <w:t xml:space="preserve">. </w:t>
      </w:r>
    </w:p>
    <w:p w14:paraId="0E9846CC" w14:textId="24DE85B6" w:rsidR="007809F8" w:rsidRDefault="002A24D3" w:rsidP="002833BC">
      <w:r>
        <w:t>The necessity for further research to increase the sustainability of drinking water in the dune area of the Netherlands and the limited applicability of state-of-the-art model’s results call for an assessment of conventional model validation techniques for drinking water management, that may be applied to coastal drinking water resources globally.</w:t>
      </w:r>
    </w:p>
    <w:p w14:paraId="73DCD958" w14:textId="77777777" w:rsidR="007D4093" w:rsidRDefault="007D4093" w:rsidP="007D4093">
      <w:pPr>
        <w:pStyle w:val="Caption"/>
        <w:keepNext/>
      </w:pPr>
      <w:r w:rsidRPr="00E46EBE">
        <w:rPr>
          <w:noProof/>
        </w:rPr>
        <w:drawing>
          <wp:inline distT="0" distB="0" distL="0" distR="0" wp14:anchorId="271542CD" wp14:editId="2167DD00">
            <wp:extent cx="5731510" cy="3615055"/>
            <wp:effectExtent l="0" t="0" r="254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731510" cy="3615055"/>
                    </a:xfrm>
                    <a:prstGeom prst="rect">
                      <a:avLst/>
                    </a:prstGeom>
                  </pic:spPr>
                </pic:pic>
              </a:graphicData>
            </a:graphic>
          </wp:inline>
        </w:drawing>
      </w:r>
      <w:bookmarkStart w:id="0" w:name="_Ref130460338"/>
    </w:p>
    <w:p w14:paraId="58903443" w14:textId="5F0E8B25" w:rsidR="007D4093" w:rsidRPr="002833BC" w:rsidRDefault="007D4093" w:rsidP="007D4093">
      <w:pPr>
        <w:pStyle w:val="Caption"/>
      </w:pPr>
      <w:r>
        <w:t xml:space="preserve">Figure </w:t>
      </w:r>
      <w:r>
        <w:fldChar w:fldCharType="begin"/>
      </w:r>
      <w:r>
        <w:instrText xml:space="preserve"> SEQ Figure \* ARABIC </w:instrText>
      </w:r>
      <w:r>
        <w:fldChar w:fldCharType="separate"/>
      </w:r>
      <w:r w:rsidR="00700EC2">
        <w:rPr>
          <w:noProof/>
        </w:rPr>
        <w:t>1</w:t>
      </w:r>
      <w:r>
        <w:fldChar w:fldCharType="end"/>
      </w:r>
      <w:r>
        <w:t xml:space="preserve">: </w:t>
      </w:r>
      <w:r w:rsidRPr="00E76F13">
        <w:t>Threats to coastal aquifers in the Netherlands. (Delsman, 2015)</w:t>
      </w:r>
      <w:bookmarkEnd w:id="0"/>
    </w:p>
    <w:p w14:paraId="259D812C" w14:textId="77777777" w:rsidR="00DF1A23" w:rsidRDefault="00DF1A23">
      <w:pPr>
        <w:jc w:val="left"/>
        <w:rPr>
          <w:rFonts w:ascii="CMU Serif" w:eastAsiaTheme="majorEastAsia" w:hAnsi="CMU Serif" w:cs="CMU Serif"/>
          <w:sz w:val="28"/>
          <w:szCs w:val="28"/>
        </w:rPr>
      </w:pPr>
      <w:r>
        <w:br w:type="page"/>
      </w:r>
    </w:p>
    <w:p w14:paraId="50A79B74" w14:textId="73D74C78" w:rsidR="00E70A9C" w:rsidRPr="002603A4" w:rsidRDefault="00DA5359" w:rsidP="002603A4">
      <w:pPr>
        <w:pStyle w:val="Heading2"/>
      </w:pPr>
      <w:r w:rsidRPr="002603A4">
        <w:lastRenderedPageBreak/>
        <w:t>The coastal dunes of Meijendel-Berkheide as a study area</w:t>
      </w:r>
    </w:p>
    <w:p w14:paraId="5202E98C" w14:textId="373C22D0" w:rsidR="00512990" w:rsidRDefault="007809F8" w:rsidP="007D4093">
      <w:r>
        <w:t xml:space="preserve">The </w:t>
      </w:r>
      <w:r w:rsidR="003146E9">
        <w:t>densely populated coastal dunes and adjacent polders of the Western Netherlands suffer from all environmental evils of modern times. They are faced with a wide spectrum of natural variations and anthropogenic impacts, side by side as well as superimposed (Stuyfzand, 1993)</w:t>
      </w:r>
      <w:r w:rsidR="00512990">
        <w:t>.</w:t>
      </w:r>
      <w:r w:rsidR="00643BF3">
        <w:t xml:space="preserve"> Intrusion of saline groundwater, over extraction of freshwater resources, increase in demand due to growth, </w:t>
      </w:r>
      <w:r w:rsidR="001F13A4">
        <w:t>these are threats that coastal aquifers suffer in the Netherlands</w:t>
      </w:r>
      <w:r w:rsidR="008C248D">
        <w:t xml:space="preserve"> (see</w:t>
      </w:r>
      <w:r w:rsidR="00512990">
        <w:t xml:space="preserve"> </w:t>
      </w:r>
      <w:r w:rsidR="00224E03">
        <w:fldChar w:fldCharType="begin"/>
      </w:r>
      <w:r w:rsidR="00224E03">
        <w:instrText xml:space="preserve"> REF _Ref130460338 \h </w:instrText>
      </w:r>
      <w:r w:rsidR="007D4093">
        <w:instrText xml:space="preserve"> \* MERGEFORMAT </w:instrText>
      </w:r>
      <w:r w:rsidR="00224E03">
        <w:fldChar w:fldCharType="separate"/>
      </w:r>
      <w:r w:rsidR="00352309">
        <w:t>Figure</w:t>
      </w:r>
      <w:r w:rsidR="00352309">
        <w:rPr>
          <w:noProof/>
        </w:rPr>
        <w:t xml:space="preserve"> </w:t>
      </w:r>
      <w:r w:rsidR="00352309">
        <w:t>1</w:t>
      </w:r>
      <w:r w:rsidR="00224E03">
        <w:fldChar w:fldCharType="end"/>
      </w:r>
      <w:r w:rsidR="008C248D">
        <w:t>)</w:t>
      </w:r>
      <w:r w:rsidR="00512990">
        <w:t>.</w:t>
      </w:r>
    </w:p>
    <w:p w14:paraId="27BF8D9C" w14:textId="3C44C2BA" w:rsidR="00EF7C54" w:rsidRDefault="003146E9" w:rsidP="00DC7443">
      <w:r>
        <w:t xml:space="preserve">The </w:t>
      </w:r>
      <w:r w:rsidR="00512990">
        <w:t>Netherlands</w:t>
      </w:r>
      <w:r>
        <w:t xml:space="preserve"> </w:t>
      </w:r>
      <w:r w:rsidR="00512990">
        <w:t>has</w:t>
      </w:r>
      <w:r w:rsidR="00826926">
        <w:t xml:space="preserve"> an elaborate history of water management</w:t>
      </w:r>
      <w:r w:rsidR="00983E22">
        <w:t>. First accounts date back to 800AD, when drainage of coastal salt marches commenced (Delsman, 2015). Its rural landscape is</w:t>
      </w:r>
      <w:r w:rsidR="00DA5359">
        <w:t xml:space="preserve"> </w:t>
      </w:r>
      <w:r w:rsidR="00983E22">
        <w:t>characterized by polders</w:t>
      </w:r>
      <w:r w:rsidR="00DA5359">
        <w:t xml:space="preserve">, </w:t>
      </w:r>
      <w:r w:rsidR="007D4093">
        <w:t>canals,</w:t>
      </w:r>
      <w:r w:rsidR="00DA5359">
        <w:t xml:space="preserve"> and reclaimed lakes</w:t>
      </w:r>
      <w:r w:rsidR="007D4093">
        <w:t xml:space="preserve">, </w:t>
      </w:r>
      <w:r w:rsidR="00DA5359">
        <w:t xml:space="preserve">initially </w:t>
      </w:r>
      <w:r w:rsidR="001F13A4">
        <w:t>drained</w:t>
      </w:r>
      <w:r w:rsidR="00DA5359">
        <w:t xml:space="preserve"> </w:t>
      </w:r>
      <w:r w:rsidR="007D4093">
        <w:t>using</w:t>
      </w:r>
      <w:r w:rsidR="00DA5359">
        <w:t xml:space="preserve"> windmills. </w:t>
      </w:r>
      <w:r w:rsidR="00512990">
        <w:t>This</w:t>
      </w:r>
      <w:r w:rsidR="00DA5359">
        <w:t xml:space="preserve"> </w:t>
      </w:r>
      <w:r w:rsidR="00E46EBE">
        <w:t>pursuit</w:t>
      </w:r>
      <w:r w:rsidR="00983E22">
        <w:t xml:space="preserve"> </w:t>
      </w:r>
      <w:r w:rsidR="00E46EBE">
        <w:t>dates to</w:t>
      </w:r>
      <w:r w:rsidR="00983E22">
        <w:t xml:space="preserve"> 1000AD (van der Ven, 1993)</w:t>
      </w:r>
      <w:r w:rsidR="00E46EBE">
        <w:t xml:space="preserve">, </w:t>
      </w:r>
      <w:r w:rsidR="00512990">
        <w:t>and</w:t>
      </w:r>
      <w:r w:rsidR="00E46EBE">
        <w:t xml:space="preserve"> </w:t>
      </w:r>
      <w:r w:rsidR="001F13A4">
        <w:t xml:space="preserve">is </w:t>
      </w:r>
      <w:r w:rsidR="00E46EBE">
        <w:t>keeping water tables sufficiently low for agricultural use</w:t>
      </w:r>
      <w:r w:rsidR="00983E22">
        <w:t>.</w:t>
      </w:r>
      <w:r w:rsidR="001F13A4">
        <w:t xml:space="preserve"> Consequently, this drainage</w:t>
      </w:r>
      <w:r w:rsidR="007D4093">
        <w:t xml:space="preserve"> also</w:t>
      </w:r>
      <w:r w:rsidR="001F13A4">
        <w:t xml:space="preserve"> resulted in compaction</w:t>
      </w:r>
      <w:r w:rsidR="007D4093">
        <w:t xml:space="preserve"> of soils</w:t>
      </w:r>
      <w:r w:rsidR="001F13A4">
        <w:t xml:space="preserve"> due to oxidation of organic matter in peat</w:t>
      </w:r>
      <w:r w:rsidR="008C248D">
        <w:t xml:space="preserve"> soils, which were </w:t>
      </w:r>
      <w:r w:rsidR="001F13A4">
        <w:t xml:space="preserve">now exposed </w:t>
      </w:r>
      <w:r w:rsidR="007D4093">
        <w:t xml:space="preserve">to air </w:t>
      </w:r>
      <w:r w:rsidR="001F13A4">
        <w:t>(Hoogland et. al., 2012)</w:t>
      </w:r>
      <w:r w:rsidR="00BE4E94">
        <w:t>.</w:t>
      </w:r>
    </w:p>
    <w:p w14:paraId="1E25F38F" w14:textId="77777777" w:rsidR="00E332B5" w:rsidRDefault="00E332B5" w:rsidP="00E332B5">
      <w:pPr>
        <w:keepNext/>
        <w:jc w:val="center"/>
      </w:pPr>
      <w:r>
        <w:rPr>
          <w:noProof/>
        </w:rPr>
        <w:drawing>
          <wp:inline distT="0" distB="0" distL="0" distR="0" wp14:anchorId="3BDBDB4A" wp14:editId="70DAE2EC">
            <wp:extent cx="5731510" cy="3609975"/>
            <wp:effectExtent l="0" t="0" r="2540" b="9525"/>
            <wp:docPr id="19" name="Picture 19"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ap of a city&#10;&#10;Description automatically generated with low confidence"/>
                    <pic:cNvPicPr/>
                  </pic:nvPicPr>
                  <pic:blipFill rotWithShape="1">
                    <a:blip r:embed="rId7" cstate="print">
                      <a:extLst>
                        <a:ext uri="{28A0092B-C50C-407E-A947-70E740481C1C}">
                          <a14:useLocalDpi xmlns:a14="http://schemas.microsoft.com/office/drawing/2010/main" val="0"/>
                        </a:ext>
                      </a:extLst>
                    </a:blip>
                    <a:srcRect t="6110" b="4826"/>
                    <a:stretch/>
                  </pic:blipFill>
                  <pic:spPr bwMode="auto">
                    <a:xfrm>
                      <a:off x="0" y="0"/>
                      <a:ext cx="5731510" cy="3609975"/>
                    </a:xfrm>
                    <a:prstGeom prst="rect">
                      <a:avLst/>
                    </a:prstGeom>
                    <a:ln>
                      <a:noFill/>
                    </a:ln>
                    <a:extLst>
                      <a:ext uri="{53640926-AAD7-44D8-BBD7-CCE9431645EC}">
                        <a14:shadowObscured xmlns:a14="http://schemas.microsoft.com/office/drawing/2010/main"/>
                      </a:ext>
                    </a:extLst>
                  </pic:spPr>
                </pic:pic>
              </a:graphicData>
            </a:graphic>
          </wp:inline>
        </w:drawing>
      </w:r>
    </w:p>
    <w:p w14:paraId="6137E55C" w14:textId="23061521" w:rsidR="00DF1A23" w:rsidRDefault="00E332B5" w:rsidP="00E332B5">
      <w:pPr>
        <w:pStyle w:val="Caption"/>
        <w:jc w:val="center"/>
      </w:pPr>
      <w:r>
        <w:t xml:space="preserve">Figure </w:t>
      </w:r>
      <w:r>
        <w:fldChar w:fldCharType="begin"/>
      </w:r>
      <w:r>
        <w:instrText xml:space="preserve"> SEQ Figure \* ARABIC </w:instrText>
      </w:r>
      <w:r>
        <w:fldChar w:fldCharType="separate"/>
      </w:r>
      <w:r w:rsidR="00700EC2">
        <w:rPr>
          <w:noProof/>
        </w:rPr>
        <w:t>2</w:t>
      </w:r>
      <w:r>
        <w:fldChar w:fldCharType="end"/>
      </w:r>
      <w:r>
        <w:t>: Study area of Meijendel-Berkheijde</w:t>
      </w:r>
    </w:p>
    <w:p w14:paraId="5AF67EB9" w14:textId="3BB22813" w:rsidR="00A45610" w:rsidRDefault="00DC7443" w:rsidP="00DC7443">
      <w:commentRangeStart w:id="1"/>
      <w:r>
        <w:t>In the area of Meijendel-Berkheijde</w:t>
      </w:r>
      <w:r w:rsidR="007D4093">
        <w:t>,</w:t>
      </w:r>
      <w:r>
        <w:t xml:space="preserve"> water management has a particular history, making it ideal to study the development of fresh-saline groundwater interactions over time, with human </w:t>
      </w:r>
      <w:r w:rsidR="008C248D">
        <w:t>intervention</w:t>
      </w:r>
      <w:r>
        <w:t xml:space="preserve">. In the period of 1874 to 1955, excessive groundwater exfiltration caused significant desiccation and groundwater salinization in the dune area of Meijendel-Berkheide (Stuyfzand et al., 1993). To recharge the freshwater reserves, </w:t>
      </w:r>
      <w:r w:rsidR="002A24D3">
        <w:t xml:space="preserve">pumping </w:t>
      </w:r>
      <w:r w:rsidR="00FE2FA9">
        <w:t>river water from the Rhine into the coastal aquifers</w:t>
      </w:r>
      <w:r w:rsidR="002A24D3">
        <w:t xml:space="preserve"> commenced</w:t>
      </w:r>
      <w:r w:rsidR="00FE2FA9">
        <w:t xml:space="preserve"> in 1956</w:t>
      </w:r>
      <w:r w:rsidR="00943B98">
        <w:t>.</w:t>
      </w:r>
      <w:r w:rsidR="00FE2FA9">
        <w:t xml:space="preserve"> </w:t>
      </w:r>
      <w:r w:rsidR="00943B98">
        <w:t>S</w:t>
      </w:r>
      <w:r w:rsidR="00FE2FA9">
        <w:t>ince</w:t>
      </w:r>
      <w:r>
        <w:t xml:space="preserve"> 1976 additional </w:t>
      </w:r>
      <w:r w:rsidR="00FE2FA9">
        <w:t xml:space="preserve">water </w:t>
      </w:r>
      <w:r>
        <w:t xml:space="preserve">from the Meuse River </w:t>
      </w:r>
      <w:r w:rsidR="00943B98">
        <w:t>i</w:t>
      </w:r>
      <w:r w:rsidR="00FE2FA9">
        <w:t>s</w:t>
      </w:r>
      <w:r>
        <w:t xml:space="preserve"> pumped into the dune reserves</w:t>
      </w:r>
      <w:r w:rsidR="00943B98">
        <w:t xml:space="preserve"> to further enhance the reservoir’s recharge</w:t>
      </w:r>
      <w:r w:rsidR="008C248D">
        <w:t xml:space="preserve"> (see Figure 2)</w:t>
      </w:r>
      <w:r>
        <w:t xml:space="preserve">. </w:t>
      </w:r>
      <w:commentRangeEnd w:id="1"/>
      <w:r w:rsidR="00635155">
        <w:rPr>
          <w:rStyle w:val="CommentReference"/>
        </w:rPr>
        <w:commentReference w:id="1"/>
      </w:r>
    </w:p>
    <w:p w14:paraId="55AE12EE" w14:textId="77777777" w:rsidR="00A45610" w:rsidRDefault="00A45610" w:rsidP="00A45610">
      <w:pPr>
        <w:keepNext/>
        <w:jc w:val="center"/>
      </w:pPr>
      <w:r w:rsidRPr="007D4093">
        <w:rPr>
          <w:noProof/>
        </w:rPr>
        <w:lastRenderedPageBreak/>
        <w:drawing>
          <wp:inline distT="0" distB="0" distL="0" distR="0" wp14:anchorId="2BCA47C6" wp14:editId="0A304C20">
            <wp:extent cx="4551535" cy="3344818"/>
            <wp:effectExtent l="0" t="0" r="1905" b="825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51535" cy="3344818"/>
                    </a:xfrm>
                    <a:prstGeom prst="rect">
                      <a:avLst/>
                    </a:prstGeom>
                  </pic:spPr>
                </pic:pic>
              </a:graphicData>
            </a:graphic>
          </wp:inline>
        </w:drawing>
      </w:r>
    </w:p>
    <w:p w14:paraId="79C98014" w14:textId="6080DCE2" w:rsidR="00825FC0" w:rsidRPr="00825FC0" w:rsidRDefault="00A45610" w:rsidP="008C248D">
      <w:pPr>
        <w:pStyle w:val="Caption"/>
      </w:pPr>
      <w:r>
        <w:t xml:space="preserve">Figure </w:t>
      </w:r>
      <w:r>
        <w:fldChar w:fldCharType="begin"/>
      </w:r>
      <w:r>
        <w:instrText xml:space="preserve"> SEQ Figure \* ARABIC </w:instrText>
      </w:r>
      <w:r>
        <w:fldChar w:fldCharType="separate"/>
      </w:r>
      <w:r w:rsidR="00700EC2">
        <w:rPr>
          <w:noProof/>
        </w:rPr>
        <w:t>3</w:t>
      </w:r>
      <w:r>
        <w:fldChar w:fldCharType="end"/>
      </w:r>
      <w:r>
        <w:t>:</w:t>
      </w:r>
      <w:r w:rsidRPr="007421E5">
        <w:t xml:space="preserve"> Saline groundwater intrusion and overextraction in Meijendel-Berkheide, interpreted by (Stuyfzand, 1993). Cross section perpendicular to coastline, east-west. AM = Artificially infiltrated Meuse water, AR = Artificial Rhine, D = Dune freshwat</w:t>
      </w:r>
      <w:r>
        <w:t>er.</w:t>
      </w:r>
    </w:p>
    <w:p w14:paraId="7BE909BB" w14:textId="0CC1ACF5" w:rsidR="00A45610" w:rsidRDefault="00A45610" w:rsidP="00DC7443">
      <w:r>
        <w:t xml:space="preserve">Although it is found that long timescales are involved in establishing the current fresh-saline distribution </w:t>
      </w:r>
      <w:r w:rsidR="00B9063E">
        <w:t xml:space="preserve">in </w:t>
      </w:r>
      <w:r>
        <w:t xml:space="preserve">deltas (van </w:t>
      </w:r>
      <w:proofErr w:type="spellStart"/>
      <w:r>
        <w:t>Engelen</w:t>
      </w:r>
      <w:proofErr w:type="spellEnd"/>
      <w:r>
        <w:t xml:space="preserve">, 2020) and salinity in the coastal groundwater of the Netherlands predominantly derives from sea water infiltration during Holocene marine transgressions (Post and </w:t>
      </w:r>
      <w:proofErr w:type="spellStart"/>
      <w:r>
        <w:t>Kooi</w:t>
      </w:r>
      <w:proofErr w:type="spellEnd"/>
      <w:r>
        <w:t xml:space="preserve">, 2003), human intervention in coastal aquifers may disrupt this long timescale transience. As recognized by (Oude </w:t>
      </w:r>
      <w:proofErr w:type="spellStart"/>
      <w:r>
        <w:t>Essink</w:t>
      </w:r>
      <w:proofErr w:type="spellEnd"/>
      <w:r>
        <w:t xml:space="preserve">, 2001), in areas where extensive human intervention </w:t>
      </w:r>
      <w:r w:rsidR="00B9063E">
        <w:t>(</w:t>
      </w:r>
      <w:r>
        <w:t>like extraction of groundwater</w:t>
      </w:r>
      <w:r w:rsidR="00B9063E">
        <w:t>)</w:t>
      </w:r>
      <w:r>
        <w:t xml:space="preserve"> takes place, </w:t>
      </w:r>
      <w:r w:rsidR="00B9063E">
        <w:t>the anthropogenic</w:t>
      </w:r>
      <w:r>
        <w:t xml:space="preserve"> influence on fresh-saline distributions may become primary, on a much smaller timescale. </w:t>
      </w:r>
      <w:r w:rsidR="00500D00">
        <w:t>The geochemical analysis confirms that this is also the case in Meijendel-Berkheide (Stuyfzand, 1993).</w:t>
      </w:r>
    </w:p>
    <w:p w14:paraId="4912B958" w14:textId="0A7F6250" w:rsidR="00DA5F88" w:rsidRDefault="00DA5F88" w:rsidP="00DC7443">
      <w:r>
        <w:t>Moreover, most data available are “snapshots” and provide little information on the long-term development of fresh-saline groundwater distributions.</w:t>
      </w:r>
      <w:r w:rsidR="00825FC0">
        <w:t xml:space="preserve"> </w:t>
      </w:r>
      <w:r w:rsidR="000E1358">
        <w:t>M</w:t>
      </w:r>
      <w:r w:rsidR="00825FC0">
        <w:t>odern techniques like the use of airborne electromagnetics to map groundwater salinity are on a relatively small timescale compared to the development of fresh-saline groundwater distributions. This lack of historical data causes model validation to be based on “snapshots”</w:t>
      </w:r>
      <w:r w:rsidR="0086486C">
        <w:t>. Hydrochemical Facies Analyses</w:t>
      </w:r>
      <w:r w:rsidR="000E1358">
        <w:t xml:space="preserve"> (HyFA)</w:t>
      </w:r>
      <w:r w:rsidR="0086486C">
        <w:t xml:space="preserve"> like (Stuyfzand, 1993) may provide a contribution to model validation, as origin tracing provides insight in the “path” of water flow in the subsurface. The use of HyFA provides an opportunity to improve model validation techniques.</w:t>
      </w:r>
      <w:r w:rsidR="00636D30">
        <w:t xml:space="preserve"> </w:t>
      </w:r>
    </w:p>
    <w:p w14:paraId="65CE2774" w14:textId="5300D80E" w:rsidR="006B5449" w:rsidRDefault="00DC7443" w:rsidP="00A45610">
      <w:r>
        <w:t>The coastal area of the Netherlands is judged as suitable for studying due to (a) an extensive amount of geohydrological studies and data obtained in the area</w:t>
      </w:r>
      <w:r w:rsidR="00500D00">
        <w:t xml:space="preserve"> for model validation</w:t>
      </w:r>
      <w:r>
        <w:t xml:space="preserve"> (</w:t>
      </w:r>
      <w:r w:rsidRPr="00C03618">
        <w:rPr>
          <w:highlight w:val="lightGray"/>
        </w:rPr>
        <w:t>see section 1.1</w:t>
      </w:r>
      <w:r>
        <w:t xml:space="preserve">); (b) </w:t>
      </w:r>
      <w:r w:rsidR="0086486C">
        <w:t>the HyFA</w:t>
      </w:r>
      <w:r>
        <w:t xml:space="preserve"> </w:t>
      </w:r>
      <w:r w:rsidR="0086486C">
        <w:t xml:space="preserve">providing insight in the path of groundwater flow in the area </w:t>
      </w:r>
      <w:r>
        <w:t>by (Stuyfzand, 1993)</w:t>
      </w:r>
      <w:r w:rsidR="00825FC0">
        <w:t>, providing</w:t>
      </w:r>
      <w:r w:rsidR="0086486C">
        <w:t xml:space="preserve"> a</w:t>
      </w:r>
      <w:r w:rsidR="00825FC0">
        <w:t xml:space="preserve"> </w:t>
      </w:r>
      <w:r w:rsidR="0086486C">
        <w:t>research opportunity for fresh-saline groundwater model validation</w:t>
      </w:r>
      <w:r>
        <w:t xml:space="preserve">; (c) numerous studies with a </w:t>
      </w:r>
      <w:r w:rsidR="00500D00">
        <w:t>successful</w:t>
      </w:r>
      <w:r>
        <w:t xml:space="preserve"> numerical groundwater modeling approach </w:t>
      </w:r>
      <w:r w:rsidR="00500D00">
        <w:t>in</w:t>
      </w:r>
      <w:r>
        <w:t xml:space="preserve"> the area and (d) site specific human-induced conditions that disrupt the long timescales </w:t>
      </w:r>
      <w:r>
        <w:lastRenderedPageBreak/>
        <w:t>over which fresh-saline interfaces develop,</w:t>
      </w:r>
      <w:r w:rsidR="002C4A43">
        <w:t xml:space="preserve"> consequently making the area preferable for modeling fresh-saline groundwater distributions efficiently, over a shorter period of time.</w:t>
      </w:r>
    </w:p>
    <w:p w14:paraId="1BC86AF8" w14:textId="3BC6C642" w:rsidR="008A6FBC" w:rsidRDefault="008A6FBC" w:rsidP="008A6FBC">
      <w:pPr>
        <w:pStyle w:val="Heading2"/>
      </w:pPr>
      <w:r>
        <w:t>Fresh-saline interface</w:t>
      </w:r>
    </w:p>
    <w:p w14:paraId="72BC6D21" w14:textId="77777777" w:rsidR="008A6FBC" w:rsidRDefault="008A6FBC" w:rsidP="008A6FBC">
      <w:pPr>
        <w:rPr>
          <w:rFonts w:eastAsiaTheme="minorEastAsia"/>
        </w:rPr>
      </w:pPr>
      <w:r>
        <w:t xml:space="preserve">Variable density flow occurs due to a gradient water density. In the context of this paper, the variability in groundwater density is due to its salinity. Typical ocean (saline) water has a density of </w:t>
      </w:r>
      <m:oMath>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=1025 kg/</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and freshwater typically has a density of </w:t>
      </w:r>
      <m:oMath>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=1000 kg/</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Saline groundwater with a higher density tends to flow down, with respect to fresh groundwater, with a lower density due to gravitational forces. As a tool to gain insight in the density flows in coastal aquifers, (Oude </w:t>
      </w:r>
      <w:proofErr w:type="spellStart"/>
      <w:r>
        <w:rPr>
          <w:rFonts w:eastAsiaTheme="minorEastAsia"/>
        </w:rPr>
        <w:t>Essink</w:t>
      </w:r>
      <w:proofErr w:type="spellEnd"/>
      <w:r>
        <w:rPr>
          <w:rFonts w:eastAsiaTheme="minorEastAsia"/>
        </w:rPr>
        <w:t xml:space="preserve">, 2001) introduced a conceptual fresh-saline interface, based on the </w:t>
      </w:r>
      <w:proofErr w:type="spellStart"/>
      <w:r>
        <w:rPr>
          <w:rFonts w:eastAsiaTheme="minorEastAsia"/>
        </w:rPr>
        <w:t>Badon</w:t>
      </w:r>
      <w:proofErr w:type="spellEnd"/>
      <w:r>
        <w:rPr>
          <w:rFonts w:eastAsiaTheme="minorEastAsia"/>
        </w:rPr>
        <w:t>-</w:t>
      </w:r>
      <w:proofErr w:type="spellStart"/>
      <w:r>
        <w:rPr>
          <w:rFonts w:eastAsiaTheme="minorEastAsia"/>
        </w:rPr>
        <w:t>Ghyben</w:t>
      </w:r>
      <w:proofErr w:type="spellEnd"/>
      <w:r>
        <w:rPr>
          <w:rFonts w:eastAsiaTheme="minorEastAsia"/>
        </w:rPr>
        <w:t>-Herzberg principle:</w:t>
      </w:r>
    </w:p>
    <w:p w14:paraId="41B37E4E" w14:textId="77777777" w:rsidR="008A6FBC" w:rsidRPr="00F9244C" w:rsidRDefault="008A6FBC" w:rsidP="008A6FBC">
      <m:oMathPara>
        <m:oMath>
          <m:r>
            <w:rPr>
              <w:rFonts w:ascii="Cambria Math" w:hAnsi="Cambria Math"/>
            </w:rPr>
            <m:t xml:space="preserve">h=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m:t>
                  </m:r>
                </m:sub>
              </m:sSub>
            </m:num>
            <m:den>
              <m:sSub>
                <m:sSubPr>
                  <m:ctrlPr>
                    <w:rPr>
                      <w:rFonts w:ascii="Cambria Math" w:hAnsi="Cambria Math"/>
                      <w:i/>
                    </w:rPr>
                  </m:ctrlPr>
                </m:sSubPr>
                <m:e>
                  <m:r>
                    <w:rPr>
                      <w:rFonts w:ascii="Cambria Math" w:hAnsi="Cambria Math"/>
                    </w:rPr>
                    <m:t>ρ</m:t>
                  </m:r>
                </m:e>
                <m:sub>
                  <m:r>
                    <w:rPr>
                      <w:rFonts w:ascii="Cambria Math" w:hAnsi="Cambria Math"/>
                    </w:rPr>
                    <m:t>f</m:t>
                  </m:r>
                </m:sub>
              </m:sSub>
            </m:den>
          </m:f>
          <m:r>
            <w:rPr>
              <w:rFonts w:ascii="Cambria Math" w:hAnsi="Cambria Math"/>
            </w:rPr>
            <m:t>H</m:t>
          </m:r>
          <m:r>
            <w:rPr>
              <w:rFonts w:ascii="Cambria Math" w:eastAsiaTheme="minorEastAsia" w:hAnsi="Cambria Math"/>
            </w:rPr>
            <m:t>↔ h=aH,</m:t>
          </m:r>
        </m:oMath>
      </m:oMathPara>
    </w:p>
    <w:p w14:paraId="1E013ECB" w14:textId="77777777" w:rsidR="008A6FBC" w:rsidRDefault="008A6FBC" w:rsidP="008A6FBC">
      <w:pPr>
        <w:keepNext/>
      </w:pPr>
      <w:r>
        <w:t xml:space="preserve">where </w:t>
      </w:r>
      <m:oMath>
        <m:r>
          <w:rPr>
            <w:rFonts w:ascii="Cambria Math" w:hAnsi="Cambria Math"/>
          </w:rPr>
          <m:t>h</m:t>
        </m:r>
      </m:oMath>
      <w:r>
        <w:rPr>
          <w:rFonts w:eastAsiaTheme="minorEastAsia"/>
        </w:rPr>
        <w:t xml:space="preserve"> is the piezometric head of the groundwater with respect to the sea level, and </w:t>
      </w:r>
      <m:oMath>
        <m:r>
          <w:rPr>
            <w:rFonts w:ascii="Cambria Math" w:eastAsiaTheme="minorEastAsia" w:hAnsi="Cambria Math"/>
          </w:rPr>
          <m:t>H</m:t>
        </m:r>
      </m:oMath>
      <w:r>
        <w:rPr>
          <w:rFonts w:eastAsiaTheme="minorEastAsia"/>
        </w:rPr>
        <w:t xml:space="preserve"> is the depth of the freshwater lens saline groundwater interface below the sea level. This principle is visualized in Figure 3, where a representation of an elongated island surrounded by sea water, and its fresh-saline groundwater interface is shown. </w:t>
      </w:r>
    </w:p>
    <w:p w14:paraId="30D2BE06" w14:textId="77777777" w:rsidR="008A6FBC" w:rsidRDefault="008A6FBC" w:rsidP="008A6FBC">
      <w:pPr>
        <w:keepNext/>
        <w:jc w:val="center"/>
      </w:pPr>
      <w:r>
        <w:rPr>
          <w:noProof/>
        </w:rPr>
        <w:drawing>
          <wp:inline distT="0" distB="0" distL="0" distR="0" wp14:anchorId="7905B0D3" wp14:editId="6A5D985E">
            <wp:extent cx="3857625" cy="2857500"/>
            <wp:effectExtent l="0" t="0" r="9525" b="0"/>
            <wp:docPr id="4" name="Picture 4"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diagram, design&#10;&#10;Description automatically generated"/>
                    <pic:cNvPicPr/>
                  </pic:nvPicPr>
                  <pic:blipFill rotWithShape="1">
                    <a:blip r:embed="rId13">
                      <a:extLst>
                        <a:ext uri="{28A0092B-C50C-407E-A947-70E740481C1C}">
                          <a14:useLocalDpi xmlns:a14="http://schemas.microsoft.com/office/drawing/2010/main" val="0"/>
                        </a:ext>
                      </a:extLst>
                    </a:blip>
                    <a:srcRect r="52123" b="-2041"/>
                    <a:stretch/>
                  </pic:blipFill>
                  <pic:spPr bwMode="auto">
                    <a:xfrm>
                      <a:off x="0" y="0"/>
                      <a:ext cx="3857625" cy="2857500"/>
                    </a:xfrm>
                    <a:prstGeom prst="rect">
                      <a:avLst/>
                    </a:prstGeom>
                    <a:ln>
                      <a:noFill/>
                    </a:ln>
                    <a:extLst>
                      <a:ext uri="{53640926-AAD7-44D8-BBD7-CCE9431645EC}">
                        <a14:shadowObscured xmlns:a14="http://schemas.microsoft.com/office/drawing/2010/main"/>
                      </a:ext>
                    </a:extLst>
                  </pic:spPr>
                </pic:pic>
              </a:graphicData>
            </a:graphic>
          </wp:inline>
        </w:drawing>
      </w:r>
    </w:p>
    <w:p w14:paraId="1FD0C293" w14:textId="7EDC20B5" w:rsidR="008A6FBC" w:rsidRPr="00ED42A7" w:rsidRDefault="008A6FBC" w:rsidP="008A6FBC">
      <w:pPr>
        <w:pStyle w:val="Caption"/>
        <w:jc w:val="center"/>
      </w:pPr>
      <w:r>
        <w:t xml:space="preserve">Figure </w:t>
      </w:r>
      <w:r>
        <w:fldChar w:fldCharType="begin"/>
      </w:r>
      <w:r>
        <w:instrText xml:space="preserve"> SEQ Figure \* ARABIC </w:instrText>
      </w:r>
      <w:r>
        <w:fldChar w:fldCharType="separate"/>
      </w:r>
      <w:r w:rsidR="00700EC2">
        <w:rPr>
          <w:noProof/>
        </w:rPr>
        <w:t>4</w:t>
      </w:r>
      <w:r>
        <w:fldChar w:fldCharType="end"/>
      </w:r>
      <w:r>
        <w:t>: Fresh-saline interface in an elongated island</w:t>
      </w:r>
    </w:p>
    <w:p w14:paraId="626D7257" w14:textId="26C54570" w:rsidR="008A6FBC" w:rsidRPr="00A45610" w:rsidRDefault="008A6FBC" w:rsidP="008A6FBC">
      <w:r>
        <w:t>Although this representation of the variable density groundwater distribution neglects the brackish groundwater zone in between fresh and saline groundwater, it is a conceptual tool to visualize and calculate the shape and size of the fresh groundwater volume.</w:t>
      </w:r>
    </w:p>
    <w:p w14:paraId="4E1AB68F" w14:textId="77777777" w:rsidR="00FA1F9D" w:rsidRDefault="00FA1F9D">
      <w:pPr>
        <w:jc w:val="left"/>
        <w:rPr>
          <w:rFonts w:ascii="CMU Serif" w:eastAsiaTheme="majorEastAsia" w:hAnsi="CMU Serif" w:cs="CMU Serif"/>
          <w:sz w:val="28"/>
          <w:szCs w:val="28"/>
        </w:rPr>
      </w:pPr>
      <w:r>
        <w:br w:type="page"/>
      </w:r>
    </w:p>
    <w:p w14:paraId="2AE88574" w14:textId="155DE4AE" w:rsidR="00500D00" w:rsidRPr="00500D00" w:rsidRDefault="00663247" w:rsidP="00500D00">
      <w:pPr>
        <w:pStyle w:val="Heading2"/>
      </w:pPr>
      <w:r>
        <w:lastRenderedPageBreak/>
        <w:t>Scope of Study</w:t>
      </w:r>
    </w:p>
    <w:p w14:paraId="7734805F" w14:textId="08C36FD8" w:rsidR="005A5992" w:rsidRPr="005A5992" w:rsidRDefault="005A5992" w:rsidP="005A5992">
      <w:r>
        <w:t xml:space="preserve">3D </w:t>
      </w:r>
      <w:r w:rsidR="00500D00">
        <w:t>m</w:t>
      </w:r>
      <w:r>
        <w:t xml:space="preserve">odeling techniques for fresh-saline groundwater interactions in coastal regions can be seen as the central concept of this study. Motivated by the conditions named in </w:t>
      </w:r>
      <w:r w:rsidRPr="00C03618">
        <w:rPr>
          <w:highlight w:val="lightGray"/>
        </w:rPr>
        <w:t>sections 1.1 and 1.2</w:t>
      </w:r>
      <w:r>
        <w:t>, the aim of this study is:</w:t>
      </w:r>
    </w:p>
    <w:p w14:paraId="6ED5876A" w14:textId="6AD2C3EE" w:rsidR="009A019C" w:rsidRDefault="008C269B" w:rsidP="005A5992">
      <w:pPr>
        <w:ind w:left="708"/>
        <w:rPr>
          <w:i/>
          <w:iCs/>
        </w:rPr>
      </w:pPr>
      <w:bookmarkStart w:id="2" w:name="_Hlk131679235"/>
      <w:r>
        <w:rPr>
          <w:i/>
          <w:iCs/>
        </w:rPr>
        <w:t>To assess and improve efficient modeling practices</w:t>
      </w:r>
      <w:r w:rsidR="00AD4897">
        <w:rPr>
          <w:i/>
          <w:iCs/>
        </w:rPr>
        <w:t xml:space="preserve"> and conventional model validation techniques</w:t>
      </w:r>
      <w:r>
        <w:rPr>
          <w:i/>
          <w:iCs/>
        </w:rPr>
        <w:t xml:space="preserve"> for fresh-saline groundwater flow models used to study coastal drinking water resources</w:t>
      </w:r>
      <w:r w:rsidR="000E1358">
        <w:rPr>
          <w:i/>
          <w:iCs/>
        </w:rPr>
        <w:t>.</w:t>
      </w:r>
    </w:p>
    <w:p w14:paraId="35714365" w14:textId="52482C78" w:rsidR="00DD4332" w:rsidRDefault="00AD4A35" w:rsidP="00860F81">
      <w:bookmarkStart w:id="3" w:name="_Hlk131680476"/>
      <w:bookmarkEnd w:id="2"/>
      <w:r>
        <w:t>In this statement</w:t>
      </w:r>
      <w:r w:rsidR="008C269B">
        <w:t xml:space="preserve"> </w:t>
      </w:r>
      <w:r>
        <w:t>“</w:t>
      </w:r>
      <w:r w:rsidRPr="00DA5F88">
        <w:rPr>
          <w:i/>
          <w:iCs/>
        </w:rPr>
        <w:t>efficient modeling practices</w:t>
      </w:r>
      <w:r>
        <w:t>”</w:t>
      </w:r>
      <w:r w:rsidR="00AD4897">
        <w:t xml:space="preserve"> and “</w:t>
      </w:r>
      <w:r w:rsidR="00AD4897" w:rsidRPr="00DA5F88">
        <w:rPr>
          <w:i/>
          <w:iCs/>
        </w:rPr>
        <w:t>model validation techniques</w:t>
      </w:r>
      <w:r w:rsidR="00AD4897">
        <w:t>”</w:t>
      </w:r>
      <w:r>
        <w:t xml:space="preserve"> require further specification</w:t>
      </w:r>
      <w:r w:rsidR="00AD4897">
        <w:t xml:space="preserve">. </w:t>
      </w:r>
      <w:r>
        <w:t>The</w:t>
      </w:r>
      <w:r w:rsidR="00AD4897">
        <w:t>y are addressed in the</w:t>
      </w:r>
      <w:r>
        <w:t xml:space="preserve"> </w:t>
      </w:r>
      <w:r w:rsidR="003C452B">
        <w:t xml:space="preserve">following </w:t>
      </w:r>
      <w:r w:rsidR="008C269B">
        <w:t>sub-objective</w:t>
      </w:r>
      <w:r w:rsidR="00AD4897">
        <w:t>s</w:t>
      </w:r>
      <w:r w:rsidR="003C452B">
        <w:t>:</w:t>
      </w:r>
    </w:p>
    <w:bookmarkEnd w:id="3"/>
    <w:p w14:paraId="3E9F4A9F" w14:textId="77777777" w:rsidR="00DA5F88" w:rsidRDefault="00DA5F88" w:rsidP="00DA5F88">
      <w:pPr>
        <w:pStyle w:val="ListParagraph"/>
        <w:numPr>
          <w:ilvl w:val="0"/>
          <w:numId w:val="35"/>
        </w:numPr>
        <w:ind w:left="360"/>
      </w:pPr>
      <w:r w:rsidRPr="00DA5F88">
        <w:rPr>
          <w:i/>
          <w:iCs/>
        </w:rPr>
        <w:t>Efficient modeling practices</w:t>
      </w:r>
      <w:r>
        <w:t>: Increasing the efficiency of state-of-the-art groundwater flow model techniques while preserving accuracy.</w:t>
      </w:r>
    </w:p>
    <w:p w14:paraId="1A9590C9" w14:textId="55B5F384" w:rsidR="00AD4A35" w:rsidRDefault="00DA5F88" w:rsidP="00DA5F88">
      <w:pPr>
        <w:pStyle w:val="ListParagraph"/>
        <w:ind w:left="360"/>
      </w:pPr>
      <w:r>
        <w:rPr>
          <w:i/>
          <w:iCs/>
        </w:rPr>
        <w:tab/>
      </w:r>
      <w:r>
        <w:rPr>
          <w:i/>
          <w:iCs/>
        </w:rPr>
        <w:tab/>
      </w:r>
      <w:r>
        <w:t>2.1. Propose methods to increase efficiency</w:t>
      </w:r>
    </w:p>
    <w:p w14:paraId="404C0065" w14:textId="56ED0616" w:rsidR="00DA5F88" w:rsidRDefault="00DA5F88" w:rsidP="00DA5F88">
      <w:pPr>
        <w:pStyle w:val="ListParagraph"/>
        <w:ind w:left="360"/>
      </w:pPr>
      <w:r>
        <w:tab/>
      </w:r>
      <w:r>
        <w:tab/>
        <w:t>2.2. Review their effect on accuracy of model the model result</w:t>
      </w:r>
    </w:p>
    <w:p w14:paraId="0F406AD6" w14:textId="77777777" w:rsidR="00AD4897" w:rsidRDefault="00AD4897" w:rsidP="00AD4897">
      <w:pPr>
        <w:pStyle w:val="ListParagraph"/>
        <w:numPr>
          <w:ilvl w:val="0"/>
          <w:numId w:val="35"/>
        </w:numPr>
        <w:ind w:left="360"/>
      </w:pPr>
      <w:r w:rsidRPr="00DA5F88">
        <w:rPr>
          <w:i/>
          <w:iCs/>
        </w:rPr>
        <w:t>Model validation techniques</w:t>
      </w:r>
      <w:r>
        <w:t>: The suitability of Hydrochemical Facies Analyses (HyFA) for fresh-saline groundwater flow model validation, when investigating the hydrology of coastal fresh groundwater resources.</w:t>
      </w:r>
    </w:p>
    <w:p w14:paraId="354F48CB" w14:textId="77777777" w:rsidR="00AD4897" w:rsidRDefault="00AD4897" w:rsidP="00AD4897">
      <w:pPr>
        <w:pStyle w:val="ListParagraph"/>
        <w:ind w:left="1428"/>
      </w:pPr>
      <w:r>
        <w:t>1.1. Assess conventional model validation techniques</w:t>
      </w:r>
    </w:p>
    <w:p w14:paraId="51720904" w14:textId="1B53557C" w:rsidR="00807DDC" w:rsidRDefault="00AD4897" w:rsidP="00ED42A7">
      <w:pPr>
        <w:pStyle w:val="ListParagraph"/>
        <w:ind w:left="1428"/>
      </w:pPr>
      <w:r>
        <w:t>1.2. Investigate suitability value of HyFA for model validation</w:t>
      </w:r>
    </w:p>
    <w:p w14:paraId="46F9F9BE" w14:textId="3BB0CAB6" w:rsidR="007F5423" w:rsidRDefault="007F5423" w:rsidP="002603A4">
      <w:pPr>
        <w:pStyle w:val="Heading2"/>
      </w:pPr>
      <w:r>
        <w:t>Report overview</w:t>
      </w:r>
    </w:p>
    <w:p w14:paraId="2F605CC9" w14:textId="35DEDD0C" w:rsidR="006B5449" w:rsidRDefault="007F5423" w:rsidP="006B5449">
      <w:r>
        <w:t xml:space="preserve">Go through structure of </w:t>
      </w:r>
      <w:r w:rsidR="00792877">
        <w:t>paper.</w:t>
      </w:r>
    </w:p>
    <w:p w14:paraId="0BEA734B" w14:textId="53D90D14" w:rsidR="00C032D7" w:rsidRDefault="00A45610">
      <w:pPr>
        <w:jc w:val="left"/>
        <w:rPr>
          <w:rFonts w:ascii="CMU Serif" w:eastAsiaTheme="majorEastAsia" w:hAnsi="CMU Serif" w:cs="CMU Serif"/>
          <w:sz w:val="36"/>
          <w:szCs w:val="36"/>
        </w:rPr>
      </w:pPr>
      <w:r>
        <w:t xml:space="preserve">  </w:t>
      </w:r>
    </w:p>
    <w:p w14:paraId="598EDC0D" w14:textId="77777777" w:rsidR="00807DDC" w:rsidRDefault="00807DDC">
      <w:pPr>
        <w:jc w:val="left"/>
        <w:rPr>
          <w:rFonts w:ascii="CMU Serif" w:eastAsiaTheme="majorEastAsia" w:hAnsi="CMU Serif" w:cs="CMU Serif"/>
          <w:sz w:val="36"/>
          <w:szCs w:val="36"/>
        </w:rPr>
      </w:pPr>
      <w:r>
        <w:br w:type="page"/>
      </w:r>
    </w:p>
    <w:p w14:paraId="01269970" w14:textId="00857E20" w:rsidR="00A01014" w:rsidRDefault="00B57CC0" w:rsidP="00AD4897">
      <w:pPr>
        <w:pStyle w:val="Heading1"/>
      </w:pPr>
      <w:r>
        <w:lastRenderedPageBreak/>
        <w:t>Modeling groundwater flow in coastal aquifers</w:t>
      </w:r>
    </w:p>
    <w:p w14:paraId="487D56DB" w14:textId="139C84A4" w:rsidR="00320A69" w:rsidRPr="00320A69" w:rsidRDefault="00781CB9" w:rsidP="00E34FDD">
      <w:r>
        <w:t xml:space="preserve">Assessing conventional </w:t>
      </w:r>
      <w:r>
        <w:rPr>
          <w:i/>
          <w:iCs/>
        </w:rPr>
        <w:t>e</w:t>
      </w:r>
      <w:r w:rsidRPr="00781CB9">
        <w:rPr>
          <w:i/>
          <w:iCs/>
        </w:rPr>
        <w:t>fficient modeling practices</w:t>
      </w:r>
      <w:r>
        <w:t xml:space="preserve"> and </w:t>
      </w:r>
      <w:r w:rsidRPr="00781CB9">
        <w:rPr>
          <w:i/>
          <w:iCs/>
        </w:rPr>
        <w:t>model validation techniques</w:t>
      </w:r>
      <w:r>
        <w:rPr>
          <w:i/>
          <w:iCs/>
        </w:rPr>
        <w:t xml:space="preserve"> </w:t>
      </w:r>
      <w:r>
        <w:t xml:space="preserve">requires an approach that addresses the underlying balance between a model’s empiricism and to what degree it is required to be physics based. </w:t>
      </w:r>
      <w:r w:rsidR="0009312B">
        <w:t xml:space="preserve">For this reason, it is necessary to first establish the theoretical foundation on which the model is constructed, this is done in </w:t>
      </w:r>
      <w:r w:rsidR="00E34FDD" w:rsidRPr="00E34FDD">
        <w:rPr>
          <w:highlight w:val="lightGray"/>
        </w:rPr>
        <w:t>s</w:t>
      </w:r>
      <w:r w:rsidR="0009312B" w:rsidRPr="00E34FDD">
        <w:rPr>
          <w:highlight w:val="lightGray"/>
        </w:rPr>
        <w:t>ection 2.1</w:t>
      </w:r>
      <w:r w:rsidR="0009312B">
        <w:t xml:space="preserve">. Subsequently, the relevant modeling structure is explained in </w:t>
      </w:r>
      <w:r w:rsidR="0009312B" w:rsidRPr="00E34FDD">
        <w:rPr>
          <w:highlight w:val="lightGray"/>
        </w:rPr>
        <w:t>section 2.2</w:t>
      </w:r>
      <w:r w:rsidR="0009312B">
        <w:t xml:space="preserve">. After this, the concept of regridding is introduced in </w:t>
      </w:r>
      <w:r w:rsidR="0009312B" w:rsidRPr="00E34FDD">
        <w:rPr>
          <w:highlight w:val="lightGray"/>
        </w:rPr>
        <w:t>section 2.</w:t>
      </w:r>
      <w:r w:rsidR="00E34FDD" w:rsidRPr="00E34FDD">
        <w:rPr>
          <w:highlight w:val="lightGray"/>
        </w:rPr>
        <w:t>3</w:t>
      </w:r>
      <w:r w:rsidR="00E34FDD">
        <w:t>.</w:t>
      </w:r>
      <w:r w:rsidR="0009312B">
        <w:t xml:space="preserve">, which can be seen as one of the key methods in increasing modeling efficiency, potentially at the cost of efficiency. </w:t>
      </w:r>
      <w:r w:rsidR="00E34FDD">
        <w:t xml:space="preserve">Model efficiency is evaluated in model calibration, which is discussed in </w:t>
      </w:r>
      <w:r w:rsidR="00E34FDD" w:rsidRPr="00E34FDD">
        <w:rPr>
          <w:highlight w:val="lightGray"/>
        </w:rPr>
        <w:t>section 2.4</w:t>
      </w:r>
      <w:r w:rsidR="00E34FDD">
        <w:t xml:space="preserve">. Finally, model validation on Hydrochemical Facies Analyses </w:t>
      </w:r>
      <w:r w:rsidR="008351B3">
        <w:t xml:space="preserve">and the fresh-saline interface </w:t>
      </w:r>
      <w:r w:rsidR="00E34FDD">
        <w:t xml:space="preserve">is proposed in </w:t>
      </w:r>
      <w:r w:rsidR="00E34FDD" w:rsidRPr="00E34FDD">
        <w:rPr>
          <w:highlight w:val="lightGray"/>
        </w:rPr>
        <w:t>section 2.5</w:t>
      </w:r>
      <w:r w:rsidR="00E34FDD">
        <w:t xml:space="preserve"> as method</w:t>
      </w:r>
      <w:r w:rsidR="008351B3">
        <w:t>s</w:t>
      </w:r>
      <w:r w:rsidR="00E34FDD">
        <w:t xml:space="preserve"> to contribute to conventional model validation techniques.</w:t>
      </w:r>
      <w:r w:rsidR="006377EF">
        <w:t xml:space="preserve"> </w:t>
      </w:r>
    </w:p>
    <w:p w14:paraId="1464CB94" w14:textId="7EA9115F" w:rsidR="00807DDC" w:rsidRDefault="007A5D03" w:rsidP="00807DDC">
      <w:pPr>
        <w:pStyle w:val="Heading2"/>
      </w:pPr>
      <w:r>
        <w:t>Conceptual m</w:t>
      </w:r>
      <w:r w:rsidR="00FB2749">
        <w:t>odeling approach</w:t>
      </w:r>
    </w:p>
    <w:p w14:paraId="4A80C907" w14:textId="4BB1936B" w:rsidR="00C3700F" w:rsidRDefault="000E1358" w:rsidP="00BC4567">
      <w:r>
        <w:t>Scientific</w:t>
      </w:r>
      <w:r w:rsidR="00BC4567">
        <w:t xml:space="preserve"> models are a simplified representation of physical processes that are widely used to gain insight and understanding of these physical processes. </w:t>
      </w:r>
      <w:r w:rsidR="00F76ABB">
        <w:t>At its most basic level, modeling is a process for thinking systematically about a problem (</w:t>
      </w:r>
      <w:proofErr w:type="spellStart"/>
      <w:r w:rsidR="00F76ABB">
        <w:t>Jakeman</w:t>
      </w:r>
      <w:proofErr w:type="spellEnd"/>
      <w:r w:rsidR="00F76ABB">
        <w:t xml:space="preserve"> et. al., 2008). </w:t>
      </w:r>
      <w:r w:rsidR="00337517" w:rsidRPr="007A5D03">
        <w:t>A distinction can be made between models</w:t>
      </w:r>
      <w:r w:rsidR="00320A69" w:rsidRPr="007A5D03">
        <w:t xml:space="preserve"> that are</w:t>
      </w:r>
      <w:r w:rsidR="00C3700F" w:rsidRPr="007A5D03">
        <w:t xml:space="preserve"> </w:t>
      </w:r>
      <w:r w:rsidR="00337517" w:rsidRPr="007A5D03">
        <w:rPr>
          <w:i/>
          <w:iCs/>
        </w:rPr>
        <w:t>empirical</w:t>
      </w:r>
      <w:r w:rsidR="00320A69" w:rsidRPr="007A5D03">
        <w:t xml:space="preserve"> </w:t>
      </w:r>
      <w:r w:rsidR="00337517" w:rsidRPr="007A5D03">
        <w:t xml:space="preserve">and </w:t>
      </w:r>
      <w:r w:rsidR="00337517" w:rsidRPr="007A5D03">
        <w:rPr>
          <w:i/>
          <w:iCs/>
        </w:rPr>
        <w:t>physics based</w:t>
      </w:r>
      <w:r w:rsidR="00337517" w:rsidRPr="007A5D03">
        <w:t>.</w:t>
      </w:r>
      <w:r w:rsidR="00337517">
        <w:t xml:space="preserve"> Empirical modeling would disregard </w:t>
      </w:r>
      <w:r w:rsidR="00320A69">
        <w:t xml:space="preserve">all </w:t>
      </w:r>
      <w:r w:rsidR="00337517">
        <w:t>theory and focuses on observations only</w:t>
      </w:r>
      <w:r w:rsidR="00320A69">
        <w:t>. This method can be used</w:t>
      </w:r>
      <w:r w:rsidR="00337517">
        <w:t xml:space="preserve"> </w:t>
      </w:r>
      <w:r w:rsidR="00320A69">
        <w:t xml:space="preserve">to </w:t>
      </w:r>
      <w:r w:rsidR="00337517">
        <w:t xml:space="preserve">predict a range of possible outcomes based on </w:t>
      </w:r>
      <w:r w:rsidR="00320A69">
        <w:t>data or find an empirical relation between parameters.</w:t>
      </w:r>
      <w:r w:rsidR="00C3700F">
        <w:t xml:space="preserve"> </w:t>
      </w:r>
      <w:r w:rsidR="00337517">
        <w:t>Physics based modeling would be applying a purely theoretical approach</w:t>
      </w:r>
      <w:r w:rsidR="00C3700F">
        <w:t>,</w:t>
      </w:r>
      <w:r w:rsidR="002619D8">
        <w:t xml:space="preserve"> based on</w:t>
      </w:r>
      <w:r w:rsidR="00320A69">
        <w:t xml:space="preserve"> established laws of physics</w:t>
      </w:r>
      <w:r w:rsidR="002619D8">
        <w:t xml:space="preserve"> </w:t>
      </w:r>
      <w:r w:rsidR="00320A69">
        <w:t>(</w:t>
      </w:r>
      <w:r w:rsidR="002619D8">
        <w:t>axioms</w:t>
      </w:r>
      <w:r w:rsidR="00320A69">
        <w:t>)</w:t>
      </w:r>
      <w:r w:rsidR="002619D8">
        <w:t xml:space="preserve"> and not on </w:t>
      </w:r>
      <w:r w:rsidR="00C3700F">
        <w:t xml:space="preserve">data. </w:t>
      </w:r>
      <w:r w:rsidR="00320A69">
        <w:t xml:space="preserve">To the authors’ interpretation, </w:t>
      </w:r>
      <w:r w:rsidR="00FF1CD2">
        <w:t xml:space="preserve">in this case </w:t>
      </w:r>
      <w:r w:rsidR="00320A69">
        <w:t>t</w:t>
      </w:r>
      <w:r w:rsidR="00C3700F">
        <w:t xml:space="preserve">he predictive applicability of the model, but also effort required in developing and applying </w:t>
      </w:r>
      <w:r w:rsidR="00FF1CD2">
        <w:t>the</w:t>
      </w:r>
      <w:r w:rsidR="00C3700F">
        <w:t xml:space="preserve"> model increase</w:t>
      </w:r>
      <w:r w:rsidR="00320A69">
        <w:t>s as more physics are involved</w:t>
      </w:r>
      <w:r w:rsidR="00C3700F">
        <w:t xml:space="preserve">. The question remains what to take as a starting point: </w:t>
      </w:r>
    </w:p>
    <w:p w14:paraId="560C49C9" w14:textId="3370297C" w:rsidR="00930AE0" w:rsidRDefault="00C3700F" w:rsidP="00BC4567">
      <w:r>
        <w:rPr>
          <w:i/>
          <w:iCs/>
        </w:rPr>
        <w:t>T</w:t>
      </w:r>
      <w:r w:rsidRPr="00C3700F">
        <w:rPr>
          <w:i/>
          <w:iCs/>
        </w:rPr>
        <w:t xml:space="preserve">o what level is the model required to be physics based? </w:t>
      </w:r>
    </w:p>
    <w:p w14:paraId="14F79949" w14:textId="68829787" w:rsidR="001177D0" w:rsidRDefault="00F86157" w:rsidP="00BC4567">
      <w:r w:rsidRPr="006F3E2F">
        <w:t xml:space="preserve">Specifically for the aim of this research, </w:t>
      </w:r>
      <w:r w:rsidRPr="006F3E2F">
        <w:rPr>
          <w:i/>
          <w:iCs/>
        </w:rPr>
        <w:t>efficient modeling practices</w:t>
      </w:r>
      <w:r w:rsidRPr="006F3E2F">
        <w:t xml:space="preserve"> and model </w:t>
      </w:r>
      <w:r w:rsidRPr="006F3E2F">
        <w:rPr>
          <w:i/>
          <w:iCs/>
        </w:rPr>
        <w:t>validation</w:t>
      </w:r>
      <w:r w:rsidRPr="00F86157">
        <w:rPr>
          <w:i/>
          <w:iCs/>
        </w:rPr>
        <w:t xml:space="preserve"> techniques</w:t>
      </w:r>
      <w:r>
        <w:rPr>
          <w:i/>
          <w:iCs/>
        </w:rPr>
        <w:t xml:space="preserve"> </w:t>
      </w:r>
      <w:r w:rsidR="00320A69">
        <w:t>need to be addressed</w:t>
      </w:r>
      <w:r>
        <w:t>. To increase efficiency</w:t>
      </w:r>
      <w:r w:rsidR="00393B5F">
        <w:t>,</w:t>
      </w:r>
      <w:r w:rsidR="00F70A8A">
        <w:t xml:space="preserve"> a more empirical approach can be applied, </w:t>
      </w:r>
      <w:r w:rsidR="001177D0">
        <w:t>by making assumptions</w:t>
      </w:r>
      <w:r w:rsidR="00320A69">
        <w:t>, calibrating parameters to data</w:t>
      </w:r>
      <w:r w:rsidR="001177D0">
        <w:t xml:space="preserve"> or</w:t>
      </w:r>
      <w:r w:rsidR="00F70A8A">
        <w:t xml:space="preserve"> focusing more on data</w:t>
      </w:r>
      <w:r w:rsidR="001177D0">
        <w:t xml:space="preserve"> and</w:t>
      </w:r>
      <w:r w:rsidR="00F70A8A">
        <w:t xml:space="preserve"> validation techniques.</w:t>
      </w:r>
      <w:r w:rsidR="002619D8">
        <w:t xml:space="preserve"> </w:t>
      </w:r>
      <w:r w:rsidR="007A5D03">
        <w:t xml:space="preserve">On the other hand, physics can be reintroduced if an empirical representation of a physical process is not accurate enough. </w:t>
      </w:r>
      <w:r w:rsidR="002619D8">
        <w:t>A</w:t>
      </w:r>
      <w:r w:rsidR="001177D0">
        <w:t xml:space="preserve">n iterative approach </w:t>
      </w:r>
      <w:r w:rsidR="007A5D03">
        <w:t>that attempts to balance</w:t>
      </w:r>
      <w:r w:rsidR="001177D0">
        <w:t xml:space="preserve"> between efficiency and accuracy is applied in this study. Figure </w:t>
      </w:r>
      <w:r w:rsidR="008A6FBC">
        <w:t>X</w:t>
      </w:r>
      <w:r w:rsidR="001177D0">
        <w:t xml:space="preserve"> provides a conceptual schematic of the feedback between the model and data with which it is validated. </w:t>
      </w:r>
    </w:p>
    <w:p w14:paraId="7F1E2FA5" w14:textId="77777777" w:rsidR="00D021DA" w:rsidRDefault="00D021DA" w:rsidP="00D021DA">
      <w:pPr>
        <w:keepNext/>
        <w:jc w:val="center"/>
      </w:pPr>
      <w:r>
        <w:rPr>
          <w:noProof/>
        </w:rPr>
        <w:drawing>
          <wp:inline distT="0" distB="0" distL="0" distR="0" wp14:anchorId="15CD432D" wp14:editId="60FA8347">
            <wp:extent cx="2295525" cy="1438275"/>
            <wp:effectExtent l="0" t="0" r="9525" b="0"/>
            <wp:docPr id="3" name="Picture 3"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q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95525" cy="1438275"/>
                    </a:xfrm>
                    <a:prstGeom prst="rect">
                      <a:avLst/>
                    </a:prstGeom>
                  </pic:spPr>
                </pic:pic>
              </a:graphicData>
            </a:graphic>
          </wp:inline>
        </w:drawing>
      </w:r>
    </w:p>
    <w:p w14:paraId="23D12B1E" w14:textId="57B1BCCA" w:rsidR="00D021DA" w:rsidRDefault="00D021DA" w:rsidP="00D021DA">
      <w:pPr>
        <w:pStyle w:val="Caption"/>
        <w:jc w:val="center"/>
      </w:pPr>
      <w:r>
        <w:t xml:space="preserve">Figure </w:t>
      </w:r>
      <w:r>
        <w:fldChar w:fldCharType="begin"/>
      </w:r>
      <w:r>
        <w:instrText xml:space="preserve"> SEQ Figure \* ARABIC </w:instrText>
      </w:r>
      <w:r>
        <w:fldChar w:fldCharType="separate"/>
      </w:r>
      <w:r w:rsidR="00700EC2">
        <w:rPr>
          <w:noProof/>
        </w:rPr>
        <w:t>5</w:t>
      </w:r>
      <w:r>
        <w:fldChar w:fldCharType="end"/>
      </w:r>
      <w:r>
        <w:t xml:space="preserve">: </w:t>
      </w:r>
      <w:commentRangeStart w:id="4"/>
      <w:r>
        <w:t xml:space="preserve">Conceptual modeling </w:t>
      </w:r>
      <w:r w:rsidRPr="00DF1A23">
        <w:rPr>
          <w:highlight w:val="lightGray"/>
        </w:rPr>
        <w:t>ap</w:t>
      </w:r>
      <w:commentRangeEnd w:id="4"/>
      <w:r w:rsidR="00302967">
        <w:rPr>
          <w:rStyle w:val="CommentReference"/>
          <w:i w:val="0"/>
          <w:iCs w:val="0"/>
          <w:color w:val="auto"/>
        </w:rPr>
        <w:commentReference w:id="4"/>
      </w:r>
      <w:r w:rsidRPr="00DF1A23">
        <w:rPr>
          <w:highlight w:val="lightGray"/>
        </w:rPr>
        <w:t>proach</w:t>
      </w:r>
      <w:r w:rsidR="00DF1A23" w:rsidRPr="00DF1A23">
        <w:rPr>
          <w:highlight w:val="lightGray"/>
        </w:rPr>
        <w:t xml:space="preserve"> (CHANGE FONT)</w:t>
      </w:r>
    </w:p>
    <w:p w14:paraId="56D099A5" w14:textId="6F89C250" w:rsidR="006F3E2F" w:rsidRDefault="006F3E2F">
      <w:pPr>
        <w:jc w:val="left"/>
        <w:rPr>
          <w:rFonts w:ascii="CMU Serif" w:eastAsiaTheme="majorEastAsia" w:hAnsi="CMU Serif" w:cs="CMU Serif"/>
          <w:sz w:val="26"/>
          <w:szCs w:val="26"/>
        </w:rPr>
      </w:pPr>
    </w:p>
    <w:p w14:paraId="4D9F952D" w14:textId="4D6C8253" w:rsidR="00B704E5" w:rsidRPr="00B704E5" w:rsidRDefault="00B704E5" w:rsidP="00B704E5">
      <w:pPr>
        <w:pStyle w:val="Heading3"/>
      </w:pPr>
      <w:r>
        <w:lastRenderedPageBreak/>
        <w:t>Metamodeling</w:t>
      </w:r>
      <w:r w:rsidR="00C03618">
        <w:t xml:space="preserve"> approach</w:t>
      </w:r>
    </w:p>
    <w:p w14:paraId="4D78CFFC" w14:textId="06D00FC6" w:rsidR="007A5D03" w:rsidRDefault="00B704E5" w:rsidP="006632D2">
      <w:r>
        <w:t xml:space="preserve">A heavy computational </w:t>
      </w:r>
      <w:r w:rsidR="007A5D03">
        <w:t>load</w:t>
      </w:r>
      <w:r>
        <w:t xml:space="preserve"> is often caused by expensive analysis and simulation processes to reach a comparable level of accuracy as physical testing data. To address such a challenge, metamodeling is often used (Gary Wang and Shan, 200</w:t>
      </w:r>
      <w:r w:rsidR="00032356">
        <w:t>6</w:t>
      </w:r>
      <w:r>
        <w:t>)</w:t>
      </w:r>
      <w:r w:rsidR="00032356">
        <w:t xml:space="preserve">. </w:t>
      </w:r>
      <w:r w:rsidR="0008799B">
        <w:t>Keeping these metamodels simple facilitates the involvement of stakeholders in the modeling process, the communication of associated uncertainty, and improves the credibility of its results, as recognized by (</w:t>
      </w:r>
      <w:proofErr w:type="spellStart"/>
      <w:r w:rsidR="0008799B">
        <w:t>Basco</w:t>
      </w:r>
      <w:proofErr w:type="spellEnd"/>
      <w:r w:rsidR="0008799B">
        <w:t xml:space="preserve"> Carrera et.al., 2018). </w:t>
      </w:r>
      <w:r w:rsidR="007A5D03">
        <w:t>In this study, a metamodel is created from the state-of-the-art groundwater flow model for the dune fresh groundwater reservoir near The Hague. This model is the “original model” whose input and output will be used as a starting point for the metamodel.</w:t>
      </w:r>
      <w:r w:rsidR="00481D7F">
        <w:t xml:space="preserve"> The metamodel’s purpose then, is to assess the validation techniques and computational efficiency of the original model.</w:t>
      </w:r>
    </w:p>
    <w:p w14:paraId="46EF09A0" w14:textId="30FAB125" w:rsidR="00481D7F" w:rsidRDefault="006632D2" w:rsidP="006632D2">
      <w:r>
        <w:t xml:space="preserve">An iterative approach is required to improve efficiency of </w:t>
      </w:r>
      <w:r w:rsidR="007A5D03">
        <w:t>a</w:t>
      </w:r>
      <w:r>
        <w:t xml:space="preserve"> metamodel, whilst still retaining sufficient accuracy for the purpose of the model</w:t>
      </w:r>
      <w:r w:rsidR="007A5D03">
        <w:t>: fresh groundwater resource management.</w:t>
      </w:r>
      <w:r>
        <w:t xml:space="preserve"> </w:t>
      </w:r>
      <w:r w:rsidR="00C03618">
        <w:t>Model calibration</w:t>
      </w:r>
      <w:r>
        <w:t xml:space="preserve"> </w:t>
      </w:r>
      <w:r w:rsidR="00C03618">
        <w:t>is</w:t>
      </w:r>
      <w:r>
        <w:t xml:space="preserve"> done based on the original model’s </w:t>
      </w:r>
      <w:r w:rsidR="00481D7F">
        <w:t>input and output</w:t>
      </w:r>
      <w:r>
        <w:t>. Here the discrepancy between the results of the metamodel and the original model can be quantified</w:t>
      </w:r>
      <w:r w:rsidR="00481D7F">
        <w:t xml:space="preserve"> and analyzed both</w:t>
      </w:r>
      <w:r>
        <w:t xml:space="preserve"> statistically</w:t>
      </w:r>
      <w:r w:rsidR="00481D7F">
        <w:t xml:space="preserve"> and spatially</w:t>
      </w:r>
      <w:r w:rsidR="00C03618">
        <w:t>, in a series of calibration runs</w:t>
      </w:r>
      <w:r>
        <w:t xml:space="preserve">. Based on an analysis of the discrepancies between the metamodel and the original model, the metamodel can be </w:t>
      </w:r>
      <w:r w:rsidR="00481D7F">
        <w:t>justified</w:t>
      </w:r>
      <w:r>
        <w:t xml:space="preserve"> to be sufficiently calibrated</w:t>
      </w:r>
      <w:r w:rsidR="00481D7F">
        <w:t>,</w:t>
      </w:r>
      <w:r>
        <w:t xml:space="preserve"> to represent the state-of-the-art original model</w:t>
      </w:r>
      <w:r w:rsidR="009B6585">
        <w:t>, using a similar approach in calibration</w:t>
      </w:r>
      <w:r>
        <w:t>.</w:t>
      </w:r>
      <w:r w:rsidR="00DE384A">
        <w:t xml:space="preserve"> After this is justified, </w:t>
      </w:r>
      <w:r w:rsidR="008351B3">
        <w:t>new methods for model validation are presented, to add to conventional model validation techniques</w:t>
      </w:r>
      <w:r w:rsidR="009B6585">
        <w:t>.</w:t>
      </w:r>
      <w:r w:rsidR="00DE384A">
        <w:t xml:space="preserve"> </w:t>
      </w:r>
    </w:p>
    <w:p w14:paraId="6EE6DA6E" w14:textId="2880A934" w:rsidR="00272D84" w:rsidRDefault="008D1206" w:rsidP="008D1206">
      <w:pPr>
        <w:pStyle w:val="Heading2"/>
      </w:pPr>
      <w:r>
        <w:t>Model structure</w:t>
      </w:r>
    </w:p>
    <w:p w14:paraId="615216C6" w14:textId="0AD6D231" w:rsidR="00302967" w:rsidRPr="00AD5D1F" w:rsidRDefault="00AD5D1F" w:rsidP="00AD5D1F">
      <w:r w:rsidRPr="00ED7C78">
        <w:t>In this section, the structure of the metamodel</w:t>
      </w:r>
      <w:r w:rsidR="00ED7C78" w:rsidRPr="00ED7C78">
        <w:t xml:space="preserve"> and</w:t>
      </w:r>
      <w:r w:rsidRPr="00ED7C78">
        <w:t xml:space="preserve"> the original model</w:t>
      </w:r>
      <w:r w:rsidR="00277AF7">
        <w:t xml:space="preserve"> in MODFLOW and iMOD SEAWAT</w:t>
      </w:r>
      <w:r w:rsidRPr="00ED7C78">
        <w:t xml:space="preserve"> are discussed</w:t>
      </w:r>
      <w:r w:rsidR="00302967">
        <w:t xml:space="preserve">, to provide the reader with background knowledge on model features that influence efficiency and accuracy. </w:t>
      </w:r>
      <w:r w:rsidR="00302967" w:rsidRPr="009B6585">
        <w:rPr>
          <w:highlight w:val="lightGray"/>
        </w:rPr>
        <w:t>This chapter will be referred to throughout the rest of this report.</w:t>
      </w:r>
      <w:r w:rsidR="00302967">
        <w:t xml:space="preserve"> </w:t>
      </w:r>
    </w:p>
    <w:p w14:paraId="365AF903" w14:textId="616AFE47" w:rsidR="008D1206" w:rsidRDefault="008D1206" w:rsidP="008D1206">
      <w:pPr>
        <w:pStyle w:val="Heading3"/>
      </w:pPr>
      <w:r>
        <w:t>Domain and discretization</w:t>
      </w:r>
    </w:p>
    <w:p w14:paraId="6F22F2EB" w14:textId="4A595770" w:rsidR="002E5174" w:rsidRDefault="008D1206" w:rsidP="002E5174">
      <w:r>
        <w:t xml:space="preserve">Along the coastline, the </w:t>
      </w:r>
      <w:r w:rsidR="00AD5D1F">
        <w:t xml:space="preserve">model </w:t>
      </w:r>
      <w:r>
        <w:t xml:space="preserve">domain ranges from </w:t>
      </w:r>
      <w:proofErr w:type="spellStart"/>
      <w:r w:rsidR="00E12AF8">
        <w:t>Loosduinen</w:t>
      </w:r>
      <w:proofErr w:type="spellEnd"/>
      <w:r w:rsidR="00E12AF8">
        <w:t xml:space="preserve"> (south), </w:t>
      </w:r>
      <w:r>
        <w:t>to Katwijk</w:t>
      </w:r>
      <w:r w:rsidR="00E12AF8">
        <w:t xml:space="preserve"> (north). I</w:t>
      </w:r>
      <w:r>
        <w:t>nlands it reaches until Zoetermeer</w:t>
      </w:r>
      <w:r w:rsidR="00E12AF8">
        <w:t xml:space="preserve"> (west)</w:t>
      </w:r>
      <w:r>
        <w:t>.</w:t>
      </w:r>
      <w:r w:rsidR="00EE75AB">
        <w:t xml:space="preserve"> This domain discretization and the according parametrization of the original model are based on the preceding Bridging Model (Arcadis, Deltares, KWR, 2019).</w:t>
      </w:r>
      <w:r w:rsidR="002E5174">
        <w:t xml:space="preserve"> The original model has a horizontal cell size of 25m (Bootsma et. al. 2021). Vertically, t</w:t>
      </w:r>
      <w:r>
        <w:t xml:space="preserve">he model </w:t>
      </w:r>
      <w:r w:rsidR="002E5174">
        <w:t>top reaches the highest hydraulic heads found in the dunes (15m NAP) and</w:t>
      </w:r>
      <w:r>
        <w:t xml:space="preserve"> reaches a depth of 250m below NAP</w:t>
      </w:r>
      <w:r w:rsidR="002E5174">
        <w:t>. The top 30m of the model domain consist of 15 cells that are each 2m thick, followed by 22 cells of 5m thick and 12 cells of 10m thick. (Bootsma et. al., 2021) The vertical discretization is unchanged in the metamodel and its influence on model performance is outside of the scope of this study.</w:t>
      </w:r>
    </w:p>
    <w:p w14:paraId="5DB67F51" w14:textId="76FCB737" w:rsidR="00DF1A23" w:rsidRDefault="002E5174" w:rsidP="008D1206">
      <w:r>
        <w:t>T</w:t>
      </w:r>
      <w:r w:rsidR="00AD5D1F">
        <w:t xml:space="preserve">he </w:t>
      </w:r>
      <w:r>
        <w:t xml:space="preserve">phreatic </w:t>
      </w:r>
      <w:r w:rsidR="00AD5D1F">
        <w:t>groundwater variability throughout the</w:t>
      </w:r>
      <w:r>
        <w:t xml:space="preserve"> model</w:t>
      </w:r>
      <w:r w:rsidR="00AD5D1F">
        <w:t xml:space="preserve"> domain is schematized in Figure 5 below. </w:t>
      </w:r>
      <w:r w:rsidR="008A6FBC">
        <w:t xml:space="preserve">For the sake of simplicity, the subsurface is represented by two aquifers and two aquitards and the fresh-saline groundwater distribution is </w:t>
      </w:r>
      <w:r w:rsidR="0011006A">
        <w:t>disregarded.</w:t>
      </w:r>
      <w:r w:rsidR="008A6FBC">
        <w:t xml:space="preserve"> </w:t>
      </w:r>
    </w:p>
    <w:p w14:paraId="01C9AB35" w14:textId="76052608" w:rsidR="008D1206" w:rsidRDefault="00AD5D1F" w:rsidP="008D1206">
      <w:pPr>
        <w:keepNext/>
        <w:jc w:val="center"/>
      </w:pPr>
      <w:r w:rsidRPr="00AD5D1F">
        <w:rPr>
          <w:noProof/>
        </w:rPr>
        <w:lastRenderedPageBreak/>
        <w:drawing>
          <wp:inline distT="0" distB="0" distL="0" distR="0" wp14:anchorId="5CEED93C" wp14:editId="543F2EF5">
            <wp:extent cx="4819650" cy="4235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9060" cy="4243751"/>
                    </a:xfrm>
                    <a:prstGeom prst="rect">
                      <a:avLst/>
                    </a:prstGeom>
                  </pic:spPr>
                </pic:pic>
              </a:graphicData>
            </a:graphic>
          </wp:inline>
        </w:drawing>
      </w:r>
    </w:p>
    <w:p w14:paraId="3B4272ED" w14:textId="7F64DAE1" w:rsidR="00AD5D1F" w:rsidRDefault="008D1206" w:rsidP="007A7ED9">
      <w:pPr>
        <w:pStyle w:val="Caption"/>
        <w:jc w:val="left"/>
      </w:pPr>
      <w:r>
        <w:t xml:space="preserve">Figure </w:t>
      </w:r>
      <w:commentRangeStart w:id="5"/>
      <w:r>
        <w:fldChar w:fldCharType="begin"/>
      </w:r>
      <w:r>
        <w:instrText xml:space="preserve"> SEQ Figure \* ARABIC </w:instrText>
      </w:r>
      <w:r>
        <w:fldChar w:fldCharType="separate"/>
      </w:r>
      <w:r w:rsidR="00700EC2">
        <w:rPr>
          <w:noProof/>
        </w:rPr>
        <w:t>6</w:t>
      </w:r>
      <w:r>
        <w:fldChar w:fldCharType="end"/>
      </w:r>
      <w:commentRangeEnd w:id="5"/>
      <w:r w:rsidR="00683E61">
        <w:rPr>
          <w:rStyle w:val="CommentReference"/>
          <w:i w:val="0"/>
          <w:iCs w:val="0"/>
          <w:color w:val="auto"/>
        </w:rPr>
        <w:commentReference w:id="5"/>
      </w:r>
      <w:r>
        <w:t xml:space="preserve">: Model domain and </w:t>
      </w:r>
      <w:r w:rsidR="007A7ED9">
        <w:t xml:space="preserve">piezometric groundwater head. In the dunes, the infiltration ponds can be seen. </w:t>
      </w:r>
    </w:p>
    <w:p w14:paraId="6E584703" w14:textId="484FB42D" w:rsidR="00194CA6" w:rsidRDefault="00F16DE7" w:rsidP="00194CA6">
      <w:r>
        <w:t xml:space="preserve">To model the geohydrology of the domain show above, SEAWAT is used. SEAWAT </w:t>
      </w:r>
      <w:r w:rsidR="0011006A">
        <w:t xml:space="preserve">is MODFLOW based and </w:t>
      </w:r>
      <w:r>
        <w:t>simulates</w:t>
      </w:r>
      <w:r w:rsidR="00194CA6">
        <w:t xml:space="preserve"> </w:t>
      </w:r>
      <w:r>
        <w:t xml:space="preserve">3D variable-density groundwater flow </w:t>
      </w:r>
      <w:r w:rsidR="00194CA6">
        <w:t>coupled with multi-species</w:t>
      </w:r>
      <w:r>
        <w:t xml:space="preserve"> </w:t>
      </w:r>
      <w:r w:rsidR="00194CA6">
        <w:t>solute transport (Langevin and Guo, 2006).</w:t>
      </w:r>
      <w:r>
        <w:t xml:space="preserve"> </w:t>
      </w:r>
      <w:r w:rsidR="00194CA6">
        <w:t xml:space="preserve">It is used to create cells that interact in a 3D grid. Both horizontally and vertically, this cell size can vary. </w:t>
      </w:r>
      <w:r w:rsidR="00194CA6" w:rsidRPr="00194CA6">
        <w:t>These cells interact as water flows from one cell to another, based on groundwater flow equations</w:t>
      </w:r>
      <w:r w:rsidR="00194CA6">
        <w:t xml:space="preserve">, </w:t>
      </w:r>
      <w:r w:rsidR="00194CA6" w:rsidRPr="00194CA6">
        <w:t>boundary conditions</w:t>
      </w:r>
      <w:r w:rsidR="00194CA6">
        <w:t xml:space="preserve"> and </w:t>
      </w:r>
      <w:r w:rsidR="00AD7621">
        <w:t xml:space="preserve">cell </w:t>
      </w:r>
      <w:r w:rsidR="00194CA6">
        <w:t>parameters</w:t>
      </w:r>
      <w:r w:rsidR="00AD7621">
        <w:t xml:space="preserve"> </w:t>
      </w:r>
      <w:commentRangeStart w:id="6"/>
      <w:r w:rsidR="00AD7621">
        <w:t>(horizontal and vertical permeabilities, heads, salinity</w:t>
      </w:r>
      <w:commentRangeEnd w:id="6"/>
      <w:r w:rsidR="000E5583">
        <w:rPr>
          <w:rStyle w:val="CommentReference"/>
        </w:rPr>
        <w:commentReference w:id="6"/>
      </w:r>
      <w:r w:rsidR="00AD7621">
        <w:t>) per timestep</w:t>
      </w:r>
      <w:r w:rsidR="00194CA6" w:rsidRPr="00194CA6">
        <w:t>.</w:t>
      </w:r>
      <w:r w:rsidR="00FF1CD2">
        <w:t xml:space="preserve"> They represent a pore volume in a soil, saturated or unsaturated with water.</w:t>
      </w:r>
    </w:p>
    <w:p w14:paraId="0DD87050" w14:textId="224CACA7" w:rsidR="00886801" w:rsidRDefault="00683E61">
      <w:pPr>
        <w:jc w:val="left"/>
        <w:rPr>
          <w:rFonts w:ascii="CMU Serif" w:eastAsiaTheme="majorEastAsia" w:hAnsi="CMU Serif" w:cs="CMU Serif"/>
          <w:sz w:val="26"/>
          <w:szCs w:val="26"/>
        </w:rPr>
      </w:pPr>
      <w:r w:rsidRPr="00683E61">
        <w:rPr>
          <w:highlight w:val="lightGray"/>
        </w:rPr>
        <w:t>+ ADD Figure of model domain and study area (since the study area is often referred to throughout the report).</w:t>
      </w:r>
      <w:r w:rsidR="00886801">
        <w:br w:type="page"/>
      </w:r>
    </w:p>
    <w:p w14:paraId="34C0022F" w14:textId="40A9262F" w:rsidR="00886801" w:rsidRDefault="00886801" w:rsidP="00886801">
      <w:pPr>
        <w:pStyle w:val="Heading3"/>
      </w:pPr>
      <w:r>
        <w:lastRenderedPageBreak/>
        <w:t>Data and coding</w:t>
      </w:r>
      <w:r w:rsidR="00AE4E18">
        <w:t xml:space="preserve"> structure</w:t>
      </w:r>
      <w:r>
        <w:t xml:space="preserve"> </w:t>
      </w:r>
    </w:p>
    <w:p w14:paraId="37018834" w14:textId="04838170" w:rsidR="00886801" w:rsidRDefault="00886801" w:rsidP="00886801">
      <w:r>
        <w:t xml:space="preserve">Processing of the input and output data and structuring the scripts to run the model is done in Python. Scripts and data are externally stored and managed on </w:t>
      </w:r>
      <w:proofErr w:type="spellStart"/>
      <w:r>
        <w:t>Github</w:t>
      </w:r>
      <w:proofErr w:type="spellEnd"/>
      <w:r>
        <w:t xml:space="preserve"> (</w:t>
      </w:r>
      <w:hyperlink r:id="rId16" w:history="1">
        <w:r w:rsidRPr="002D48F2">
          <w:rPr>
            <w:rStyle w:val="Hyperlink"/>
          </w:rPr>
          <w:t>https://github.com/justkrantz/msc-thesis</w:t>
        </w:r>
      </w:hyperlink>
      <w:r>
        <w:t xml:space="preserve">), where the project is organized as </w:t>
      </w:r>
      <w:commentRangeStart w:id="7"/>
      <w:r>
        <w:t>follows</w:t>
      </w:r>
      <w:r w:rsidR="007B78B2">
        <w:t xml:space="preserve"> (s</w:t>
      </w:r>
      <w:r w:rsidR="007B78B2">
        <w:t xml:space="preserve">ee </w:t>
      </w:r>
      <w:r w:rsidR="007B78B2" w:rsidRPr="007B78B2">
        <w:rPr>
          <w:highlight w:val="lightGray"/>
        </w:rPr>
        <w:t>Appendix C</w:t>
      </w:r>
      <w:r w:rsidR="007B78B2">
        <w:t xml:space="preserve"> for the detailed script structure</w:t>
      </w:r>
      <w:r w:rsidR="007B78B2">
        <w:t>)</w:t>
      </w:r>
      <w:r>
        <w:t xml:space="preserve">: </w:t>
      </w:r>
      <w:commentRangeEnd w:id="7"/>
      <w:r w:rsidR="00AE4E18">
        <w:rPr>
          <w:rStyle w:val="CommentReference"/>
        </w:rPr>
        <w:commentReference w:id="7"/>
      </w:r>
    </w:p>
    <w:p w14:paraId="3AF8278D"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README.md</w:t>
      </w:r>
    </w:p>
    <w:p w14:paraId="5D1218DF" w14:textId="66F5DE2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bin                 </w:t>
      </w:r>
      <w:r w:rsidR="00AE4E18">
        <w:rPr>
          <w:sz w:val="20"/>
          <w:szCs w:val="20"/>
        </w:rPr>
        <w:tab/>
      </w:r>
      <w:r w:rsidRPr="00AE4E18">
        <w:rPr>
          <w:sz w:val="20"/>
          <w:szCs w:val="20"/>
        </w:rPr>
        <w:t xml:space="preserve">&lt;- </w:t>
      </w:r>
      <w:r w:rsidR="00AE4E18">
        <w:rPr>
          <w:sz w:val="20"/>
          <w:szCs w:val="20"/>
        </w:rPr>
        <w:t>C</w:t>
      </w:r>
      <w:r w:rsidRPr="00AE4E18">
        <w:rPr>
          <w:sz w:val="20"/>
          <w:szCs w:val="20"/>
        </w:rPr>
        <w:t>ompiled model code can be stored here (not tracked by git)</w:t>
      </w:r>
    </w:p>
    <w:p w14:paraId="34B572AE"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data                </w:t>
      </w:r>
    </w:p>
    <w:p w14:paraId="2FFD563A"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1-external      &lt;- Data external to the project.</w:t>
      </w:r>
    </w:p>
    <w:p w14:paraId="24E1C0D2"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2-interim       &lt;- Intermediate data that has been altered.</w:t>
      </w:r>
    </w:p>
    <w:p w14:paraId="03AEF24A" w14:textId="70228D1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3-input         </w:t>
      </w:r>
      <w:r w:rsidR="00AE4E18">
        <w:rPr>
          <w:sz w:val="20"/>
          <w:szCs w:val="20"/>
        </w:rPr>
        <w:tab/>
      </w:r>
      <w:r w:rsidRPr="00AE4E18">
        <w:rPr>
          <w:sz w:val="20"/>
          <w:szCs w:val="20"/>
        </w:rPr>
        <w:t>&lt;- The processed data sets, ready for modeling.</w:t>
      </w:r>
    </w:p>
    <w:p w14:paraId="6991A49F"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4-output        &lt;- Data dump from the model.</w:t>
      </w:r>
    </w:p>
    <w:p w14:paraId="13655A41" w14:textId="1CD099AB"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5-visualiz</w:t>
      </w:r>
      <w:r w:rsidR="00AE4E18">
        <w:rPr>
          <w:sz w:val="20"/>
          <w:szCs w:val="20"/>
        </w:rPr>
        <w:t>e</w:t>
      </w:r>
      <w:r w:rsidR="00AE4E18">
        <w:rPr>
          <w:sz w:val="20"/>
          <w:szCs w:val="20"/>
        </w:rPr>
        <w:tab/>
      </w:r>
      <w:r w:rsidRPr="00AE4E18">
        <w:rPr>
          <w:sz w:val="20"/>
          <w:szCs w:val="20"/>
        </w:rPr>
        <w:t xml:space="preserve">&lt;- Post-processed data, ready for </w:t>
      </w:r>
      <w:r w:rsidR="00AE4E18" w:rsidRPr="00AE4E18">
        <w:rPr>
          <w:sz w:val="20"/>
          <w:szCs w:val="20"/>
        </w:rPr>
        <w:t>visualization</w:t>
      </w:r>
      <w:r w:rsidRPr="00AE4E18">
        <w:rPr>
          <w:sz w:val="20"/>
          <w:szCs w:val="20"/>
        </w:rPr>
        <w:t>.</w:t>
      </w:r>
    </w:p>
    <w:p w14:paraId="5968E651" w14:textId="22D117DA"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reports             </w:t>
      </w:r>
      <w:r w:rsidR="00AE4E18">
        <w:rPr>
          <w:sz w:val="20"/>
          <w:szCs w:val="20"/>
        </w:rPr>
        <w:tab/>
      </w:r>
      <w:r w:rsidRPr="00AE4E18">
        <w:rPr>
          <w:sz w:val="20"/>
          <w:szCs w:val="20"/>
        </w:rPr>
        <w:t>&lt;- For a manuscript source, e.g., LaTeX, Markdown, etc., or any project reports</w:t>
      </w:r>
    </w:p>
    <w:p w14:paraId="28589BE7" w14:textId="4A8CC43C"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figures         </w:t>
      </w:r>
      <w:r w:rsidR="00AE4E18">
        <w:rPr>
          <w:sz w:val="20"/>
          <w:szCs w:val="20"/>
        </w:rPr>
        <w:tab/>
      </w:r>
      <w:r w:rsidRPr="00AE4E18">
        <w:rPr>
          <w:sz w:val="20"/>
          <w:szCs w:val="20"/>
        </w:rPr>
        <w:t>&lt;- Figures for the manuscript or reports</w:t>
      </w:r>
    </w:p>
    <w:p w14:paraId="6A61A4AA" w14:textId="59A884C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src                 </w:t>
      </w:r>
      <w:r w:rsidR="00AE4E18">
        <w:rPr>
          <w:sz w:val="20"/>
          <w:szCs w:val="20"/>
        </w:rPr>
        <w:tab/>
      </w:r>
      <w:r w:rsidRPr="00AE4E18">
        <w:rPr>
          <w:sz w:val="20"/>
          <w:szCs w:val="20"/>
        </w:rPr>
        <w:t xml:space="preserve">&lt;- Source code for </w:t>
      </w:r>
      <w:r w:rsidR="00AE4E18">
        <w:rPr>
          <w:sz w:val="20"/>
          <w:szCs w:val="20"/>
        </w:rPr>
        <w:t>the</w:t>
      </w:r>
      <w:r w:rsidRPr="00AE4E18">
        <w:rPr>
          <w:sz w:val="20"/>
          <w:szCs w:val="20"/>
        </w:rPr>
        <w:t xml:space="preserve"> project</w:t>
      </w:r>
    </w:p>
    <w:p w14:paraId="3EF6ECFE" w14:textId="34EE899C"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0-setup         </w:t>
      </w:r>
      <w:r w:rsidR="00AE4E18">
        <w:rPr>
          <w:sz w:val="20"/>
          <w:szCs w:val="20"/>
        </w:rPr>
        <w:tab/>
      </w:r>
      <w:r w:rsidRPr="00AE4E18">
        <w:rPr>
          <w:sz w:val="20"/>
          <w:szCs w:val="20"/>
        </w:rPr>
        <w:t>&lt;- Install</w:t>
      </w:r>
      <w:r w:rsidR="00AE4E18">
        <w:rPr>
          <w:sz w:val="20"/>
          <w:szCs w:val="20"/>
        </w:rPr>
        <w:t>ing</w:t>
      </w:r>
      <w:r w:rsidRPr="00AE4E18">
        <w:rPr>
          <w:sz w:val="20"/>
          <w:szCs w:val="20"/>
        </w:rPr>
        <w:t xml:space="preserve"> necessary software, dependencies, pull other git projects, etc.</w:t>
      </w:r>
    </w:p>
    <w:p w14:paraId="21EEA0F2" w14:textId="6E02B72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1-prepare       </w:t>
      </w:r>
      <w:r w:rsidR="00AE4E18">
        <w:rPr>
          <w:sz w:val="20"/>
          <w:szCs w:val="20"/>
        </w:rPr>
        <w:tab/>
      </w:r>
      <w:r w:rsidRPr="00AE4E18">
        <w:rPr>
          <w:sz w:val="20"/>
          <w:szCs w:val="20"/>
        </w:rPr>
        <w:t>&lt;- Scripts and programs to process data, from 1-external to 2-interim.</w:t>
      </w:r>
    </w:p>
    <w:p w14:paraId="5AA12121" w14:textId="3E21F120"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2-build         </w:t>
      </w:r>
      <w:r w:rsidR="00AE4E18">
        <w:rPr>
          <w:sz w:val="20"/>
          <w:szCs w:val="20"/>
        </w:rPr>
        <w:tab/>
      </w:r>
      <w:r w:rsidRPr="00AE4E18">
        <w:rPr>
          <w:sz w:val="20"/>
          <w:szCs w:val="20"/>
        </w:rPr>
        <w:t xml:space="preserve">&lt;- Scripts to create model specific input from 2-interim to 3-input. </w:t>
      </w:r>
    </w:p>
    <w:p w14:paraId="7280D82F" w14:textId="1B36BFE6"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3-model         </w:t>
      </w:r>
      <w:r w:rsidR="00AE4E18">
        <w:rPr>
          <w:sz w:val="20"/>
          <w:szCs w:val="20"/>
        </w:rPr>
        <w:tab/>
      </w:r>
      <w:r w:rsidRPr="00AE4E18">
        <w:rPr>
          <w:sz w:val="20"/>
          <w:szCs w:val="20"/>
        </w:rPr>
        <w:t>&lt;- Scripts to run model and convert or compress model results, from 3-input to 4-output.</w:t>
      </w:r>
    </w:p>
    <w:p w14:paraId="53F2842D" w14:textId="1E6C9A9F"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4-analyze       </w:t>
      </w:r>
      <w:r w:rsidR="00AE4E18">
        <w:rPr>
          <w:sz w:val="20"/>
          <w:szCs w:val="20"/>
        </w:rPr>
        <w:tab/>
      </w:r>
      <w:r w:rsidRPr="00AE4E18">
        <w:rPr>
          <w:sz w:val="20"/>
          <w:szCs w:val="20"/>
        </w:rPr>
        <w:t>&lt;- Scripts to post-process model results, from 4-output to 5-visualization.</w:t>
      </w:r>
    </w:p>
    <w:p w14:paraId="7F9F2BF5" w14:textId="391F0982" w:rsidR="00AE4E18" w:rsidRPr="00102B29" w:rsidRDefault="00886801" w:rsidP="00102B29">
      <w:pPr>
        <w:pStyle w:val="NoSpacing"/>
        <w:pBdr>
          <w:top w:val="single" w:sz="4" w:space="1" w:color="auto"/>
          <w:left w:val="single" w:sz="4" w:space="4" w:color="auto"/>
          <w:bottom w:val="single" w:sz="4" w:space="1" w:color="auto"/>
          <w:right w:val="single" w:sz="4" w:space="4" w:color="auto"/>
        </w:pBdr>
        <w:ind w:left="2130" w:hanging="2130"/>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5-visualize     </w:t>
      </w:r>
      <w:r w:rsidR="00AE4E18">
        <w:rPr>
          <w:sz w:val="20"/>
          <w:szCs w:val="20"/>
        </w:rPr>
        <w:tab/>
      </w:r>
      <w:r w:rsidRPr="00AE4E18">
        <w:rPr>
          <w:sz w:val="20"/>
          <w:szCs w:val="20"/>
        </w:rPr>
        <w:t xml:space="preserve">&lt;- Scripts for </w:t>
      </w:r>
      <w:r w:rsidR="00AE4E18" w:rsidRPr="00AE4E18">
        <w:rPr>
          <w:sz w:val="20"/>
          <w:szCs w:val="20"/>
        </w:rPr>
        <w:t>visualization</w:t>
      </w:r>
      <w:r w:rsidRPr="00AE4E18">
        <w:rPr>
          <w:sz w:val="20"/>
          <w:szCs w:val="20"/>
        </w:rPr>
        <w:t xml:space="preserve"> of results, from 5-visualization to ./report/figures.</w:t>
      </w:r>
    </w:p>
    <w:p w14:paraId="525972F3" w14:textId="77777777" w:rsidR="007B78B2" w:rsidRDefault="007B78B2" w:rsidP="00D41B26"/>
    <w:p w14:paraId="46899375" w14:textId="0A31950F" w:rsidR="00AE4E18" w:rsidRPr="00D41B26" w:rsidRDefault="00AE4E18" w:rsidP="00D41B26">
      <w:r>
        <w:t xml:space="preserve">It should be noted that the execution of the model (resulting from initialization in Python using the structure shown above) is done through the iMOD WQ SEAWAT executable. The </w:t>
      </w:r>
      <w:r w:rsidR="00D41B26">
        <w:t>executables are run on an I</w:t>
      </w:r>
      <w:r w:rsidR="00D41B26" w:rsidRPr="00D41B26">
        <w:t xml:space="preserve">ntel(R) Core(TM) i5-5300U CPU </w:t>
      </w:r>
      <w:r w:rsidR="00D41B26">
        <w:t>at</w:t>
      </w:r>
      <w:r w:rsidR="00D41B26" w:rsidRPr="00D41B26">
        <w:t xml:space="preserve"> 2.30</w:t>
      </w:r>
      <w:r w:rsidR="00D41B26">
        <w:t xml:space="preserve"> </w:t>
      </w:r>
      <w:r w:rsidR="00D41B26" w:rsidRPr="00D41B26">
        <w:t>GHz</w:t>
      </w:r>
      <w:r w:rsidR="00D41B26">
        <w:t xml:space="preserve">, with an RAM of </w:t>
      </w:r>
      <w:r w:rsidR="00D41B26" w:rsidRPr="00D41B26">
        <w:t>8,00 GB</w:t>
      </w:r>
      <w:r w:rsidR="00D41B26">
        <w:t xml:space="preserve">. When calculation times are mentioned in the results section, it should be noted that these are dependent not only on modeling structure but also on computer performance. However, when analyzing relative changes in calculation times for model efficiency, the effect of fluctuations in computer performance is assumed to be negligible, compared to the influence by changes in modeling structure, which will be discussed in the </w:t>
      </w:r>
      <w:r w:rsidR="00D41B26" w:rsidRPr="00D41B26">
        <w:rPr>
          <w:highlight w:val="lightGray"/>
        </w:rPr>
        <w:t>section 2.2.3</w:t>
      </w:r>
      <w:r w:rsidR="00D41B26">
        <w:t xml:space="preserve">. </w:t>
      </w:r>
    </w:p>
    <w:p w14:paraId="580AF9F0" w14:textId="1FF9A05B" w:rsidR="00462742" w:rsidRDefault="00462742" w:rsidP="00462742">
      <w:pPr>
        <w:pStyle w:val="Heading3"/>
      </w:pPr>
      <w:r>
        <w:t>Boundary conditions</w:t>
      </w:r>
    </w:p>
    <w:p w14:paraId="56834F40" w14:textId="13D43A69" w:rsidR="000E5583" w:rsidRDefault="000D7FDE" w:rsidP="00462742">
      <w:r>
        <w:t xml:space="preserve">In this section, boundary conditions and their influence on the model’s efficiency are discussed. </w:t>
      </w:r>
      <w:r w:rsidR="00462742">
        <w:t xml:space="preserve">Referring to the conceptual modeling approach presented in </w:t>
      </w:r>
      <w:r w:rsidR="00462742" w:rsidRPr="00C03618">
        <w:rPr>
          <w:highlight w:val="lightGray"/>
        </w:rPr>
        <w:t>section 2.1</w:t>
      </w:r>
      <w:r w:rsidR="00462742">
        <w:t xml:space="preserve">, boundary conditions can be seen as </w:t>
      </w:r>
      <w:r w:rsidR="00462742" w:rsidRPr="005F28BC">
        <w:rPr>
          <w:i/>
          <w:iCs/>
        </w:rPr>
        <w:t>assumptions</w:t>
      </w:r>
      <w:r w:rsidR="00462742">
        <w:t xml:space="preserve"> to increase model efficiency</w:t>
      </w:r>
      <w:r w:rsidR="00FF1CD2">
        <w:t xml:space="preserve">, that can make the model less </w:t>
      </w:r>
      <w:r w:rsidR="00FF1CD2">
        <w:rPr>
          <w:i/>
          <w:iCs/>
        </w:rPr>
        <w:t>physics</w:t>
      </w:r>
      <w:r w:rsidR="007A7ED9">
        <w:rPr>
          <w:i/>
          <w:iCs/>
        </w:rPr>
        <w:t>-</w:t>
      </w:r>
      <w:r w:rsidR="00FF1CD2">
        <w:rPr>
          <w:i/>
          <w:iCs/>
        </w:rPr>
        <w:t>based</w:t>
      </w:r>
      <w:r w:rsidR="00FF1CD2">
        <w:t xml:space="preserve"> and more </w:t>
      </w:r>
      <w:r w:rsidR="00FF1CD2">
        <w:rPr>
          <w:i/>
          <w:iCs/>
        </w:rPr>
        <w:t xml:space="preserve">empirical, </w:t>
      </w:r>
      <w:r w:rsidR="00FF1CD2">
        <w:t>under the circumstance that the model’s predictive capability remains sufficient</w:t>
      </w:r>
      <w:r w:rsidR="00462742">
        <w:t xml:space="preserve">. </w:t>
      </w:r>
      <w:r w:rsidR="00FF1CD2">
        <w:t xml:space="preserve">For modeling in </w:t>
      </w:r>
      <w:r w:rsidR="00823B6C">
        <w:t>MODFLOW</w:t>
      </w:r>
      <w:r w:rsidR="00FF1CD2">
        <w:t>, boundary conditions</w:t>
      </w:r>
      <w:r w:rsidR="00462742">
        <w:t xml:space="preserve"> summarize processes into conditions applied to cells for certain, or all timesteps. </w:t>
      </w:r>
      <w:r w:rsidR="00462742" w:rsidRPr="007A7ED9">
        <w:rPr>
          <w:highlight w:val="lightGray"/>
        </w:rPr>
        <w:t xml:space="preserve">These conditions can be used to specify </w:t>
      </w:r>
      <w:r w:rsidRPr="007A7ED9">
        <w:rPr>
          <w:highlight w:val="lightGray"/>
        </w:rPr>
        <w:t xml:space="preserve">values of variables for which </w:t>
      </w:r>
      <w:r w:rsidR="00462742" w:rsidRPr="007A7ED9">
        <w:rPr>
          <w:highlight w:val="lightGray"/>
        </w:rPr>
        <w:t>differential equations</w:t>
      </w:r>
      <w:r w:rsidRPr="007A7ED9">
        <w:rPr>
          <w:highlight w:val="lightGray"/>
        </w:rPr>
        <w:t xml:space="preserve"> are solved, consequently the use of boundary conditions can decrease calculation times as the </w:t>
      </w:r>
      <w:r w:rsidR="007A7ED9" w:rsidRPr="007A7ED9">
        <w:rPr>
          <w:highlight w:val="lightGray"/>
        </w:rPr>
        <w:t>solver now solves easier differential equations</w:t>
      </w:r>
      <w:r>
        <w:t>. Boundary conditions can be applied</w:t>
      </w:r>
      <w:r w:rsidR="00462742">
        <w:t xml:space="preserve"> along boundaries of a domain</w:t>
      </w:r>
      <w:r>
        <w:t xml:space="preserve"> or for specific cells in the </w:t>
      </w:r>
      <w:r w:rsidR="00823B6C">
        <w:t>MODFLOW</w:t>
      </w:r>
      <w:r>
        <w:t xml:space="preserve"> modeling structure.</w:t>
      </w:r>
    </w:p>
    <w:p w14:paraId="34F87B97" w14:textId="77777777" w:rsidR="00885B8C" w:rsidRDefault="00885B8C" w:rsidP="00885B8C">
      <w:pPr>
        <w:keepNext/>
        <w:jc w:val="center"/>
      </w:pPr>
      <w:r w:rsidRPr="00885B8C">
        <w:rPr>
          <w:noProof/>
        </w:rPr>
        <w:lastRenderedPageBreak/>
        <w:drawing>
          <wp:inline distT="0" distB="0" distL="0" distR="0" wp14:anchorId="7B392BD2" wp14:editId="71BDACE9">
            <wp:extent cx="3148642" cy="21527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8287" cy="2159386"/>
                    </a:xfrm>
                    <a:prstGeom prst="rect">
                      <a:avLst/>
                    </a:prstGeom>
                  </pic:spPr>
                </pic:pic>
              </a:graphicData>
            </a:graphic>
          </wp:inline>
        </w:drawing>
      </w:r>
    </w:p>
    <w:p w14:paraId="716CA47E" w14:textId="43EE7F77" w:rsidR="00885B8C" w:rsidRDefault="00885B8C" w:rsidP="007A7ED9">
      <w:pPr>
        <w:pStyle w:val="Caption"/>
      </w:pPr>
      <w:r>
        <w:t xml:space="preserve">Figure </w:t>
      </w:r>
      <w:r>
        <w:fldChar w:fldCharType="begin"/>
      </w:r>
      <w:r>
        <w:instrText xml:space="preserve"> SEQ Figure \* ARABIC </w:instrText>
      </w:r>
      <w:r>
        <w:fldChar w:fldCharType="separate"/>
      </w:r>
      <w:r w:rsidR="00700EC2">
        <w:rPr>
          <w:noProof/>
        </w:rPr>
        <w:t>7</w:t>
      </w:r>
      <w:r>
        <w:fldChar w:fldCharType="end"/>
      </w:r>
      <w:r>
        <w:t>: Diagram showing the flow between a General Head Boundary condition</w:t>
      </w:r>
      <w:r>
        <w:rPr>
          <w:noProof/>
        </w:rPr>
        <w:t xml:space="preserve"> and its adjacent groundwater cell </w:t>
      </w:r>
      <w:r>
        <w:t xml:space="preserve">(Harbaugh, 2005), </w:t>
      </w:r>
      <w:r>
        <w:rPr>
          <w:rFonts w:eastAsiaTheme="minorEastAsia"/>
        </w:rPr>
        <w:t>(Langevin et. al., 2017)</w:t>
      </w:r>
      <w:r>
        <w:t>.</w:t>
      </w:r>
    </w:p>
    <w:p w14:paraId="130C3A9D" w14:textId="77777777" w:rsidR="00591BCB" w:rsidRDefault="00591BCB" w:rsidP="00591BCB">
      <w:r>
        <w:t xml:space="preserve">The flow between a boundary condition and an adjacent cell </w:t>
      </w:r>
      <w:r>
        <w:rPr>
          <w:i/>
          <w:iCs/>
        </w:rPr>
        <w:t>n</w:t>
      </w:r>
      <w:r>
        <w:t xml:space="preserve"> representing the groundwater system, is governed by a conductance term between the two, as shown in Figure 6 in one dimension. The higher the conductance, the higher the flow between the boundary condition and the adjacent cell. </w:t>
      </w:r>
    </w:p>
    <w:p w14:paraId="13D6B859" w14:textId="3B8DD309" w:rsidR="00CF5ECF" w:rsidRPr="00D41B26" w:rsidRDefault="00591BCB" w:rsidP="00CF5ECF">
      <w:r>
        <w:t>Boundary conditions can be used in MODFLOW to represent hydrological features in the groundwater system: rivers, lakes, ponds, precipitation, etc. The use of boundary conditions involves empirical calibration as their use implies a simplified representation of the hydrological feature in the model. The conductance term is used to calibrate groundwater flow around the hydrological feature that the boundary condition represents. It should be recognized that use of a single conductance term to account for the resulting three-dimensional flow process is inherently an empirical exercise, and that adjustment during calibration is almost always required (Langevin et al., 2017)</w:t>
      </w:r>
      <w:r w:rsidR="00F4662D">
        <w:t>.</w:t>
      </w:r>
    </w:p>
    <w:p w14:paraId="2B75BB09" w14:textId="57B0FED2" w:rsidR="00635155" w:rsidRPr="00815A37" w:rsidRDefault="00635155" w:rsidP="000D7FDE">
      <w:pPr>
        <w:pStyle w:val="ListParagraph"/>
        <w:numPr>
          <w:ilvl w:val="3"/>
          <w:numId w:val="1"/>
        </w:numPr>
      </w:pPr>
      <w:r w:rsidRPr="00815A37">
        <w:t>Domain boundaries</w:t>
      </w:r>
    </w:p>
    <w:p w14:paraId="09232ACB" w14:textId="7D144F5A" w:rsidR="00F4662D" w:rsidRPr="00815A37" w:rsidRDefault="00635155" w:rsidP="00635155">
      <w:commentRangeStart w:id="8"/>
      <w:r w:rsidRPr="00815A37">
        <w:rPr>
          <w:highlight w:val="lightGray"/>
        </w:rPr>
        <w:t>Theory: the boundaries of a model domain are sufficiently far away when the conditions applied at the boundary do not influence the study area</w:t>
      </w:r>
      <w:r w:rsidR="00815A37" w:rsidRPr="00815A37">
        <w:rPr>
          <w:highlight w:val="lightGray"/>
        </w:rPr>
        <w:t xml:space="preserve">. </w:t>
      </w:r>
      <w:r w:rsidR="00F4662D" w:rsidRPr="00815A37">
        <w:rPr>
          <w:highlight w:val="lightGray"/>
        </w:rPr>
        <w:t xml:space="preserve">Hypothesis: changing the domain edges from </w:t>
      </w:r>
      <w:r w:rsidR="00B4160F" w:rsidRPr="00815A37">
        <w:rPr>
          <w:highlight w:val="lightGray"/>
        </w:rPr>
        <w:t>fixed head to no flow &amp; its expected influence on the conceptual f/s interface</w:t>
      </w:r>
      <w:r w:rsidR="00815A37" w:rsidRPr="00815A37">
        <w:rPr>
          <w:highlight w:val="lightGray"/>
        </w:rPr>
        <w:t>.</w:t>
      </w:r>
      <w:commentRangeEnd w:id="8"/>
      <w:r w:rsidR="00815A37">
        <w:rPr>
          <w:rStyle w:val="CommentReference"/>
        </w:rPr>
        <w:commentReference w:id="8"/>
      </w:r>
    </w:p>
    <w:p w14:paraId="395AE7D8" w14:textId="04991013" w:rsidR="00815A37" w:rsidRPr="00815A37" w:rsidRDefault="00815A37" w:rsidP="00635155">
      <w:r>
        <w:t xml:space="preserve">Two scenarios are run to investigate the influence of the conditions applied to the domain boundaries on model efficiency: A fixed head (GHB), and an impermeable no flow boundary. </w:t>
      </w:r>
    </w:p>
    <w:p w14:paraId="49539DE7" w14:textId="77777777" w:rsidR="00635155" w:rsidRDefault="00635155" w:rsidP="00635155"/>
    <w:p w14:paraId="03F0CA97" w14:textId="77777777" w:rsidR="0097015B" w:rsidRDefault="0097015B">
      <w:pPr>
        <w:jc w:val="left"/>
      </w:pPr>
      <w:r>
        <w:br w:type="page"/>
      </w:r>
    </w:p>
    <w:p w14:paraId="5E94367D" w14:textId="00E623A7" w:rsidR="000D7FDE" w:rsidRDefault="00D14C77" w:rsidP="000D7FDE">
      <w:pPr>
        <w:pStyle w:val="ListParagraph"/>
        <w:numPr>
          <w:ilvl w:val="3"/>
          <w:numId w:val="1"/>
        </w:numPr>
      </w:pPr>
      <w:r>
        <w:lastRenderedPageBreak/>
        <w:t>General Head Boundary vs River package</w:t>
      </w:r>
    </w:p>
    <w:p w14:paraId="70026B62" w14:textId="20790937" w:rsidR="006404E8" w:rsidRPr="00885B8C" w:rsidRDefault="00635155" w:rsidP="00635155">
      <w:r>
        <w:t xml:space="preserve">As discussed in </w:t>
      </w:r>
      <w:r w:rsidRPr="00C03618">
        <w:rPr>
          <w:highlight w:val="lightGray"/>
        </w:rPr>
        <w:t>section 1.2</w:t>
      </w:r>
      <w:r>
        <w:t xml:space="preserve">, </w:t>
      </w:r>
      <w:r w:rsidR="000E0775">
        <w:t xml:space="preserve">artificially enhanced infiltration in the study area commenced in the 1950s, by engineering infiltration ponds and pumping </w:t>
      </w:r>
      <w:r w:rsidR="00D14C77">
        <w:t>supplementary</w:t>
      </w:r>
      <w:r w:rsidR="000E0775">
        <w:t xml:space="preserve"> Rhine and Meuse water into the dunes.</w:t>
      </w:r>
      <w:r w:rsidR="00035F95">
        <w:t xml:space="preserve"> </w:t>
      </w:r>
      <w:r w:rsidR="000E0775">
        <w:t>To represent these features in the hydrological model, a boundary condition can be applied for</w:t>
      </w:r>
      <w:r w:rsidR="00594444">
        <w:t xml:space="preserve"> certain cells representing</w:t>
      </w:r>
      <w:r w:rsidR="000E0775">
        <w:t xml:space="preserve"> infiltration ponds</w:t>
      </w:r>
      <w:r w:rsidR="00D14C77">
        <w:t>, rivers, and polders</w:t>
      </w:r>
      <w:r w:rsidR="000E0775">
        <w:t xml:space="preserve">. In this study, the </w:t>
      </w:r>
      <w:r w:rsidR="00035F95">
        <w:t xml:space="preserve">difference between </w:t>
      </w:r>
      <w:r w:rsidR="000E0775">
        <w:t xml:space="preserve">a fixed head boundary condition (GHB) </w:t>
      </w:r>
      <w:r w:rsidR="00035F95">
        <w:t>and</w:t>
      </w:r>
      <w:r w:rsidR="000E0775">
        <w:t xml:space="preserve"> a variable head and drainage condition (RIV)</w:t>
      </w:r>
      <w:r w:rsidR="00035F95">
        <w:t xml:space="preserve"> in their effect</w:t>
      </w:r>
      <w:r w:rsidR="00FF1CD2">
        <w:t xml:space="preserve"> on model efficiency </w:t>
      </w:r>
      <w:r w:rsidR="00FF1CD2" w:rsidRPr="00FC5ECD">
        <w:rPr>
          <w:highlight w:val="lightGray"/>
        </w:rPr>
        <w:t>and accuracy</w:t>
      </w:r>
      <w:r w:rsidR="000E0775">
        <w:t xml:space="preserve"> is investigated</w:t>
      </w:r>
      <w:r w:rsidR="00885B8C">
        <w:t>.</w:t>
      </w:r>
      <w:r w:rsidR="00035F95">
        <w:t xml:space="preserve"> </w:t>
      </w:r>
    </w:p>
    <w:p w14:paraId="0401C279" w14:textId="07F0F4BD" w:rsidR="006404E8" w:rsidRDefault="009E3820" w:rsidP="00635155">
      <w:r>
        <w:t xml:space="preserve">When implementing a General Head Boundary, a linear relation between the head of the adjacent cell and that of the GHB is established. This relation needs to be solved in the system of differential equations: </w:t>
      </w:r>
    </w:p>
    <w:p w14:paraId="3A395399" w14:textId="4D97CF0F" w:rsidR="006404E8" w:rsidRDefault="006404E8" w:rsidP="00635155">
      <m:oMathPara>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r>
            <w:rPr>
              <w:rFonts w:ascii="Cambria Math" w:eastAsiaTheme="minorEastAsia" w:hAnsi="Cambria Math"/>
            </w:rPr>
            <m:t>,</m:t>
          </m:r>
        </m:oMath>
      </m:oMathPara>
    </w:p>
    <w:p w14:paraId="7C119453" w14:textId="4C9BE496" w:rsidR="00635155" w:rsidRDefault="006404E8" w:rsidP="00635155">
      <w:r w:rsidRPr="006404E8">
        <w:t xml:space="preserve">Where </w:t>
      </w:r>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 xml:space="preserve">is the flow into cell </w:t>
      </w:r>
      <m:oMath>
        <m:r>
          <w:rPr>
            <w:rFonts w:ascii="Cambria Math" w:hAnsi="Cambria Math"/>
          </w:rPr>
          <m:t>n</m:t>
        </m:r>
      </m:oMath>
      <w:r w:rsidRPr="006404E8">
        <w:rPr>
          <w:rFonts w:eastAsiaTheme="minorEastAsia"/>
        </w:rPr>
        <w:t xml:space="preserve"> from the boundary expressed as a fluid volume per unit time (L</w:t>
      </w:r>
      <w:r w:rsidRPr="006404E8">
        <w:rPr>
          <w:rFonts w:eastAsiaTheme="minorEastAsia"/>
          <w:vertAlign w:val="superscript"/>
        </w:rPr>
        <w:t>3</w:t>
      </w:r>
      <w:r w:rsidR="00F4662D">
        <w:rPr>
          <w:rFonts w:eastAsiaTheme="minorEastAsia"/>
          <w:vertAlign w:val="superscript"/>
        </w:rPr>
        <w:t xml:space="preserve"> </w:t>
      </w:r>
      <w:r w:rsidRPr="006404E8">
        <w:rPr>
          <w:rFonts w:eastAsiaTheme="minorEastAsia"/>
        </w:rPr>
        <w:t>T</w:t>
      </w:r>
      <w:r w:rsidRPr="006404E8">
        <w:rPr>
          <w:rFonts w:eastAsiaTheme="minorEastAsia"/>
          <w:vertAlign w:val="superscript"/>
        </w:rPr>
        <w:t>-1</w:t>
      </w:r>
      <w:r w:rsidRPr="006404E8">
        <w:rPr>
          <w:rFonts w:eastAsiaTheme="minorEastAsia"/>
          <w:iCs/>
        </w:rPr>
        <w:t xml:space="preserve">), </w:t>
      </w:r>
      <m:oMath>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is the boundary conductance (L</w:t>
      </w:r>
      <w:r w:rsidRPr="006404E8">
        <w:rPr>
          <w:rFonts w:eastAsiaTheme="minorEastAsia"/>
          <w:iCs/>
          <w:vertAlign w:val="superscript"/>
        </w:rPr>
        <w:t>2</w:t>
      </w:r>
      <w:r w:rsidR="00F4662D">
        <w:rPr>
          <w:rFonts w:eastAsiaTheme="minorEastAsia"/>
          <w:iCs/>
          <w:vertAlign w:val="superscript"/>
        </w:rPr>
        <w:t xml:space="preserve"> </w:t>
      </w:r>
      <w:r w:rsidRPr="006404E8">
        <w:rPr>
          <w:rFonts w:eastAsiaTheme="minorEastAsia"/>
          <w:iCs/>
        </w:rPr>
        <w:t>T</w:t>
      </w:r>
      <w:r w:rsidRPr="006404E8">
        <w:rPr>
          <w:rFonts w:eastAsiaTheme="minorEastAsia"/>
          <w:iCs/>
          <w:vertAlign w:val="superscript"/>
        </w:rPr>
        <w:t>-1</w:t>
      </w:r>
      <w:r w:rsidRPr="006404E8">
        <w:rPr>
          <w:rFonts w:eastAsiaTheme="minorEastAsia"/>
          <w:iCs/>
        </w:rPr>
        <w:t xml:space="preserve">) and </w:t>
      </w:r>
      <m:oMath>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rPr>
        <w:t xml:space="preserve"> is the head assigned to the boundary condition</w:t>
      </w:r>
      <w:r>
        <w:rPr>
          <w:rFonts w:eastAsiaTheme="minorEastAsia"/>
        </w:rPr>
        <w:t xml:space="preserve"> (</w:t>
      </w:r>
      <w:r w:rsidR="00971EF3">
        <w:rPr>
          <w:rFonts w:eastAsiaTheme="minorEastAsia"/>
        </w:rPr>
        <w:t xml:space="preserve">Langevin et. al., 2017). </w:t>
      </w:r>
      <w:r w:rsidR="007D6498">
        <w:t xml:space="preserve">The </w:t>
      </w:r>
      <w:r w:rsidR="00594444">
        <w:t xml:space="preserve">flow </w:t>
      </w:r>
      <w:r w:rsidR="007D6498">
        <w:t>between</w:t>
      </w:r>
      <w:r w:rsidR="00594444">
        <w:t xml:space="preserve"> </w:t>
      </w:r>
      <w:r w:rsidR="007D6498">
        <w:t>a GHB cell and its adjacent cell</w:t>
      </w:r>
      <w:r w:rsidR="00594444">
        <w:t xml:space="preserve"> is visualized in Figure 7. </w:t>
      </w:r>
      <w:r w:rsidR="007D6498">
        <w:t>In this case,</w:t>
      </w:r>
      <w:r w:rsidR="00594444">
        <w:t xml:space="preserve"> </w:t>
      </w:r>
      <w:r w:rsidR="007D6498">
        <w:t>intercellular groundwater flow is linearly dependent on the head of the cell, the head of the boundary condition cell and the conductance term between the two cells.</w:t>
      </w:r>
    </w:p>
    <w:p w14:paraId="4B32429F" w14:textId="77777777" w:rsidR="0097015B" w:rsidRDefault="0097015B" w:rsidP="0097015B">
      <w:pPr>
        <w:keepNext/>
        <w:jc w:val="center"/>
      </w:pPr>
      <w:r w:rsidRPr="0097015B">
        <w:rPr>
          <w:noProof/>
        </w:rPr>
        <w:drawing>
          <wp:inline distT="0" distB="0" distL="0" distR="0" wp14:anchorId="5F6DF85D" wp14:editId="580D2801">
            <wp:extent cx="3321169" cy="2732440"/>
            <wp:effectExtent l="0" t="0" r="0" b="0"/>
            <wp:docPr id="15" name="Picture 15" descr="A graph of a slo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slope&#10;&#10;Description automatically generated with low confidence"/>
                    <pic:cNvPicPr/>
                  </pic:nvPicPr>
                  <pic:blipFill>
                    <a:blip r:embed="rId18"/>
                    <a:stretch>
                      <a:fillRect/>
                    </a:stretch>
                  </pic:blipFill>
                  <pic:spPr>
                    <a:xfrm>
                      <a:off x="0" y="0"/>
                      <a:ext cx="3334808" cy="2743662"/>
                    </a:xfrm>
                    <a:prstGeom prst="rect">
                      <a:avLst/>
                    </a:prstGeom>
                  </pic:spPr>
                </pic:pic>
              </a:graphicData>
            </a:graphic>
          </wp:inline>
        </w:drawing>
      </w:r>
    </w:p>
    <w:p w14:paraId="6D38BCE0" w14:textId="644BE041" w:rsidR="000E0775" w:rsidRDefault="0097015B" w:rsidP="0097015B">
      <w:pPr>
        <w:pStyle w:val="Caption"/>
        <w:jc w:val="left"/>
      </w:pPr>
      <w:r>
        <w:t xml:space="preserve">Figure </w:t>
      </w:r>
      <w:r>
        <w:fldChar w:fldCharType="begin"/>
      </w:r>
      <w:r>
        <w:instrText xml:space="preserve"> SEQ Figure \* ARABIC </w:instrText>
      </w:r>
      <w:r>
        <w:fldChar w:fldCharType="separate"/>
      </w:r>
      <w:r w:rsidR="00700EC2">
        <w:rPr>
          <w:noProof/>
        </w:rPr>
        <w:t>8</w:t>
      </w:r>
      <w:r>
        <w:fldChar w:fldCharType="end"/>
      </w:r>
      <w:r>
        <w:t>: QGHB flow for a general-head boundary as a function of head, h, in cell n, where HGHB is the source head and C is the conductance term for the GHB (Harbaugh, 2005)</w:t>
      </w:r>
      <w:r w:rsidR="00971EF3">
        <w:t xml:space="preserve">, </w:t>
      </w:r>
      <w:r w:rsidR="00971EF3">
        <w:rPr>
          <w:rFonts w:eastAsiaTheme="minorEastAsia"/>
        </w:rPr>
        <w:t>(Langevin et. al., 2017)</w:t>
      </w:r>
      <w:r>
        <w:t>.</w:t>
      </w:r>
    </w:p>
    <w:p w14:paraId="5C745CA3" w14:textId="77777777" w:rsidR="007D6498" w:rsidRDefault="007D6498">
      <w:pPr>
        <w:jc w:val="left"/>
      </w:pPr>
      <w:r>
        <w:br w:type="page"/>
      </w:r>
    </w:p>
    <w:p w14:paraId="595AA1AB" w14:textId="57F66D47" w:rsidR="009E3820" w:rsidRDefault="007D6498" w:rsidP="00635155">
      <w:r>
        <w:lastRenderedPageBreak/>
        <w:t xml:space="preserve">For a </w:t>
      </w:r>
      <w:r w:rsidR="000E0775">
        <w:t xml:space="preserve">RIV </w:t>
      </w:r>
      <w:r>
        <w:t xml:space="preserve">boundary </w:t>
      </w:r>
      <w:r w:rsidR="000E0775">
        <w:t>conditio</w:t>
      </w:r>
      <w:r>
        <w:t>n</w:t>
      </w:r>
      <w:r w:rsidR="0097015B">
        <w:t xml:space="preserve">, the </w:t>
      </w:r>
      <w:r>
        <w:t xml:space="preserve">flow between a RIV cell and its adjacent cell is visualized in Figure 8. In this case the groundwater flow is either </w:t>
      </w:r>
      <w:r w:rsidR="00885B8C">
        <w:t>constant or</w:t>
      </w:r>
      <w:r>
        <w:t xml:space="preserve"> follows a linear relation between the head of the adjacent cell and the river head.</w:t>
      </w:r>
      <w:r w:rsidR="009E3820">
        <w:t xml:space="preserve"> The following relation is established: </w:t>
      </w:r>
    </w:p>
    <w:p w14:paraId="48513B7E" w14:textId="3617C8A0" w:rsidR="000E0775" w:rsidRDefault="009E3820" w:rsidP="00885B8C">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00634B21">
        <w:rPr>
          <w:rFonts w:eastAsiaTheme="minorEastAsia"/>
        </w:rPr>
        <w:t xml:space="preserve">, </w:t>
      </w:r>
      <w:r w:rsidR="00634B21">
        <w:rPr>
          <w:rFonts w:eastAsiaTheme="minorEastAsia"/>
        </w:rPr>
        <w:tab/>
      </w:r>
      <w:r w:rsidR="00634B21">
        <w:rPr>
          <w:rFonts w:eastAsiaTheme="minorEastAsia"/>
        </w:rPr>
        <w:tab/>
      </w:r>
      <w:r w:rsidR="00634B21">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&gt;RBO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54E07591" w14:textId="084765C4" w:rsidR="00634B21" w:rsidRPr="00634B21" w:rsidRDefault="00634B21" w:rsidP="00885B8C">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e>
        </m:d>
      </m:oMath>
      <w:r>
        <w:rPr>
          <w:rFonts w:eastAsiaTheme="minorEastAsia"/>
        </w:rPr>
        <w:t xml:space="preserve">, </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28AF8885" w14:textId="5DBAF318" w:rsidR="009E3820" w:rsidRDefault="009E3820" w:rsidP="00952C43">
      <w:pPr>
        <w:keepNext/>
      </w:pPr>
      <w:r>
        <w:t xml:space="preserve">Where </w:t>
      </w: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flow between the river and the groundwater system, positive if flowing out of the river (L</w:t>
      </w:r>
      <w:r w:rsidRPr="009E3820">
        <w:rPr>
          <w:rFonts w:eastAsiaTheme="minorEastAsia"/>
          <w:vertAlign w:val="superscript"/>
        </w:rPr>
        <w:t>3</w:t>
      </w:r>
      <w:r w:rsidR="00F4662D">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 xml:space="preserve">), </w:t>
      </w:r>
      <m:oMath>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water level (stage) in the river (L); </w:t>
      </w:r>
      <m:oMath>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hydraulic conductance of the river-aquifer interconnection (L</w:t>
      </w:r>
      <w:r w:rsidRPr="00952C43">
        <w:rPr>
          <w:rFonts w:eastAsiaTheme="minorEastAsia"/>
          <w:vertAlign w:val="superscript"/>
        </w:rPr>
        <w:t>2</w:t>
      </w:r>
      <w:r w:rsidR="00F4662D">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w:t>
      </w:r>
      <w:r w:rsidR="00952C43">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952C43">
        <w:rPr>
          <w:rFonts w:eastAsiaTheme="minorEastAsia"/>
        </w:rPr>
        <w:t xml:space="preserve"> is the head at the node in the cell underlying the river reach (L) (Langevin et. al., 2017). </w:t>
      </w:r>
    </w:p>
    <w:p w14:paraId="69C90691" w14:textId="03D8A145" w:rsidR="0097015B" w:rsidRDefault="0097015B" w:rsidP="0097015B">
      <w:pPr>
        <w:keepNext/>
        <w:jc w:val="center"/>
      </w:pPr>
      <w:r w:rsidRPr="0097015B">
        <w:rPr>
          <w:noProof/>
        </w:rPr>
        <w:drawing>
          <wp:inline distT="0" distB="0" distL="0" distR="0" wp14:anchorId="61C1130F" wp14:editId="6A5CFD26">
            <wp:extent cx="3484952" cy="2639390"/>
            <wp:effectExtent l="0" t="0" r="1270" b="8890"/>
            <wp:docPr id="16" name="Picture 16"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line, diagram, plot&#10;&#10;Description automatically generated"/>
                    <pic:cNvPicPr/>
                  </pic:nvPicPr>
                  <pic:blipFill>
                    <a:blip r:embed="rId19"/>
                    <a:stretch>
                      <a:fillRect/>
                    </a:stretch>
                  </pic:blipFill>
                  <pic:spPr>
                    <a:xfrm>
                      <a:off x="0" y="0"/>
                      <a:ext cx="3498547" cy="2649686"/>
                    </a:xfrm>
                    <a:prstGeom prst="rect">
                      <a:avLst/>
                    </a:prstGeom>
                  </pic:spPr>
                </pic:pic>
              </a:graphicData>
            </a:graphic>
          </wp:inline>
        </w:drawing>
      </w:r>
    </w:p>
    <w:p w14:paraId="7134DA07" w14:textId="35600050" w:rsidR="0097015B" w:rsidRDefault="0097015B" w:rsidP="00885B8C">
      <w:pPr>
        <w:pStyle w:val="Caption"/>
        <w:jc w:val="left"/>
      </w:pPr>
      <w:r>
        <w:t xml:space="preserve">Figure </w:t>
      </w:r>
      <w:r>
        <w:fldChar w:fldCharType="begin"/>
      </w:r>
      <w:r>
        <w:instrText xml:space="preserve"> SEQ Figure \* ARABIC </w:instrText>
      </w:r>
      <w:r>
        <w:fldChar w:fldCharType="separate"/>
      </w:r>
      <w:r w:rsidR="00700EC2">
        <w:rPr>
          <w:noProof/>
        </w:rPr>
        <w:t>9</w:t>
      </w:r>
      <w:r>
        <w:fldChar w:fldCharType="end"/>
      </w:r>
      <w:r>
        <w:t>: QRIV as a function of head, h, in the cell, where RBOT is the elevation of the bottom of the</w:t>
      </w:r>
      <w:r w:rsidR="00594444">
        <w:t xml:space="preserve"> riverbed and HRIV is the head in the river (Harbaugh, 2005)</w:t>
      </w:r>
      <w:r w:rsidR="00971EF3">
        <w:t xml:space="preserve">, </w:t>
      </w:r>
      <w:r w:rsidR="00971EF3">
        <w:rPr>
          <w:rFonts w:eastAsiaTheme="minorEastAsia"/>
        </w:rPr>
        <w:t>(Langevin et. al., 2017)</w:t>
      </w:r>
      <w:r w:rsidR="00594444">
        <w:t>.</w:t>
      </w:r>
    </w:p>
    <w:p w14:paraId="19766D17" w14:textId="38376FD9" w:rsidR="00885B8C" w:rsidRDefault="007D6498" w:rsidP="00635155">
      <w:pPr>
        <w:rPr>
          <w:rFonts w:eastAsiaTheme="minorEastAsia"/>
        </w:rPr>
      </w:pPr>
      <w:r>
        <w:t xml:space="preserve">When applying a GHB condition instead of a RIV condition, a linear relation </w:t>
      </w:r>
      <w:r w:rsidR="00500DDE">
        <w:t>of groundwater flow on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GHB</m:t>
            </m:r>
          </m:sub>
        </m:sSub>
      </m:oMath>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00DDE">
        <w:rPr>
          <w:rFonts w:eastAsiaTheme="minorEastAsia"/>
        </w:rPr>
        <w:t xml:space="preserve"> can be used to solve a differential groundwater flow equation for a specific timestep. On the other hand, when a RIV condition is used, the flow</w:t>
      </w:r>
      <w:r w:rsidR="00885B8C">
        <w:rPr>
          <w:rFonts w:eastAsiaTheme="minorEastAsia"/>
        </w:rPr>
        <w:t xml:space="preserve"> from the boundary condition into the groundwater system</w:t>
      </w:r>
      <w:r w:rsidR="00500DDE">
        <w:rPr>
          <w:rFonts w:eastAsiaTheme="minorEastAsia"/>
        </w:rPr>
        <w:t xml:space="preserve"> is either linear, or constant, depending on </w:t>
      </w:r>
      <m:oMath>
        <m:sSub>
          <m:sSubPr>
            <m:ctrlPr>
              <w:rPr>
                <w:rFonts w:ascii="Cambria Math" w:hAnsi="Cambria Math"/>
                <w:i/>
              </w:rPr>
            </m:ctrlPr>
          </m:sSubPr>
          <m:e>
            <m:r>
              <w:rPr>
                <w:rFonts w:ascii="Cambria Math" w:hAnsi="Cambria Math"/>
              </w:rPr>
              <m:t>h</m:t>
            </m:r>
          </m:e>
          <m:sub>
            <m:r>
              <w:rPr>
                <w:rFonts w:ascii="Cambria Math" w:hAnsi="Cambria Math"/>
              </w:rPr>
              <m:t>RIV</m:t>
            </m:r>
          </m:sub>
        </m:sSub>
      </m:oMath>
      <w:r w:rsidR="00500DDE">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BOT</m:t>
            </m:r>
          </m:sub>
        </m:sSub>
      </m:oMath>
      <w:r w:rsidR="00500DD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00DDE">
        <w:rPr>
          <w:rFonts w:eastAsiaTheme="minorEastAsia"/>
        </w:rPr>
        <w:t xml:space="preserve">. </w:t>
      </w:r>
      <w:r w:rsidR="00885B8C" w:rsidRPr="00F4662D">
        <w:rPr>
          <w:rFonts w:eastAsiaTheme="minorEastAsia"/>
          <w:highlight w:val="lightGray"/>
        </w:rPr>
        <w:t>Therefore, t</w:t>
      </w:r>
      <w:r w:rsidR="00500DDE" w:rsidRPr="00F4662D">
        <w:rPr>
          <w:rFonts w:eastAsiaTheme="minorEastAsia"/>
          <w:highlight w:val="lightGray"/>
        </w:rPr>
        <w:t>he hypothesis is that the use of a GHB boundary condition for the infiltration ponds instead of a RIV boundary condition will increase efficiency as the differential equations require less calculation time to be solved.</w:t>
      </w:r>
      <w:r w:rsidR="00500DDE">
        <w:rPr>
          <w:rFonts w:eastAsiaTheme="minorEastAsia"/>
        </w:rPr>
        <w:t xml:space="preserve"> </w:t>
      </w:r>
    </w:p>
    <w:p w14:paraId="41CABC29" w14:textId="74E0E1D3" w:rsidR="00FC5ECD" w:rsidRPr="00885B8C" w:rsidRDefault="00FC5ECD" w:rsidP="00635155">
      <w:pPr>
        <w:rPr>
          <w:rFonts w:eastAsiaTheme="minorEastAsia"/>
        </w:rPr>
      </w:pPr>
      <w:r w:rsidRPr="00FC5ECD">
        <w:rPr>
          <w:rFonts w:eastAsiaTheme="minorEastAsia"/>
          <w:highlight w:val="lightGray"/>
        </w:rPr>
        <w:t>+not going into accuracy</w:t>
      </w:r>
      <w:r>
        <w:rPr>
          <w:rFonts w:eastAsiaTheme="minorEastAsia"/>
        </w:rPr>
        <w:t>?</w:t>
      </w:r>
    </w:p>
    <w:p w14:paraId="034F5FD1" w14:textId="77777777" w:rsidR="00404043" w:rsidRDefault="00404043">
      <w:pPr>
        <w:jc w:val="left"/>
      </w:pPr>
      <w:r>
        <w:br w:type="page"/>
      </w:r>
    </w:p>
    <w:p w14:paraId="2A097D68" w14:textId="5293B7A7" w:rsidR="000D7FDE" w:rsidRDefault="00404043" w:rsidP="000D7FDE">
      <w:pPr>
        <w:pStyle w:val="ListParagraph"/>
        <w:numPr>
          <w:ilvl w:val="3"/>
          <w:numId w:val="1"/>
        </w:numPr>
      </w:pPr>
      <w:r>
        <w:lastRenderedPageBreak/>
        <w:t>Drainage</w:t>
      </w:r>
    </w:p>
    <w:p w14:paraId="441D2AA4" w14:textId="6C2F64C6" w:rsidR="000D7FDE" w:rsidRDefault="00404043" w:rsidP="000D7FDE">
      <w:r>
        <w:t xml:space="preserve">The drainage package in MODFLOW </w:t>
      </w:r>
      <w:r w:rsidR="008F2483">
        <w:t>is designed</w:t>
      </w:r>
      <w:r>
        <w:t xml:space="preserve"> to </w:t>
      </w:r>
      <w:r w:rsidR="008F2483">
        <w:t>simulate the effect of hydrological features that remove water from the groundwater system. (</w:t>
      </w:r>
      <w:r w:rsidR="008F2483">
        <w:rPr>
          <w:rFonts w:eastAsiaTheme="minorEastAsia"/>
        </w:rPr>
        <w:t>Langevin et. al., 2017)</w:t>
      </w:r>
      <w:r w:rsidR="008F2483">
        <w:t xml:space="preserve">. This package is used to simulate surface runoff and piezometric </w:t>
      </w:r>
      <w:r w:rsidR="00D14C77">
        <w:t xml:space="preserve">pipe </w:t>
      </w:r>
      <w:r w:rsidR="008F2483">
        <w:t xml:space="preserve">drainage </w:t>
      </w:r>
      <w:r w:rsidR="00D14C77">
        <w:t>in the</w:t>
      </w:r>
      <w:r w:rsidR="008F2483">
        <w:t xml:space="preserve"> groundwater reservoir in Meijendel-Berkheide. This boundary condition’s dependency on adjacent cell head is shown Figure 10.</w:t>
      </w:r>
    </w:p>
    <w:p w14:paraId="74BD0B41" w14:textId="77777777" w:rsidR="00404043" w:rsidRDefault="00404043" w:rsidP="00404043">
      <w:pPr>
        <w:keepNext/>
        <w:jc w:val="center"/>
      </w:pPr>
      <w:r w:rsidRPr="00404043">
        <w:rPr>
          <w:noProof/>
        </w:rPr>
        <w:drawing>
          <wp:inline distT="0" distB="0" distL="0" distR="0" wp14:anchorId="12231D58" wp14:editId="43D14733">
            <wp:extent cx="3267075" cy="2125567"/>
            <wp:effectExtent l="0" t="0" r="0" b="8255"/>
            <wp:docPr id="21" name="Picture 21" descr="A picture containing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ine, diagram, plot&#10;&#10;Description automatically generated"/>
                    <pic:cNvPicPr/>
                  </pic:nvPicPr>
                  <pic:blipFill>
                    <a:blip r:embed="rId20"/>
                    <a:stretch>
                      <a:fillRect/>
                    </a:stretch>
                  </pic:blipFill>
                  <pic:spPr>
                    <a:xfrm>
                      <a:off x="0" y="0"/>
                      <a:ext cx="3277460" cy="2132324"/>
                    </a:xfrm>
                    <a:prstGeom prst="rect">
                      <a:avLst/>
                    </a:prstGeom>
                  </pic:spPr>
                </pic:pic>
              </a:graphicData>
            </a:graphic>
          </wp:inline>
        </w:drawing>
      </w:r>
    </w:p>
    <w:p w14:paraId="640546C7" w14:textId="6E935600" w:rsidR="00404043" w:rsidRPr="00404043" w:rsidRDefault="00404043" w:rsidP="008F2483">
      <w:pPr>
        <w:pStyle w:val="Caption"/>
        <w:jc w:val="left"/>
      </w:pPr>
      <w:r>
        <w:t xml:space="preserve">Figure </w:t>
      </w:r>
      <w:r>
        <w:fldChar w:fldCharType="begin"/>
      </w:r>
      <w:r>
        <w:instrText xml:space="preserve"> SEQ Figure \* ARABIC </w:instrText>
      </w:r>
      <w:r>
        <w:fldChar w:fldCharType="separate"/>
      </w:r>
      <w:r w:rsidR="00700EC2">
        <w:rPr>
          <w:noProof/>
        </w:rPr>
        <w:t>10</w:t>
      </w:r>
      <w:r>
        <w:fldChar w:fldCharType="end"/>
      </w:r>
      <w:r>
        <w:t xml:space="preserve">: QDRN as a function of head in the adjacent cell. Negative QD denotes flow into the drain, out of the groundwater system (Harbaugh, 2005), </w:t>
      </w:r>
      <w:r>
        <w:rPr>
          <w:rFonts w:eastAsiaTheme="minorEastAsia"/>
        </w:rPr>
        <w:t>(Langevin et. al., 2017)</w:t>
      </w:r>
      <w:r>
        <w:t>.</w:t>
      </w:r>
    </w:p>
    <w:p w14:paraId="54F48849" w14:textId="62CD7A74" w:rsidR="000D7FDE" w:rsidRDefault="000E5583" w:rsidP="000D7FDE">
      <w:pPr>
        <w:pStyle w:val="ListParagraph"/>
        <w:numPr>
          <w:ilvl w:val="3"/>
          <w:numId w:val="1"/>
        </w:numPr>
      </w:pPr>
      <w:commentRangeStart w:id="9"/>
      <w:r>
        <w:t>Canals &amp; Polders</w:t>
      </w:r>
    </w:p>
    <w:p w14:paraId="3E983151" w14:textId="51A13B70" w:rsidR="00462742" w:rsidRDefault="00D14C77" w:rsidP="00462742">
      <w:r>
        <w:t xml:space="preserve">To represent the effect of canals and polders on the groundwater flow in the model, </w:t>
      </w:r>
      <w:r w:rsidR="007E7FA0">
        <w:t xml:space="preserve">the </w:t>
      </w:r>
      <w:r>
        <w:t xml:space="preserve">river package or the </w:t>
      </w:r>
      <w:r w:rsidR="007E7FA0">
        <w:t>G</w:t>
      </w:r>
      <w:r>
        <w:t>ener</w:t>
      </w:r>
      <w:r w:rsidR="007E7FA0">
        <w:t>al Head Boundary</w:t>
      </w:r>
      <w:r>
        <w:t xml:space="preserve"> </w:t>
      </w:r>
      <w:r w:rsidR="007E7FA0">
        <w:t xml:space="preserve">package can be used. </w:t>
      </w:r>
      <w:commentRangeEnd w:id="9"/>
      <w:r w:rsidR="00FC5ECD">
        <w:rPr>
          <w:rStyle w:val="CommentReference"/>
        </w:rPr>
        <w:commentReference w:id="9"/>
      </w:r>
    </w:p>
    <w:p w14:paraId="0D386C8A" w14:textId="0F0C87D1" w:rsidR="00F4662D" w:rsidRDefault="00F4662D">
      <w:pPr>
        <w:jc w:val="left"/>
        <w:rPr>
          <w:rFonts w:ascii="CMU Serif" w:eastAsiaTheme="majorEastAsia" w:hAnsi="CMU Serif" w:cs="CMU Serif"/>
          <w:sz w:val="26"/>
          <w:szCs w:val="26"/>
        </w:rPr>
      </w:pPr>
    </w:p>
    <w:p w14:paraId="052F25F9" w14:textId="0826EF96" w:rsidR="008D1206" w:rsidRDefault="002E00FB" w:rsidP="00462742">
      <w:pPr>
        <w:pStyle w:val="Heading3"/>
      </w:pPr>
      <w:r>
        <w:t>Input</w:t>
      </w:r>
    </w:p>
    <w:p w14:paraId="58C06F0A" w14:textId="25C84505" w:rsidR="00DE4FC2" w:rsidRDefault="002E5174" w:rsidP="00E40BF0">
      <w:r>
        <w:t xml:space="preserve">The model inputs relevant to this study are discussed in this section. Horizontal and vertical hydraulic conductivity </w:t>
      </w:r>
      <w:r w:rsidR="00693538">
        <w:t xml:space="preserve">are parametrized with three data sources: </w:t>
      </w:r>
      <w:r w:rsidR="00693538" w:rsidRPr="00693538">
        <w:rPr>
          <w:highlight w:val="lightGray"/>
        </w:rPr>
        <w:t>REGIS</w:t>
      </w:r>
      <w:r w:rsidR="00693538">
        <w:t xml:space="preserve">, </w:t>
      </w:r>
      <w:proofErr w:type="spellStart"/>
      <w:r w:rsidR="00693538" w:rsidRPr="00693538">
        <w:rPr>
          <w:highlight w:val="lightGray"/>
        </w:rPr>
        <w:t>GeoTOP</w:t>
      </w:r>
      <w:proofErr w:type="spellEnd"/>
      <w:r w:rsidR="00693538">
        <w:t xml:space="preserve">, and the parametrization used for the </w:t>
      </w:r>
      <w:r w:rsidR="00693538" w:rsidRPr="00693538">
        <w:rPr>
          <w:highlight w:val="lightGray"/>
        </w:rPr>
        <w:t>TRIWACO</w:t>
      </w:r>
      <w:r w:rsidR="00693538">
        <w:t xml:space="preserve"> model for Meijendel-Berkheijde using the geometric mean (Bootsma et. al., 2021). The starting salinity of groundwater used for this model </w:t>
      </w:r>
      <w:r w:rsidR="00244CCA">
        <w:t xml:space="preserve">is the regridded (see </w:t>
      </w:r>
      <w:r w:rsidR="00244CCA" w:rsidRPr="00244CCA">
        <w:rPr>
          <w:highlight w:val="lightGray"/>
        </w:rPr>
        <w:t>section 2.3</w:t>
      </w:r>
      <w:r w:rsidR="00244CCA">
        <w:t xml:space="preserve"> for regridding) output salinity of a</w:t>
      </w:r>
      <w:r w:rsidR="00693538">
        <w:t xml:space="preserve"> 100y simulation of the original model, which in turn used a starting </w:t>
      </w:r>
      <w:r w:rsidR="00244CCA">
        <w:t xml:space="preserve">groundwater </w:t>
      </w:r>
      <w:r w:rsidR="00693538">
        <w:t xml:space="preserve">salinity provided by </w:t>
      </w:r>
      <w:r w:rsidR="00693538" w:rsidRPr="00693538">
        <w:rPr>
          <w:highlight w:val="lightGray"/>
        </w:rPr>
        <w:t>TNO</w:t>
      </w:r>
      <w:r w:rsidR="00693538">
        <w:t xml:space="preserve">. This starting salinity is assumed to be steady state under the constant fluxes in the original model. For the starting heads, a series of </w:t>
      </w:r>
      <w:r w:rsidR="00C76DCA">
        <w:t xml:space="preserve">steady state </w:t>
      </w:r>
      <w:r w:rsidR="00693538">
        <w:t>calibration steps</w:t>
      </w:r>
      <w:r w:rsidR="00C76DCA">
        <w:t xml:space="preserve"> were performed </w:t>
      </w:r>
      <w:r w:rsidR="00C76DCA" w:rsidRPr="00C76DCA">
        <w:rPr>
          <w:highlight w:val="lightGray"/>
        </w:rPr>
        <w:t>(see section CALIBRATION)</w:t>
      </w:r>
      <w:r w:rsidR="00C76DCA">
        <w:t xml:space="preserve">. A mean annual precipitation according to </w:t>
      </w:r>
      <w:r w:rsidR="00C76DCA" w:rsidRPr="00C76DCA">
        <w:rPr>
          <w:highlight w:val="lightGray"/>
        </w:rPr>
        <w:t>KNMI</w:t>
      </w:r>
      <w:r w:rsidR="00C76DCA">
        <w:t xml:space="preserve"> is used as an influx on the top cells. The pumping rate from the reservoir, for drinking water is represented in the Well and DRN packages, in accordance with the original model.</w:t>
      </w:r>
      <w:r w:rsidR="003B6B43">
        <w:t xml:space="preserve"> For model calibration and validation, the inputs will be discussed in the respective </w:t>
      </w:r>
      <w:r w:rsidR="003B6B43" w:rsidRPr="003B6B43">
        <w:rPr>
          <w:highlight w:val="lightGray"/>
        </w:rPr>
        <w:t>sections 2.4</w:t>
      </w:r>
      <w:r w:rsidR="003B6B43">
        <w:t xml:space="preserve"> and </w:t>
      </w:r>
      <w:r w:rsidR="003B6B43" w:rsidRPr="003B6B43">
        <w:rPr>
          <w:highlight w:val="lightGray"/>
        </w:rPr>
        <w:t>2.5</w:t>
      </w:r>
      <w:r w:rsidR="003B6B43">
        <w:t>.</w:t>
      </w:r>
      <w:r w:rsidR="0063660E">
        <w:t xml:space="preserve"> </w:t>
      </w:r>
    </w:p>
    <w:p w14:paraId="4E363B9F" w14:textId="77777777" w:rsidR="003B6B43" w:rsidRDefault="003B6B43">
      <w:pPr>
        <w:jc w:val="left"/>
        <w:rPr>
          <w:rFonts w:ascii="CMU Serif" w:eastAsiaTheme="majorEastAsia" w:hAnsi="CMU Serif" w:cs="CMU Serif"/>
          <w:sz w:val="28"/>
          <w:szCs w:val="28"/>
        </w:rPr>
      </w:pPr>
      <w:r>
        <w:br w:type="page"/>
      </w:r>
    </w:p>
    <w:p w14:paraId="7DB39F50" w14:textId="6EC31CD6" w:rsidR="00E12AF8" w:rsidRDefault="00462742" w:rsidP="00E12AF8">
      <w:pPr>
        <w:pStyle w:val="Heading2"/>
      </w:pPr>
      <w:r>
        <w:lastRenderedPageBreak/>
        <w:t>Regridding</w:t>
      </w:r>
    </w:p>
    <w:p w14:paraId="059887FA" w14:textId="4F8AF093" w:rsidR="00F727D7" w:rsidRDefault="00B4160F" w:rsidP="00693538">
      <w:r>
        <w:t>Increasing efficiency of a model by decreasing calculation time is one of the main subjects of this study.</w:t>
      </w:r>
      <w:r w:rsidR="00CB5692">
        <w:t xml:space="preserve"> Decreasing the number of equations to be solved in the system of equations may be an effective approach. By increasing cell sizes, but maintaining the same model domain, the number of cells for which </w:t>
      </w:r>
      <w:r w:rsidR="00CB5692" w:rsidRPr="00CB5692">
        <w:rPr>
          <w:highlight w:val="lightGray"/>
        </w:rPr>
        <w:t>EQUATION</w:t>
      </w:r>
      <w:r w:rsidR="00CB5692">
        <w:t xml:space="preserve"> needs to be solved decreases, thereby reducing the calculation times. </w:t>
      </w:r>
    </w:p>
    <w:p w14:paraId="4B049EDB" w14:textId="703BFE77" w:rsidR="00F727D7" w:rsidRDefault="00FA15F0" w:rsidP="00F727D7">
      <w:pPr>
        <w:keepNext/>
        <w:jc w:val="center"/>
      </w:pPr>
      <w:r>
        <w:rPr>
          <w:noProof/>
        </w:rPr>
        <w:drawing>
          <wp:inline distT="0" distB="0" distL="0" distR="0" wp14:anchorId="489E093A" wp14:editId="7A975552">
            <wp:extent cx="4711862" cy="1667372"/>
            <wp:effectExtent l="0" t="0" r="0" b="9525"/>
            <wp:docPr id="20" name="Picture 20" descr="A picture containing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creenshot, rectang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46298" cy="1679558"/>
                    </a:xfrm>
                    <a:prstGeom prst="rect">
                      <a:avLst/>
                    </a:prstGeom>
                  </pic:spPr>
                </pic:pic>
              </a:graphicData>
            </a:graphic>
          </wp:inline>
        </w:drawing>
      </w:r>
    </w:p>
    <w:p w14:paraId="6C22700A" w14:textId="182558D3" w:rsidR="00F727D7" w:rsidRDefault="00F727D7" w:rsidP="00F727D7">
      <w:pPr>
        <w:pStyle w:val="Caption"/>
        <w:jc w:val="center"/>
      </w:pPr>
      <w:r>
        <w:t xml:space="preserve">Figure </w:t>
      </w:r>
      <w:r>
        <w:fldChar w:fldCharType="begin"/>
      </w:r>
      <w:r>
        <w:instrText xml:space="preserve"> SEQ Figure \* ARABIC </w:instrText>
      </w:r>
      <w:r>
        <w:fldChar w:fldCharType="separate"/>
      </w:r>
      <w:r w:rsidR="00700EC2">
        <w:rPr>
          <w:noProof/>
        </w:rPr>
        <w:t>11</w:t>
      </w:r>
      <w:r>
        <w:fldChar w:fldCharType="end"/>
      </w:r>
      <w:r>
        <w:t xml:space="preserve">: </w:t>
      </w:r>
      <w:r w:rsidR="00CD0010">
        <w:t>Diagram showing regridding process: u</w:t>
      </w:r>
      <w:r w:rsidR="00036C08">
        <w:t>pscaling cell dimensions</w:t>
      </w:r>
      <w:r w:rsidR="00FA15F0">
        <w:t xml:space="preserve"> &amp; hydraulic conductivities</w:t>
      </w:r>
    </w:p>
    <w:p w14:paraId="016ECCC6" w14:textId="77777777" w:rsidR="005A7308" w:rsidRDefault="00F727D7" w:rsidP="00B4160F">
      <w:r>
        <w:t xml:space="preserve">As shown in Figure 10, </w:t>
      </w:r>
      <w:r w:rsidR="00036C08">
        <w:t xml:space="preserve">regridding to a larger cell size changes the cell volume. When regridding, hydraulic conductivities, governing intercell groundwater flow, should also be accounted for. In the </w:t>
      </w:r>
      <w:r w:rsidR="00CD0010">
        <w:t>case</w:t>
      </w:r>
      <w:r w:rsidR="00036C08">
        <w:t xml:space="preserve"> of Figure 10, replacing 9 cell parameters with one cell parameter </w:t>
      </w:r>
      <w:r w:rsidR="00CD0010">
        <w:t xml:space="preserve">reduces 9 groundwater flow differential equations to be replaced by one. </w:t>
      </w:r>
    </w:p>
    <w:p w14:paraId="6AFF94CD" w14:textId="13D806BC" w:rsidR="005A7308" w:rsidRPr="005A7308" w:rsidRDefault="00000000" w:rsidP="005A7308">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re</m:t>
                  </m:r>
                </m:sub>
              </m:sSub>
            </m:e>
          </m:nary>
          <m:r>
            <w:rPr>
              <w:rFonts w:ascii="Cambria Math" w:eastAsiaTheme="minorEastAsia" w:hAnsi="Cambria Math"/>
            </w:rPr>
            <m:t>,</m:t>
          </m:r>
        </m:oMath>
      </m:oMathPara>
    </w:p>
    <w:p w14:paraId="0096530B" w14:textId="01805956" w:rsidR="005A7308" w:rsidRDefault="005A7308" w:rsidP="00B4160F">
      <w:r>
        <w:t xml:space="preserve">Where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eastAsiaTheme="minorEastAsia"/>
        </w:rPr>
        <w:t xml:space="preserve"> represents individual cell flows in the initial cell discretization (L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and </w:t>
      </w:r>
      <m:oMath>
        <m:sSub>
          <m:sSubPr>
            <m:ctrlPr>
              <w:rPr>
                <w:rFonts w:ascii="Cambria Math" w:hAnsi="Cambria Math"/>
                <w:i/>
              </w:rPr>
            </m:ctrlPr>
          </m:sSubPr>
          <m:e>
            <m:r>
              <w:rPr>
                <w:rFonts w:ascii="Cambria Math" w:hAnsi="Cambria Math"/>
              </w:rPr>
              <m:t>Q</m:t>
            </m:r>
          </m:e>
          <m:sub>
            <m:r>
              <w:rPr>
                <w:rFonts w:ascii="Cambria Math" w:hAnsi="Cambria Math"/>
              </w:rPr>
              <m:t>re</m:t>
            </m:r>
          </m:sub>
        </m:sSub>
      </m:oMath>
      <w:r>
        <w:rPr>
          <w:rFonts w:eastAsiaTheme="minorEastAsia"/>
        </w:rPr>
        <w:t xml:space="preserve"> represents </w:t>
      </w:r>
      <w:r w:rsidR="00745BC5">
        <w:rPr>
          <w:rFonts w:eastAsiaTheme="minorEastAsia"/>
        </w:rPr>
        <w:t>flow through the replacing</w:t>
      </w:r>
      <w:r>
        <w:rPr>
          <w:rFonts w:eastAsiaTheme="minorEastAsia"/>
        </w:rPr>
        <w:t xml:space="preserve"> regridded </w:t>
      </w:r>
      <w:r w:rsidR="00745BC5">
        <w:rPr>
          <w:rFonts w:eastAsiaTheme="minorEastAsia"/>
        </w:rPr>
        <w:t xml:space="preserve">cell </w:t>
      </w:r>
      <w:r>
        <w:rPr>
          <w:rFonts w:eastAsiaTheme="minorEastAsia"/>
        </w:rPr>
        <w:t>(L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w:t>
      </w:r>
      <w:r w:rsidR="00745BC5">
        <w:rPr>
          <w:rFonts w:eastAsiaTheme="minorEastAsia"/>
        </w:rPr>
        <w:t>To increase efficiency, whilst retaining accuracy, t</w:t>
      </w:r>
      <w:r>
        <w:rPr>
          <w:rFonts w:eastAsiaTheme="minorEastAsia"/>
        </w:rPr>
        <w:t xml:space="preserve">he regridded flow should be equal to the </w:t>
      </w:r>
      <w:r w:rsidR="00C926C6">
        <w:rPr>
          <w:rFonts w:eastAsiaTheme="minorEastAsia"/>
        </w:rPr>
        <w:t xml:space="preserve">initial flow when the hydraulic head </w:t>
      </w:r>
      <w:r w:rsidR="00C926C6" w:rsidRPr="00E74289">
        <w:rPr>
          <w:rFonts w:eastAsiaTheme="minorEastAsia"/>
          <w:highlight w:val="lightGray"/>
        </w:rPr>
        <w:t>gradient</w:t>
      </w:r>
      <w:r w:rsidR="00C926C6">
        <w:rPr>
          <w:rFonts w:eastAsiaTheme="minorEastAsia"/>
        </w:rPr>
        <w:t xml:space="preserve"> is constant. The </w:t>
      </w:r>
      <w:r>
        <w:t xml:space="preserve">relation that should be satisfied becomes: </w:t>
      </w:r>
    </w:p>
    <w:p w14:paraId="1874E9B5" w14:textId="740BC597" w:rsidR="00CD0010" w:rsidRDefault="00C926C6" w:rsidP="00B4160F">
      <m:oMathPara>
        <m:oMath>
          <m:r>
            <m:rPr>
              <m:sty m:val="p"/>
            </m:rPr>
            <w:rPr>
              <w:rFonts w:ascii="Cambria Math" w:hAnsi="Cambria Math"/>
            </w:rPr>
            <m:t>∇</m:t>
          </m:r>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m:t>
              </m:r>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re</m:t>
                  </m:r>
                </m:sub>
              </m:sSub>
            </m:e>
          </m:nary>
        </m:oMath>
      </m:oMathPara>
    </w:p>
    <w:p w14:paraId="521588CC" w14:textId="49190AC2" w:rsidR="00CD0010" w:rsidRDefault="00C926C6" w:rsidP="00B4160F">
      <w:r>
        <w:t xml:space="preserve">Rearranging gives: </w:t>
      </w:r>
    </w:p>
    <w:p w14:paraId="2381C31A" w14:textId="4766206E" w:rsidR="00C926C6" w:rsidRDefault="00000000" w:rsidP="00C926C6">
      <m:oMathPara>
        <m:oMath>
          <m:sSub>
            <m:sSubPr>
              <m:ctrlPr>
                <w:rPr>
                  <w:rFonts w:ascii="Cambria Math" w:hAnsi="Cambria Math"/>
                  <w:i/>
                </w:rPr>
              </m:ctrlPr>
            </m:sSubPr>
            <m:e>
              <m:r>
                <w:rPr>
                  <w:rFonts w:ascii="Cambria Math" w:hAnsi="Cambria Math"/>
                </w:rPr>
                <m:t>k</m:t>
              </m:r>
            </m:e>
            <m:sub>
              <m:r>
                <w:rPr>
                  <w:rFonts w:ascii="Cambria Math" w:hAnsi="Cambria Math"/>
                </w:rPr>
                <m:t>re</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13F6B1CA" w14:textId="1946EB85" w:rsidR="00CA3C5A" w:rsidRDefault="00C926C6" w:rsidP="00C926C6">
      <w:r>
        <w:t>In the case described above, the regridded hydraulic conductivity should be the sum of all hydraulic conductivities it replaces, to represent the same flow of groundwater.</w:t>
      </w:r>
      <w:r w:rsidR="00693538">
        <w:t xml:space="preserve"> A geometric mean is the most robust method to rescale hydraulic conductivities (Bootsma et. al., 2021)</w:t>
      </w:r>
      <w:r w:rsidR="00CA4B64">
        <w:t xml:space="preserve">. </w:t>
      </w:r>
      <w:r w:rsidR="00CA4B64">
        <w:t xml:space="preserve">As the number of cells decrease, the model becomes a more simplified representation of a physical process, which may come along with the risk of losing accuracy. The effect of horizontal cell size on model </w:t>
      </w:r>
      <w:r w:rsidR="00DF6290">
        <w:t>calculation times</w:t>
      </w:r>
      <w:r w:rsidR="00CA4B64">
        <w:t xml:space="preserve"> is investigated</w:t>
      </w:r>
      <w:r w:rsidR="00DF6290">
        <w:t xml:space="preserve"> (by changing from a cell size of 25m for the OM to 250m for the MM)</w:t>
      </w:r>
      <w:r w:rsidR="00CA4B64">
        <w:t xml:space="preserve"> but changing the vertical cell size and using variable horizontal cell size throughout the domain are outside the scope of this study.</w:t>
      </w:r>
    </w:p>
    <w:p w14:paraId="2A9B3508" w14:textId="7850D879" w:rsidR="00CA3C5A" w:rsidRDefault="00545E43" w:rsidP="00E40BF0">
      <w:pPr>
        <w:pStyle w:val="Heading2"/>
      </w:pPr>
      <w:commentRangeStart w:id="10"/>
      <w:r>
        <w:lastRenderedPageBreak/>
        <w:t>Model calibration</w:t>
      </w:r>
      <w:commentRangeEnd w:id="10"/>
      <w:r w:rsidR="00442414">
        <w:rPr>
          <w:rStyle w:val="CommentReference"/>
          <w:rFonts w:ascii="CMU Concrete" w:eastAsiaTheme="minorHAnsi" w:hAnsi="CMU Concrete" w:cs="CMU Concrete"/>
        </w:rPr>
        <w:commentReference w:id="10"/>
      </w:r>
    </w:p>
    <w:p w14:paraId="508D81F5" w14:textId="2690E6DB" w:rsidR="00C03618" w:rsidRDefault="00C03618" w:rsidP="00C03618">
      <w:pPr>
        <w:tabs>
          <w:tab w:val="left" w:pos="6030"/>
        </w:tabs>
      </w:pPr>
      <w:r>
        <w:t>As stated in (</w:t>
      </w:r>
      <w:r w:rsidRPr="00C03618">
        <w:rPr>
          <w:highlight w:val="lightGray"/>
        </w:rPr>
        <w:t>Section 2.1.1. Metamodeling approach</w:t>
      </w:r>
      <w:r>
        <w:t xml:space="preserve">), the metamodel is calibrated to the original model. This is an iterative process, a feedback loop between data for calibration (output and input of the original model) and the metamodel (See </w:t>
      </w:r>
      <w:r w:rsidRPr="00C03618">
        <w:rPr>
          <w:highlight w:val="lightGray"/>
        </w:rPr>
        <w:t>Figure 4</w:t>
      </w:r>
      <w:r>
        <w:t xml:space="preserve">). </w:t>
      </w:r>
      <w:r w:rsidR="00862B55">
        <w:t>Referring to the conceptual modeling approach (</w:t>
      </w:r>
      <w:r w:rsidR="00862B55" w:rsidRPr="00862B55">
        <w:rPr>
          <w:highlight w:val="lightGray"/>
        </w:rPr>
        <w:t>Section 2.1</w:t>
      </w:r>
      <w:r w:rsidR="00862B55">
        <w:t xml:space="preserve">), </w:t>
      </w:r>
      <w:r w:rsidR="00CA4B64">
        <w:t xml:space="preserve">this </w:t>
      </w:r>
      <w:r w:rsidR="00862B55">
        <w:t xml:space="preserve">process focuses on model </w:t>
      </w:r>
      <w:r w:rsidR="00862B55" w:rsidRPr="00862B55">
        <w:rPr>
          <w:i/>
          <w:iCs/>
        </w:rPr>
        <w:t>accuracy</w:t>
      </w:r>
      <w:r w:rsidR="00862B55">
        <w:t xml:space="preserve"> of the metamodel. </w:t>
      </w:r>
      <w:r w:rsidR="00E74289">
        <w:t>The input and outputs of both models is compared, the discrepancy is analyzed, then changes are made to improve accuracy, and then the model is run again</w:t>
      </w:r>
      <w:r w:rsidR="00862B55">
        <w:t xml:space="preserve">, see </w:t>
      </w:r>
      <w:r w:rsidR="00862B55" w:rsidRPr="00862B55">
        <w:rPr>
          <w:highlight w:val="lightGray"/>
        </w:rPr>
        <w:t>Figure 12</w:t>
      </w:r>
      <w:r w:rsidR="00862B55">
        <w:t>.</w:t>
      </w:r>
    </w:p>
    <w:p w14:paraId="516CCEBD" w14:textId="3EC5B90F" w:rsidR="00862B55" w:rsidRDefault="002F219A" w:rsidP="00862B55">
      <w:pPr>
        <w:keepNext/>
        <w:tabs>
          <w:tab w:val="left" w:pos="6030"/>
        </w:tabs>
        <w:jc w:val="center"/>
      </w:pPr>
      <w:r w:rsidRPr="002F219A">
        <w:rPr>
          <w:noProof/>
        </w:rPr>
        <w:drawing>
          <wp:inline distT="0" distB="0" distL="0" distR="0" wp14:anchorId="425958C7" wp14:editId="559B9D30">
            <wp:extent cx="2590800" cy="2892764"/>
            <wp:effectExtent l="0" t="0" r="0" b="3175"/>
            <wp:docPr id="8" name="Picture 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 rectangle&#10;&#10;Description automatically generated"/>
                    <pic:cNvPicPr/>
                  </pic:nvPicPr>
                  <pic:blipFill>
                    <a:blip r:embed="rId22"/>
                    <a:stretch>
                      <a:fillRect/>
                    </a:stretch>
                  </pic:blipFill>
                  <pic:spPr>
                    <a:xfrm>
                      <a:off x="0" y="0"/>
                      <a:ext cx="2595666" cy="2898197"/>
                    </a:xfrm>
                    <a:prstGeom prst="rect">
                      <a:avLst/>
                    </a:prstGeom>
                  </pic:spPr>
                </pic:pic>
              </a:graphicData>
            </a:graphic>
          </wp:inline>
        </w:drawing>
      </w:r>
      <w:r>
        <w:rPr>
          <w:noProof/>
        </w:rPr>
        <w:t xml:space="preserve"> </w:t>
      </w:r>
    </w:p>
    <w:p w14:paraId="48663275" w14:textId="249B113B" w:rsidR="00862B55" w:rsidRDefault="00862B55" w:rsidP="00862B55">
      <w:pPr>
        <w:pStyle w:val="Caption"/>
        <w:jc w:val="center"/>
      </w:pPr>
      <w:r>
        <w:t xml:space="preserve">Figure </w:t>
      </w:r>
      <w:r>
        <w:fldChar w:fldCharType="begin"/>
      </w:r>
      <w:r>
        <w:instrText xml:space="preserve"> SEQ Figure \* ARABIC </w:instrText>
      </w:r>
      <w:r>
        <w:fldChar w:fldCharType="separate"/>
      </w:r>
      <w:r w:rsidR="00700EC2">
        <w:rPr>
          <w:noProof/>
        </w:rPr>
        <w:t>12</w:t>
      </w:r>
      <w:r>
        <w:fldChar w:fldCharType="end"/>
      </w:r>
      <w:r>
        <w:t>: Model calibration. MM = Metamodel, OM = Original model</w:t>
      </w:r>
    </w:p>
    <w:p w14:paraId="559FE783" w14:textId="5559A03E" w:rsidR="004B04CC" w:rsidRDefault="009F272A" w:rsidP="004B04CC">
      <w:pPr>
        <w:tabs>
          <w:tab w:val="left" w:pos="6030"/>
        </w:tabs>
      </w:pPr>
      <w:r>
        <w:t>T</w:t>
      </w:r>
      <w:r w:rsidR="00862B55">
        <w:t>he discrepancies of the metamodel</w:t>
      </w:r>
      <w:r>
        <w:t xml:space="preserve"> are analyzed by a comparison between</w:t>
      </w:r>
      <w:r w:rsidR="00862B55">
        <w:t xml:space="preserve"> the water balances, </w:t>
      </w:r>
      <w:r>
        <w:t xml:space="preserve">the </w:t>
      </w:r>
      <w:r w:rsidR="00862B55">
        <w:t xml:space="preserve">groundwater </w:t>
      </w:r>
      <w:r>
        <w:t>salinity</w:t>
      </w:r>
      <w:r w:rsidR="004D1D98">
        <w:t xml:space="preserve"> (concentration of Cl</w:t>
      </w:r>
      <w:r w:rsidR="004D1D98" w:rsidRPr="004D1D98">
        <w:rPr>
          <w:vertAlign w:val="superscript"/>
        </w:rPr>
        <w:t>-</w:t>
      </w:r>
      <w:r w:rsidR="004D1D98">
        <w:t xml:space="preserve">, see </w:t>
      </w:r>
      <w:r w:rsidR="004D1D98" w:rsidRPr="004D1D98">
        <w:rPr>
          <w:highlight w:val="lightGray"/>
        </w:rPr>
        <w:t>Section 2.2.4</w:t>
      </w:r>
      <w:r w:rsidR="004D1D98">
        <w:t>)</w:t>
      </w:r>
      <w:r>
        <w:t>,</w:t>
      </w:r>
      <w:r w:rsidR="00862B55">
        <w:t xml:space="preserve"> and </w:t>
      </w:r>
      <w:r>
        <w:t xml:space="preserve">the </w:t>
      </w:r>
      <w:r w:rsidR="00862B55">
        <w:t>hydraulic heads.</w:t>
      </w:r>
      <w:r>
        <w:t xml:space="preserve"> These model outputs are compared in a series of cross sections perpendicular to the coastline, along with an analysis of discrepancy between the two models, expressed as errors and presented statistically and spatially. </w:t>
      </w:r>
      <w:r w:rsidR="00CA4B64">
        <w:t xml:space="preserve">These cross sections serve to investigate the function of the metamodel to represent the output of the original model on a global scale. Comparing hydraulic head distributions gives insight in flow of groundwater through the entire domain, which must also be represented by the metamodel. </w:t>
      </w:r>
      <w:r>
        <w:t xml:space="preserve">The extent of the cross sections is shown in </w:t>
      </w:r>
      <w:r w:rsidRPr="009F272A">
        <w:rPr>
          <w:highlight w:val="lightGray"/>
        </w:rPr>
        <w:t>Figure 13</w:t>
      </w:r>
    </w:p>
    <w:p w14:paraId="0EFBF61F" w14:textId="7281703E" w:rsidR="009F272A" w:rsidRDefault="009F272A" w:rsidP="004B04CC">
      <w:pPr>
        <w:tabs>
          <w:tab w:val="left" w:pos="6030"/>
        </w:tabs>
        <w:jc w:val="center"/>
      </w:pPr>
      <w:r w:rsidRPr="009F272A">
        <w:rPr>
          <w:noProof/>
        </w:rPr>
        <w:lastRenderedPageBreak/>
        <w:drawing>
          <wp:inline distT="0" distB="0" distL="0" distR="0" wp14:anchorId="177FB7A6" wp14:editId="598FAFBC">
            <wp:extent cx="2762250" cy="2543320"/>
            <wp:effectExtent l="0" t="0" r="0" b="9525"/>
            <wp:docPr id="24" name="Picture 24"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map of a city&#10;&#10;Description automatically generated with medium confidence"/>
                    <pic:cNvPicPr/>
                  </pic:nvPicPr>
                  <pic:blipFill>
                    <a:blip r:embed="rId23"/>
                    <a:stretch>
                      <a:fillRect/>
                    </a:stretch>
                  </pic:blipFill>
                  <pic:spPr>
                    <a:xfrm>
                      <a:off x="0" y="0"/>
                      <a:ext cx="2772060" cy="2552353"/>
                    </a:xfrm>
                    <a:prstGeom prst="rect">
                      <a:avLst/>
                    </a:prstGeom>
                  </pic:spPr>
                </pic:pic>
              </a:graphicData>
            </a:graphic>
          </wp:inline>
        </w:drawing>
      </w:r>
    </w:p>
    <w:p w14:paraId="58954405" w14:textId="7A3F20F0" w:rsidR="009F272A" w:rsidRPr="009F272A" w:rsidRDefault="009F272A" w:rsidP="004D1D98">
      <w:pPr>
        <w:pStyle w:val="Caption"/>
        <w:jc w:val="center"/>
      </w:pPr>
      <w:r>
        <w:t xml:space="preserve">Figure </w:t>
      </w:r>
      <w:r>
        <w:fldChar w:fldCharType="begin"/>
      </w:r>
      <w:r>
        <w:instrText xml:space="preserve"> SEQ Figure \* ARABIC </w:instrText>
      </w:r>
      <w:r>
        <w:fldChar w:fldCharType="separate"/>
      </w:r>
      <w:r w:rsidR="00700EC2">
        <w:rPr>
          <w:noProof/>
        </w:rPr>
        <w:t>13</w:t>
      </w:r>
      <w:r>
        <w:fldChar w:fldCharType="end"/>
      </w:r>
      <w:r>
        <w:t xml:space="preserve">: Extent of cross sections over the </w:t>
      </w:r>
      <w:commentRangeStart w:id="11"/>
      <w:r>
        <w:t>study</w:t>
      </w:r>
      <w:commentRangeEnd w:id="11"/>
      <w:r w:rsidR="004D1D98">
        <w:rPr>
          <w:rStyle w:val="CommentReference"/>
          <w:i w:val="0"/>
          <w:iCs w:val="0"/>
          <w:color w:val="auto"/>
        </w:rPr>
        <w:commentReference w:id="11"/>
      </w:r>
      <w:r>
        <w:t xml:space="preserve"> area</w:t>
      </w:r>
    </w:p>
    <w:p w14:paraId="57281AC2" w14:textId="670561C2" w:rsidR="00E40BF0" w:rsidRDefault="00110A1E" w:rsidP="00442414">
      <w:pPr>
        <w:tabs>
          <w:tab w:val="left" w:pos="6030"/>
        </w:tabs>
      </w:pPr>
      <w:r>
        <w:t xml:space="preserve">On a smaller scale, metamodel calibration is done by comparing water balances for the study area. </w:t>
      </w:r>
      <w:r w:rsidR="004D1D98">
        <w:t xml:space="preserve">After regridding to a different horizontal cell size, the conductance </w:t>
      </w:r>
      <w:r>
        <w:t>of the</w:t>
      </w:r>
      <w:r w:rsidR="004D1D98">
        <w:t xml:space="preserve"> infiltration ponds</w:t>
      </w:r>
      <w:r>
        <w:t xml:space="preserve"> (see </w:t>
      </w:r>
      <w:r w:rsidRPr="00110A1E">
        <w:rPr>
          <w:highlight w:val="lightGray"/>
        </w:rPr>
        <w:t>Section 2.2</w:t>
      </w:r>
      <w:r>
        <w:t>)</w:t>
      </w:r>
      <w:r w:rsidR="004D1D98">
        <w:t xml:space="preserve"> </w:t>
      </w:r>
      <w:r>
        <w:t xml:space="preserve">is calibrated </w:t>
      </w:r>
      <w:r w:rsidR="004D1D98">
        <w:t>to</w:t>
      </w:r>
      <w:r>
        <w:t xml:space="preserve"> match</w:t>
      </w:r>
      <w:r w:rsidR="004D1D98">
        <w:t xml:space="preserve"> the water balance</w:t>
      </w:r>
      <w:r>
        <w:t>s</w:t>
      </w:r>
      <w:r w:rsidR="004D1D98">
        <w:t xml:space="preserve"> of the study area</w:t>
      </w:r>
      <w:r w:rsidR="00442414">
        <w:t>.</w:t>
      </w:r>
      <w:r>
        <w:t xml:space="preserve"> </w:t>
      </w:r>
      <w:r w:rsidR="00244CCA">
        <w:t xml:space="preserve">Calibration on water balance is done by running steady state simulations in the metamodel and comparing to steady state outputs of the original state-of-the-art model. </w:t>
      </w:r>
      <w:r>
        <w:t>Another method used to compare modeled groundwater flow in the study area is the use of Flow Lower Face budgets</w:t>
      </w:r>
      <w:r w:rsidR="00C55F16">
        <w:t xml:space="preserve"> (see </w:t>
      </w:r>
      <w:r w:rsidR="00C55F16" w:rsidRPr="00C55F16">
        <w:rPr>
          <w:highlight w:val="lightGray"/>
        </w:rPr>
        <w:t>Figure 13</w:t>
      </w:r>
      <w:r w:rsidR="00C55F16">
        <w:t>)</w:t>
      </w:r>
      <w:r w:rsidR="00CF5ECF">
        <w:t xml:space="preserve">. In MODFLOW, these </w:t>
      </w:r>
      <w:r w:rsidR="002F219A">
        <w:t>define the vertical flow in or out of a cell through its lower face, where the convention is that upward flow into the cell is positive, and downward flow out of the cell is negative</w:t>
      </w:r>
      <w:r w:rsidR="00C55F16">
        <w:t>.</w:t>
      </w:r>
      <w:r w:rsidR="002F219A">
        <w:t xml:space="preserve"> </w:t>
      </w:r>
    </w:p>
    <w:p w14:paraId="09CA9A2A" w14:textId="77777777" w:rsidR="00C55F16" w:rsidRDefault="00C55F16" w:rsidP="00C55F16">
      <w:pPr>
        <w:keepNext/>
        <w:tabs>
          <w:tab w:val="left" w:pos="6030"/>
        </w:tabs>
        <w:jc w:val="center"/>
      </w:pPr>
      <w:r>
        <w:rPr>
          <w:noProof/>
        </w:rPr>
        <w:drawing>
          <wp:inline distT="0" distB="0" distL="0" distR="0" wp14:anchorId="51F54741" wp14:editId="3FACA9D9">
            <wp:extent cx="1590675" cy="2343150"/>
            <wp:effectExtent l="0" t="0" r="0" b="0"/>
            <wp:docPr id="9" name="Picture 9" descr="A picture containing symbol, rectang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ymbol, rectangle, black and wh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90675" cy="2343150"/>
                    </a:xfrm>
                    <a:prstGeom prst="rect">
                      <a:avLst/>
                    </a:prstGeom>
                  </pic:spPr>
                </pic:pic>
              </a:graphicData>
            </a:graphic>
          </wp:inline>
        </w:drawing>
      </w:r>
    </w:p>
    <w:p w14:paraId="27A0D927" w14:textId="61F3ABCE" w:rsidR="00CF5ECF" w:rsidRDefault="00C55F16" w:rsidP="00C55F16">
      <w:pPr>
        <w:pStyle w:val="Caption"/>
        <w:jc w:val="center"/>
      </w:pPr>
      <w:r>
        <w:t xml:space="preserve">Figure </w:t>
      </w:r>
      <w:r>
        <w:fldChar w:fldCharType="begin"/>
      </w:r>
      <w:r>
        <w:instrText xml:space="preserve"> SEQ Figure \* ARABIC </w:instrText>
      </w:r>
      <w:r>
        <w:fldChar w:fldCharType="separate"/>
      </w:r>
      <w:r w:rsidR="00700EC2">
        <w:rPr>
          <w:noProof/>
        </w:rPr>
        <w:t>14</w:t>
      </w:r>
      <w:r>
        <w:fldChar w:fldCharType="end"/>
      </w:r>
      <w:r>
        <w:t>: Flow Lower Face</w:t>
      </w:r>
      <w:r w:rsidR="00DF6290">
        <w:t xml:space="preserve"> of a cell, side view. </w:t>
      </w:r>
    </w:p>
    <w:p w14:paraId="19434C9C" w14:textId="4CBEA4EF" w:rsidR="00FA1F9D" w:rsidRDefault="003B6B43">
      <w:pPr>
        <w:jc w:val="left"/>
        <w:rPr>
          <w:rFonts w:ascii="CMU Serif" w:eastAsiaTheme="majorEastAsia" w:hAnsi="CMU Serif" w:cs="CMU Serif"/>
          <w:sz w:val="28"/>
          <w:szCs w:val="28"/>
        </w:rPr>
      </w:pPr>
      <w:r>
        <w:t xml:space="preserve">For model calibration, the simulation time (39 years), starting concentration groundwater salinity and starting hydraulic heads are matched with the original model (after regridding, see </w:t>
      </w:r>
      <w:r w:rsidRPr="003B6B43">
        <w:rPr>
          <w:highlight w:val="lightGray"/>
        </w:rPr>
        <w:t>section 2.3</w:t>
      </w:r>
      <w:r>
        <w:t xml:space="preserve">, to analyze the discrepancies. </w:t>
      </w:r>
      <w:r w:rsidR="00FA1F9D">
        <w:br w:type="page"/>
      </w:r>
    </w:p>
    <w:p w14:paraId="7FB8C736" w14:textId="49171183" w:rsidR="00ED42A7" w:rsidRDefault="00ED42A7" w:rsidP="00E40BF0">
      <w:pPr>
        <w:pStyle w:val="Heading2"/>
      </w:pPr>
      <w:commentRangeStart w:id="12"/>
      <w:r>
        <w:lastRenderedPageBreak/>
        <w:t>Model validation</w:t>
      </w:r>
      <w:commentRangeEnd w:id="12"/>
      <w:r w:rsidR="00D91C8F">
        <w:rPr>
          <w:rStyle w:val="CommentReference"/>
          <w:rFonts w:ascii="CMU Concrete" w:eastAsiaTheme="minorHAnsi" w:hAnsi="CMU Concrete" w:cs="CMU Concrete"/>
        </w:rPr>
        <w:commentReference w:id="12"/>
      </w:r>
    </w:p>
    <w:p w14:paraId="1507A596" w14:textId="0D0F6044" w:rsidR="008B5AE6" w:rsidRPr="008B5AE6" w:rsidRDefault="008B5AE6" w:rsidP="008B5AE6">
      <w:pPr>
        <w:pStyle w:val="Heading3"/>
      </w:pPr>
      <w:r>
        <w:t>HyFA</w:t>
      </w:r>
    </w:p>
    <w:p w14:paraId="0557BDFB" w14:textId="35A53B51" w:rsidR="00DE384A" w:rsidRDefault="00DE384A" w:rsidP="00DE384A">
      <w:r>
        <w:t xml:space="preserve">After the metamodel has been motivated to be sufficiently efficient and accurate, new data can be introduced to </w:t>
      </w:r>
      <w:r w:rsidR="005A0B17">
        <w:t xml:space="preserve">assess conventional model </w:t>
      </w:r>
      <w:r>
        <w:t>validat</w:t>
      </w:r>
      <w:r w:rsidR="005A0B17">
        <w:t>ion</w:t>
      </w:r>
      <w:r>
        <w:t xml:space="preserve"> </w:t>
      </w:r>
      <w:r w:rsidR="005A0B17">
        <w:t xml:space="preserve">techniques. </w:t>
      </w:r>
      <w:r>
        <w:t xml:space="preserve">The original state-of-the-art model for the fresh-saline groundwater distribution of Meijendel-Berkheijde has not been calibrated on groundwater salinity, although it incorporates variable density flow. As </w:t>
      </w:r>
      <w:r w:rsidR="005A0B17">
        <w:t>mentioned</w:t>
      </w:r>
      <w:r>
        <w:t xml:space="preserve"> in </w:t>
      </w:r>
      <w:r w:rsidRPr="00C03618">
        <w:rPr>
          <w:highlight w:val="lightGray"/>
        </w:rPr>
        <w:t>section 1.2</w:t>
      </w:r>
      <w:r>
        <w:t xml:space="preserve">, the HyFA provides insight in the “path” that groundwater particles travel through the soil. In his study, (Stuyfzand, 1993) analyzed over 2000 samples obtained from boreholes along the coastline of the Netherlands. By sampling different depths per borehole, he </w:t>
      </w:r>
      <w:r w:rsidR="00683E61">
        <w:t>could visualize</w:t>
      </w:r>
      <w:r>
        <w:t xml:space="preserve"> the origin of various groundwater regions by their chemical composition</w:t>
      </w:r>
      <w:r w:rsidR="00CA4B64">
        <w:t>.</w:t>
      </w:r>
      <w:r>
        <w:t xml:space="preserve"> </w:t>
      </w:r>
    </w:p>
    <w:p w14:paraId="14609CAC" w14:textId="77777777" w:rsidR="00E332B5" w:rsidRDefault="00E332B5" w:rsidP="00E332B5">
      <w:pPr>
        <w:keepNext/>
        <w:jc w:val="center"/>
      </w:pPr>
      <w:r w:rsidRPr="00E332B5">
        <w:rPr>
          <w:noProof/>
        </w:rPr>
        <w:drawing>
          <wp:inline distT="0" distB="0" distL="0" distR="0" wp14:anchorId="0B82E552" wp14:editId="64443932">
            <wp:extent cx="5731510" cy="3738880"/>
            <wp:effectExtent l="0" t="0" r="2540" b="0"/>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ap&#10;&#10;Description automatically generated"/>
                    <pic:cNvPicPr/>
                  </pic:nvPicPr>
                  <pic:blipFill>
                    <a:blip r:embed="rId25"/>
                    <a:stretch>
                      <a:fillRect/>
                    </a:stretch>
                  </pic:blipFill>
                  <pic:spPr>
                    <a:xfrm>
                      <a:off x="0" y="0"/>
                      <a:ext cx="5731510" cy="3738880"/>
                    </a:xfrm>
                    <a:prstGeom prst="rect">
                      <a:avLst/>
                    </a:prstGeom>
                  </pic:spPr>
                </pic:pic>
              </a:graphicData>
            </a:graphic>
          </wp:inline>
        </w:drawing>
      </w:r>
    </w:p>
    <w:p w14:paraId="12200CB2" w14:textId="36FED873" w:rsidR="00DE384A" w:rsidRDefault="00E332B5" w:rsidP="00683E61">
      <w:pPr>
        <w:pStyle w:val="Caption"/>
        <w:jc w:val="left"/>
      </w:pPr>
      <w:r>
        <w:t xml:space="preserve">Figure </w:t>
      </w:r>
      <w:r>
        <w:fldChar w:fldCharType="begin"/>
      </w:r>
      <w:r>
        <w:instrText xml:space="preserve"> SEQ Figure \* ARABIC </w:instrText>
      </w:r>
      <w:r>
        <w:fldChar w:fldCharType="separate"/>
      </w:r>
      <w:r w:rsidR="00700EC2">
        <w:rPr>
          <w:noProof/>
        </w:rPr>
        <w:t>15</w:t>
      </w:r>
      <w:r>
        <w:fldChar w:fldCharType="end"/>
      </w:r>
      <w:r>
        <w:t>: Cross section along coastline showing groundwater zones. Interpreted HyFA by (Stuyfzand, 1993)</w:t>
      </w:r>
      <w:r>
        <w:rPr>
          <w:noProof/>
        </w:rPr>
        <w:t xml:space="preserve"> See Appendix</w:t>
      </w:r>
      <w:r w:rsidR="008B53D0">
        <w:rPr>
          <w:noProof/>
        </w:rPr>
        <w:t xml:space="preserve"> A</w:t>
      </w:r>
    </w:p>
    <w:p w14:paraId="4DCE4DA0" w14:textId="01DAF73C" w:rsidR="00F85491" w:rsidRDefault="00DE384A" w:rsidP="00F85491">
      <w:r>
        <w:t xml:space="preserve">As shown in </w:t>
      </w:r>
      <w:r w:rsidRPr="008B53D0">
        <w:rPr>
          <w:highlight w:val="lightGray"/>
        </w:rPr>
        <w:t>Figure X</w:t>
      </w:r>
      <w:r>
        <w:t xml:space="preserve">, the geohydrology of the study domain is now not only subdivided by fresh, brackish, and saline groundwater, but also by origin. </w:t>
      </w:r>
      <w:r w:rsidR="00BD1EF8">
        <w:t xml:space="preserve">For clarity’s sake, the cross section by (Stuyfzand, 1993) was interpreted using different colors and showing relevant features only, see </w:t>
      </w:r>
      <w:r w:rsidR="00BD1EF8" w:rsidRPr="00BD1EF8">
        <w:rPr>
          <w:highlight w:val="lightGray"/>
        </w:rPr>
        <w:t>Appendix A</w:t>
      </w:r>
      <w:r w:rsidR="00BD1EF8">
        <w:t xml:space="preserve"> for the original and interpreted cross sections. </w:t>
      </w:r>
      <w:r w:rsidR="00F85491" w:rsidRPr="00F85491">
        <w:t>The HyFA is used for model validation by implementing origin tracers</w:t>
      </w:r>
      <w:r w:rsidR="00F85491">
        <w:t xml:space="preserve"> as species in MODFLOW SEAWAT. The species that are defined to validate the model output to (Stuyfzand 1993) are given in </w:t>
      </w:r>
      <w:r w:rsidR="00F85491" w:rsidRPr="00F85491">
        <w:rPr>
          <w:highlight w:val="lightGray"/>
        </w:rPr>
        <w:t xml:space="preserve">Table </w:t>
      </w:r>
      <w:r w:rsidR="00E332B5">
        <w:t>1</w:t>
      </w:r>
      <w:r w:rsidR="00BD1EF8">
        <w:t xml:space="preserve">. </w:t>
      </w:r>
      <w:r w:rsidR="003B6B43">
        <w:t>The model simulation time is set to 40 years, which is by approximation the relative time between commencing artificial infiltration (1950) to the time when (Stuyfzand, 1993) commenced data acquisition (1990).</w:t>
      </w:r>
    </w:p>
    <w:p w14:paraId="645333C1" w14:textId="53F55B99" w:rsidR="00E332B5" w:rsidRDefault="00E332B5">
      <w:pPr>
        <w:jc w:val="left"/>
        <w:rPr>
          <w:i/>
          <w:iCs/>
          <w:color w:val="44546A" w:themeColor="text2"/>
          <w:sz w:val="18"/>
          <w:szCs w:val="18"/>
        </w:rPr>
      </w:pPr>
    </w:p>
    <w:p w14:paraId="7749CAC8" w14:textId="0EFB936B" w:rsidR="00F85491" w:rsidRDefault="00F85491" w:rsidP="00F85491">
      <w:pPr>
        <w:pStyle w:val="Caption"/>
        <w:keepNext/>
      </w:pPr>
      <w:r>
        <w:lastRenderedPageBreak/>
        <w:t xml:space="preserve">Table </w:t>
      </w:r>
      <w:r>
        <w:fldChar w:fldCharType="begin"/>
      </w:r>
      <w:r>
        <w:instrText xml:space="preserve"> SEQ Table \* ARABIC </w:instrText>
      </w:r>
      <w:r>
        <w:fldChar w:fldCharType="separate"/>
      </w:r>
      <w:r>
        <w:rPr>
          <w:noProof/>
        </w:rPr>
        <w:t>1</w:t>
      </w:r>
      <w:r>
        <w:fldChar w:fldCharType="end"/>
      </w:r>
      <w:r>
        <w:t>: Species defined for model validation, inspired by Stuyfzand, 1993)</w:t>
      </w:r>
    </w:p>
    <w:tbl>
      <w:tblPr>
        <w:tblStyle w:val="TableGridLight"/>
        <w:tblW w:w="0" w:type="auto"/>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4508"/>
        <w:gridCol w:w="4508"/>
      </w:tblGrid>
      <w:tr w:rsidR="00F85491" w14:paraId="249A4D00" w14:textId="77777777" w:rsidTr="00303025">
        <w:tc>
          <w:tcPr>
            <w:tcW w:w="4508" w:type="dxa"/>
          </w:tcPr>
          <w:p w14:paraId="781DA385" w14:textId="2D32CC39" w:rsidR="00F85491" w:rsidRPr="00F85491" w:rsidRDefault="00F85491" w:rsidP="00F85491">
            <w:pPr>
              <w:jc w:val="center"/>
              <w:rPr>
                <w:i/>
                <w:iCs/>
              </w:rPr>
            </w:pPr>
            <w:r w:rsidRPr="00F85491">
              <w:rPr>
                <w:i/>
                <w:iCs/>
              </w:rPr>
              <w:t>A</w:t>
            </w:r>
          </w:p>
        </w:tc>
        <w:tc>
          <w:tcPr>
            <w:tcW w:w="4508" w:type="dxa"/>
          </w:tcPr>
          <w:p w14:paraId="47DD00C6" w14:textId="77777777" w:rsidR="00F85491" w:rsidRDefault="00F85491" w:rsidP="00DE384A">
            <w:r>
              <w:t xml:space="preserve">Artificial infiltration </w:t>
            </w:r>
          </w:p>
          <w:p w14:paraId="24171556" w14:textId="0473743D" w:rsidR="00F85491" w:rsidRPr="00F85491" w:rsidRDefault="00F85491" w:rsidP="00DE384A">
            <w:pPr>
              <w:rPr>
                <w:i/>
                <w:iCs/>
              </w:rPr>
            </w:pPr>
            <w:r w:rsidRPr="00F85491">
              <w:rPr>
                <w:i/>
                <w:iCs/>
              </w:rPr>
              <w:t>fresh, infiltration ponds and injected freshwater</w:t>
            </w:r>
          </w:p>
        </w:tc>
      </w:tr>
      <w:tr w:rsidR="00F85491" w14:paraId="3E090BC8" w14:textId="77777777" w:rsidTr="00303025">
        <w:tc>
          <w:tcPr>
            <w:tcW w:w="4508" w:type="dxa"/>
          </w:tcPr>
          <w:p w14:paraId="4E88BAC9" w14:textId="64023BEA" w:rsidR="00F85491" w:rsidRPr="00F85491" w:rsidRDefault="00F85491" w:rsidP="00F85491">
            <w:pPr>
              <w:jc w:val="center"/>
              <w:rPr>
                <w:i/>
                <w:iCs/>
              </w:rPr>
            </w:pPr>
            <w:r w:rsidRPr="00F85491">
              <w:rPr>
                <w:i/>
                <w:iCs/>
              </w:rPr>
              <w:t>F</w:t>
            </w:r>
          </w:p>
        </w:tc>
        <w:tc>
          <w:tcPr>
            <w:tcW w:w="4508" w:type="dxa"/>
          </w:tcPr>
          <w:p w14:paraId="268E7101" w14:textId="77777777" w:rsidR="00F85491" w:rsidRDefault="00F85491" w:rsidP="00DE384A">
            <w:r>
              <w:t xml:space="preserve">Fresh groundwater </w:t>
            </w:r>
          </w:p>
          <w:p w14:paraId="6E729D4A" w14:textId="4191EB56" w:rsidR="00F85491" w:rsidRPr="00F85491" w:rsidRDefault="00F85491" w:rsidP="00DE384A">
            <w:pPr>
              <w:rPr>
                <w:i/>
                <w:iCs/>
              </w:rPr>
            </w:pPr>
            <w:r w:rsidRPr="00F85491">
              <w:rPr>
                <w:i/>
                <w:iCs/>
              </w:rPr>
              <w:t>precipitation and infiltration through surface waters</w:t>
            </w:r>
          </w:p>
        </w:tc>
      </w:tr>
      <w:tr w:rsidR="00F85491" w14:paraId="29C5253B" w14:textId="77777777" w:rsidTr="00303025">
        <w:trPr>
          <w:trHeight w:val="70"/>
        </w:trPr>
        <w:tc>
          <w:tcPr>
            <w:tcW w:w="4508" w:type="dxa"/>
          </w:tcPr>
          <w:p w14:paraId="7C15C0B5" w14:textId="78A4A5F6" w:rsidR="00F85491" w:rsidRPr="00F85491" w:rsidRDefault="00F85491" w:rsidP="00F85491">
            <w:pPr>
              <w:jc w:val="center"/>
              <w:rPr>
                <w:i/>
                <w:iCs/>
              </w:rPr>
            </w:pPr>
            <w:r w:rsidRPr="00F85491">
              <w:rPr>
                <w:i/>
                <w:iCs/>
              </w:rPr>
              <w:t>B</w:t>
            </w:r>
          </w:p>
        </w:tc>
        <w:tc>
          <w:tcPr>
            <w:tcW w:w="4508" w:type="dxa"/>
          </w:tcPr>
          <w:p w14:paraId="698EE3C6" w14:textId="70A6712F" w:rsidR="00F85491" w:rsidRDefault="00F85491" w:rsidP="00DE384A">
            <w:r>
              <w:t>Brackish groundwater</w:t>
            </w:r>
          </w:p>
        </w:tc>
      </w:tr>
      <w:tr w:rsidR="00F85491" w14:paraId="3436946F" w14:textId="77777777" w:rsidTr="00303025">
        <w:tc>
          <w:tcPr>
            <w:tcW w:w="4508" w:type="dxa"/>
          </w:tcPr>
          <w:p w14:paraId="1436AF9F" w14:textId="2CE93B5F" w:rsidR="00F85491" w:rsidRPr="00F85491" w:rsidRDefault="00F85491" w:rsidP="00F85491">
            <w:pPr>
              <w:jc w:val="center"/>
              <w:rPr>
                <w:i/>
                <w:iCs/>
              </w:rPr>
            </w:pPr>
            <w:r w:rsidRPr="00F85491">
              <w:rPr>
                <w:i/>
                <w:iCs/>
              </w:rPr>
              <w:t>S</w:t>
            </w:r>
          </w:p>
        </w:tc>
        <w:tc>
          <w:tcPr>
            <w:tcW w:w="4508" w:type="dxa"/>
          </w:tcPr>
          <w:p w14:paraId="10FC257B" w14:textId="4DD43CDE" w:rsidR="00F85491" w:rsidRDefault="00F85491" w:rsidP="00DE384A">
            <w:r>
              <w:t>Saline groundwater</w:t>
            </w:r>
          </w:p>
        </w:tc>
      </w:tr>
    </w:tbl>
    <w:p w14:paraId="10CD3C65" w14:textId="77777777" w:rsidR="00F85491" w:rsidRDefault="00F85491" w:rsidP="00DE384A">
      <w:pPr>
        <w:rPr>
          <w:highlight w:val="lightGray"/>
        </w:rPr>
      </w:pPr>
    </w:p>
    <w:p w14:paraId="191CD5AC" w14:textId="6ED798CE" w:rsidR="008B5AE6" w:rsidRPr="00E332B5" w:rsidRDefault="0097148D" w:rsidP="00E332B5">
      <w:r w:rsidRPr="0097148D">
        <w:t>In</w:t>
      </w:r>
      <w:r>
        <w:t xml:space="preserve"> addition to the origin and path of groundwater, the representations by (Stuyfzand, 1993) also provide information on the rate at which artificial infiltration can be achieved. For model validation, this means it can be used when examining the rate at which the depth of the conceptual fresh-saline interface increases. </w:t>
      </w:r>
    </w:p>
    <w:p w14:paraId="16A5373F" w14:textId="77777777" w:rsidR="00E332B5" w:rsidRDefault="00E332B5">
      <w:pPr>
        <w:jc w:val="left"/>
        <w:rPr>
          <w:rFonts w:ascii="CMU Serif" w:eastAsiaTheme="majorEastAsia" w:hAnsi="CMU Serif" w:cs="CMU Serif"/>
          <w:sz w:val="26"/>
          <w:szCs w:val="26"/>
        </w:rPr>
      </w:pPr>
      <w:r>
        <w:br w:type="page"/>
      </w:r>
    </w:p>
    <w:p w14:paraId="78346E71" w14:textId="600E10BE" w:rsidR="008B5AE6" w:rsidRPr="008B5AE6" w:rsidRDefault="008B5AE6" w:rsidP="008B5AE6">
      <w:pPr>
        <w:pStyle w:val="Heading3"/>
        <w:rPr>
          <w:sz w:val="28"/>
          <w:szCs w:val="28"/>
        </w:rPr>
      </w:pPr>
      <w:r>
        <w:lastRenderedPageBreak/>
        <w:t>Fresh-saline interface</w:t>
      </w:r>
    </w:p>
    <w:p w14:paraId="62E12460" w14:textId="0AE9E243" w:rsidR="00DE4FC2" w:rsidRDefault="008B5AE6" w:rsidP="008B5AE6">
      <w:r>
        <w:t xml:space="preserve">In this study, the conceptual fresh saline interface introduced by (Oude </w:t>
      </w:r>
      <w:proofErr w:type="spellStart"/>
      <w:r>
        <w:t>Essink</w:t>
      </w:r>
      <w:proofErr w:type="spellEnd"/>
      <w:r>
        <w:t>, 2001) serves as a tool to investigate the rate of artificial infiltration, acknowledging that there is a brackish water zone between the fresh groundwater and the heavier saline groundwater</w:t>
      </w:r>
      <w:r w:rsidR="00A46154">
        <w:t xml:space="preserve"> due to transversal dispersion and multi-year precipitation fluctuations</w:t>
      </w:r>
      <w:r w:rsidR="008351B3">
        <w:t xml:space="preserve"> (Stuyfzand, 1993)</w:t>
      </w:r>
      <w:r>
        <w:t xml:space="preserve">. For model validation, this concept can be integrated to gain insight in the volume of fresh groundwater, as opposed to groundwater as a whole. </w:t>
      </w:r>
    </w:p>
    <w:p w14:paraId="50ED5F09" w14:textId="77777777" w:rsidR="008B5AE6" w:rsidRDefault="008B5AE6" w:rsidP="008B5AE6">
      <w:pPr>
        <w:keepNext/>
      </w:pPr>
      <w:r>
        <w:rPr>
          <w:noProof/>
        </w:rPr>
        <w:drawing>
          <wp:inline distT="0" distB="0" distL="0" distR="0" wp14:anchorId="529FB81E" wp14:editId="54674139">
            <wp:extent cx="5731510" cy="1991995"/>
            <wp:effectExtent l="0" t="0" r="2540" b="825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1804D081" w14:textId="3C3CAAD7" w:rsidR="008B5AE6" w:rsidRDefault="008B5AE6" w:rsidP="008B5AE6">
      <w:pPr>
        <w:pStyle w:val="Caption"/>
      </w:pPr>
      <w:r>
        <w:t xml:space="preserve">Figure </w:t>
      </w:r>
      <w:r>
        <w:fldChar w:fldCharType="begin"/>
      </w:r>
      <w:r>
        <w:instrText xml:space="preserve"> SEQ Figure \* ARABIC </w:instrText>
      </w:r>
      <w:r>
        <w:fldChar w:fldCharType="separate"/>
      </w:r>
      <w:r w:rsidR="00700EC2">
        <w:rPr>
          <w:noProof/>
        </w:rPr>
        <w:t>16</w:t>
      </w:r>
      <w:r>
        <w:fldChar w:fldCharType="end"/>
      </w:r>
      <w:r>
        <w:t>: Model validation on a fresh-saline interface (L) and on groundwater as a whole (R)</w:t>
      </w:r>
    </w:p>
    <w:p w14:paraId="0BBFA814" w14:textId="2C62A11A" w:rsidR="008B5AE6" w:rsidRDefault="008B5AE6" w:rsidP="008B5AE6">
      <w:r>
        <w:t xml:space="preserve">As discussed in </w:t>
      </w:r>
      <w:r w:rsidRPr="00C03618">
        <w:rPr>
          <w:highlight w:val="lightGray"/>
        </w:rPr>
        <w:t>section 1.1</w:t>
      </w:r>
      <w:r>
        <w:t>, the state-of-the-art fresh-saline groundwater model</w:t>
      </w:r>
      <w:r w:rsidR="00CE69B4">
        <w:t xml:space="preserve"> (the original model, OM)</w:t>
      </w:r>
      <w:r>
        <w:t xml:space="preserve"> used by Dunea for assessing the feasibility of brackish groundwater as a groundwater resource, has only been validated on hydraulic head data</w:t>
      </w:r>
      <w:r w:rsidR="0082426A">
        <w:t>. It is</w:t>
      </w:r>
      <w:r>
        <w:t xml:space="preserve"> not</w:t>
      </w:r>
      <w:r w:rsidR="0082426A">
        <w:t xml:space="preserve"> calibrated</w:t>
      </w:r>
      <w:r>
        <w:t xml:space="preserve"> on groundwater salinity and therefore neglecting validation on variable density flow</w:t>
      </w:r>
      <w:r w:rsidR="0082426A">
        <w:t>, even though</w:t>
      </w:r>
      <w:r w:rsidR="00CE69B4">
        <w:t xml:space="preserve"> the model does</w:t>
      </w:r>
      <w:r>
        <w:t xml:space="preserve"> incorporate </w:t>
      </w:r>
      <w:r w:rsidR="00CE69B4">
        <w:t xml:space="preserve">variable density flow </w:t>
      </w:r>
      <w:r>
        <w:t xml:space="preserve">in the model’s groundwater flow. For the sake of argumentation, validation solely on hydraulic head data can be conceptually represented in </w:t>
      </w:r>
      <w:r w:rsidRPr="008B5AE6">
        <w:rPr>
          <w:highlight w:val="lightGray"/>
        </w:rPr>
        <w:t xml:space="preserve">Figure </w:t>
      </w:r>
      <w:r>
        <w:rPr>
          <w:highlight w:val="lightGray"/>
        </w:rPr>
        <w:t>14</w:t>
      </w:r>
      <w:r w:rsidRPr="008B5AE6">
        <w:rPr>
          <w:highlight w:val="lightGray"/>
        </w:rPr>
        <w:t xml:space="preserve"> (R</w:t>
      </w:r>
      <w:r>
        <w:t>), where there is only information on the phreatic groundwater surface level. Calibration of a fresh-saline groundwater flow model on</w:t>
      </w:r>
      <w:r w:rsidR="0082426A">
        <w:t>ly on</w:t>
      </w:r>
      <w:r>
        <w:t xml:space="preserve"> </w:t>
      </w:r>
      <w:r w:rsidR="0082426A">
        <w:t xml:space="preserve">hydraulic head data </w:t>
      </w:r>
      <w:r>
        <w:t xml:space="preserve">may be right for the wrong reasons, </w:t>
      </w:r>
      <w:r w:rsidR="0082426A">
        <w:t xml:space="preserve">as </w:t>
      </w:r>
      <w:r>
        <w:t xml:space="preserve">it doesn’t </w:t>
      </w:r>
      <w:r w:rsidR="0082426A">
        <w:t>address</w:t>
      </w:r>
      <w:r>
        <w:t xml:space="preserve"> fresh-saline groundwater </w:t>
      </w:r>
      <w:r w:rsidR="0082426A">
        <w:t>regions like the conceptual fresh-saline interface</w:t>
      </w:r>
      <w:r>
        <w:t xml:space="preserve"> shown in </w:t>
      </w:r>
      <w:r w:rsidRPr="008B5AE6">
        <w:rPr>
          <w:highlight w:val="lightGray"/>
        </w:rPr>
        <w:t xml:space="preserve">Figure </w:t>
      </w:r>
      <w:r>
        <w:rPr>
          <w:highlight w:val="lightGray"/>
        </w:rPr>
        <w:t>14</w:t>
      </w:r>
      <w:r w:rsidRPr="008B5AE6">
        <w:rPr>
          <w:highlight w:val="lightGray"/>
        </w:rPr>
        <w:t xml:space="preserve"> (L).</w:t>
      </w:r>
      <w:r w:rsidR="00CE69B4">
        <w:t xml:space="preserve"> </w:t>
      </w:r>
    </w:p>
    <w:p w14:paraId="5F7C9795" w14:textId="5570D30E" w:rsidR="00CE69B4" w:rsidRDefault="00DE4FC2" w:rsidP="008B5AE6">
      <w:r w:rsidRPr="00FA1F9D">
        <w:t>Groundwater salinity</w:t>
      </w:r>
      <w:r>
        <w:t xml:space="preserve"> is represented in the model with chloride, as it is the dominant anion in Dutch coastal groundwater and density is linearly related to it within naturally occurring concentrations (Delsman 2015). In this study, </w:t>
      </w:r>
      <w:commentRangeStart w:id="13"/>
      <w:commentRangeStart w:id="14"/>
      <w:commentRangeStart w:id="15"/>
      <w:commentRangeStart w:id="16"/>
      <w:commentRangeStart w:id="17"/>
      <w:r>
        <w:t>groundwater</w:t>
      </w:r>
      <w:r w:rsidR="00747FB3">
        <w:t xml:space="preserve"> is subdivided in terms of salinity</w:t>
      </w:r>
      <w:r w:rsidR="001A4276">
        <w:t xml:space="preserve">, corresponding to </w:t>
      </w:r>
      <w:r w:rsidR="00BC2A13">
        <w:t>(Stuyfzand, 1993)</w:t>
      </w:r>
      <w:r w:rsidR="00747FB3">
        <w:t>:</w:t>
      </w:r>
      <w:commentRangeEnd w:id="13"/>
      <w:r>
        <w:rPr>
          <w:rStyle w:val="CommentReference"/>
        </w:rPr>
        <w:commentReference w:id="13"/>
      </w:r>
      <w:commentRangeEnd w:id="14"/>
      <w:r w:rsidR="00747FB3">
        <w:rPr>
          <w:rStyle w:val="CommentReference"/>
        </w:rPr>
        <w:commentReference w:id="14"/>
      </w:r>
      <w:commentRangeEnd w:id="15"/>
      <w:r w:rsidR="00747FB3">
        <w:rPr>
          <w:rStyle w:val="CommentReference"/>
        </w:rPr>
        <w:commentReference w:id="15"/>
      </w:r>
      <w:commentRangeEnd w:id="16"/>
      <w:r w:rsidR="00747FB3">
        <w:rPr>
          <w:rStyle w:val="CommentReference"/>
        </w:rPr>
        <w:commentReference w:id="16"/>
      </w:r>
      <w:commentRangeEnd w:id="17"/>
      <w:r w:rsidR="00315B32">
        <w:rPr>
          <w:rStyle w:val="CommentReference"/>
        </w:rPr>
        <w:commentReference w:id="17"/>
      </w:r>
    </w:p>
    <w:p w14:paraId="45793C3C" w14:textId="02F1DE6E" w:rsidR="00DE4FC2" w:rsidRPr="00747FB3" w:rsidRDefault="003B6B43" w:rsidP="00747FB3">
      <w:pPr>
        <w:ind w:firstLine="708"/>
      </w:pPr>
      <w:commentRangeStart w:id="18"/>
      <m:oMath>
        <m:r>
          <w:rPr>
            <w:rFonts w:ascii="Cambria Math" w:eastAsiaTheme="minorEastAsia" w:hAnsi="Cambria Math"/>
          </w:rPr>
          <m:t>F</m:t>
        </m:r>
        <m:r>
          <w:rPr>
            <w:rFonts w:ascii="Cambria Math" w:eastAsiaTheme="minorEastAsia" w:hAnsi="Cambria Math"/>
          </w:rPr>
          <m:t>resh groundwater</m:t>
        </m:r>
      </m:oMath>
      <w:r w:rsidR="00747FB3">
        <w:rPr>
          <w:rFonts w:eastAsiaTheme="minorEastAsia"/>
        </w:rPr>
        <w:t xml:space="preserve"> </w:t>
      </w:r>
      <w:r w:rsidR="00747FB3">
        <w:rPr>
          <w:rFonts w:eastAsiaTheme="minorEastAsia"/>
        </w:rPr>
        <w:tab/>
      </w:r>
      <w:r w:rsidR="00747FB3">
        <w:rPr>
          <w:rFonts w:eastAsiaTheme="minorEastAsia"/>
        </w:rPr>
        <w:tab/>
        <w:t xml:space="preserve">for </w:t>
      </w:r>
      <w:r w:rsidR="00747FB3">
        <w:rPr>
          <w:rFonts w:eastAsiaTheme="minorEastAsia"/>
        </w:rPr>
        <w:tab/>
      </w:r>
      <w:r w:rsidR="000839B3">
        <w:rPr>
          <w:rFonts w:eastAsiaTheme="minorEastAsia"/>
        </w:rPr>
        <w:t xml:space="preserve">               </w:t>
      </w:r>
      <m:oMath>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m:t>
        </m:r>
        <m:r>
          <w:rPr>
            <w:rFonts w:ascii="Cambria Math" w:hAnsi="Cambria Math"/>
          </w:rPr>
          <m:t>300</m:t>
        </m:r>
        <m:r>
          <w:rPr>
            <w:rFonts w:ascii="Cambria Math" w:hAnsi="Cambria Math"/>
          </w:rPr>
          <m:t xml:space="preserve">  </m:t>
        </m:r>
        <m:f>
          <m:fPr>
            <m:ctrlPr>
              <w:rPr>
                <w:rFonts w:ascii="Cambria Math" w:hAnsi="Cambria Math"/>
                <w:i/>
              </w:rPr>
            </m:ctrlPr>
          </m:fPr>
          <m:num>
            <m:r>
              <w:rPr>
                <w:rFonts w:ascii="Cambria Math" w:hAnsi="Cambria Math"/>
              </w:rPr>
              <m:t>mg</m:t>
            </m:r>
          </m:num>
          <m:den>
            <m:r>
              <w:rPr>
                <w:rFonts w:ascii="Cambria Math" w:hAnsi="Cambria Math"/>
              </w:rPr>
              <m:t>L</m:t>
            </m:r>
          </m:den>
        </m:f>
      </m:oMath>
    </w:p>
    <w:p w14:paraId="76400D0B" w14:textId="54C691C4" w:rsidR="00DE4FC2" w:rsidRPr="00747FB3" w:rsidRDefault="003B6B43" w:rsidP="00747FB3">
      <w:pPr>
        <w:ind w:firstLine="708"/>
      </w:pPr>
      <m:oMath>
        <m:r>
          <w:rPr>
            <w:rFonts w:ascii="Cambria Math" w:eastAsiaTheme="minorEastAsia" w:hAnsi="Cambria Math"/>
          </w:rPr>
          <m:t>B</m:t>
        </m:r>
        <m:r>
          <w:rPr>
            <w:rFonts w:ascii="Cambria Math" w:eastAsiaTheme="minorEastAsia" w:hAnsi="Cambria Math"/>
          </w:rPr>
          <m:t>rackish groundwater</m:t>
        </m:r>
      </m:oMath>
      <w:r w:rsidR="00747FB3">
        <w:rPr>
          <w:rFonts w:eastAsiaTheme="minorEastAsia"/>
        </w:rPr>
        <w:t xml:space="preserve"> </w:t>
      </w:r>
      <w:r w:rsidR="00747FB3">
        <w:rPr>
          <w:rFonts w:eastAsiaTheme="minorEastAsia"/>
        </w:rPr>
        <w:tab/>
        <w:t xml:space="preserve">for </w:t>
      </w:r>
      <w:r w:rsidR="00747FB3">
        <w:rPr>
          <w:rFonts w:eastAsiaTheme="minorEastAsia"/>
        </w:rPr>
        <w:tab/>
      </w:r>
      <m:oMath>
        <m:r>
          <w:rPr>
            <w:rFonts w:ascii="Cambria Math" w:hAnsi="Cambria Math"/>
          </w:rPr>
          <m:t>300</m:t>
        </m:r>
        <m:r>
          <w:rPr>
            <w:rFonts w:ascii="Cambria Math" w:hAnsi="Cambria Math"/>
          </w:rPr>
          <m:t xml:space="preserve"> </m:t>
        </m:r>
        <m:f>
          <m:fPr>
            <m:ctrlPr>
              <w:rPr>
                <w:rFonts w:ascii="Cambria Math" w:hAnsi="Cambria Math"/>
                <w:i/>
              </w:rPr>
            </m:ctrlPr>
          </m:fPr>
          <m:num>
            <m:r>
              <w:rPr>
                <w:rFonts w:ascii="Cambria Math" w:hAnsi="Cambria Math"/>
              </w:rPr>
              <m:t>mg</m:t>
            </m:r>
          </m:num>
          <m:den>
            <m:r>
              <w:rPr>
                <w:rFonts w:ascii="Cambria Math" w:hAnsi="Cambria Math"/>
              </w:rPr>
              <m:t>L</m:t>
            </m:r>
          </m:den>
        </m:f>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m:t>
        </m:r>
        <m:r>
          <w:rPr>
            <w:rFonts w:ascii="Cambria Math" w:hAnsi="Cambria Math"/>
          </w:rPr>
          <m:t>10</m:t>
        </m:r>
        <m:r>
          <w:rPr>
            <w:rFonts w:ascii="Cambria Math" w:hAnsi="Cambria Math"/>
          </w:rPr>
          <m:t xml:space="preserve">          </m:t>
        </m:r>
        <m:f>
          <m:fPr>
            <m:ctrlPr>
              <w:rPr>
                <w:rFonts w:ascii="Cambria Math" w:hAnsi="Cambria Math"/>
                <w:i/>
              </w:rPr>
            </m:ctrlPr>
          </m:fPr>
          <m:num>
            <m:r>
              <w:rPr>
                <w:rFonts w:ascii="Cambria Math" w:hAnsi="Cambria Math"/>
              </w:rPr>
              <m:t>g</m:t>
            </m:r>
          </m:num>
          <m:den>
            <m:r>
              <w:rPr>
                <w:rFonts w:ascii="Cambria Math" w:hAnsi="Cambria Math"/>
              </w:rPr>
              <m:t>L</m:t>
            </m:r>
          </m:den>
        </m:f>
      </m:oMath>
    </w:p>
    <w:p w14:paraId="58F7EF35" w14:textId="2706640E" w:rsidR="00DE4FC2" w:rsidRPr="00747FB3" w:rsidRDefault="003B6B43" w:rsidP="00747FB3">
      <w:pPr>
        <w:ind w:firstLine="708"/>
      </w:pPr>
      <m:oMath>
        <m:r>
          <w:rPr>
            <w:rFonts w:ascii="Cambria Math" w:eastAsiaTheme="minorEastAsia" w:hAnsi="Cambria Math"/>
          </w:rPr>
          <m:t>S</m:t>
        </m:r>
        <m:r>
          <w:rPr>
            <w:rFonts w:ascii="Cambria Math" w:eastAsiaTheme="minorEastAsia" w:hAnsi="Cambria Math"/>
          </w:rPr>
          <m:t>aline groundwater</m:t>
        </m:r>
      </m:oMath>
      <w:r w:rsidR="00747FB3">
        <w:rPr>
          <w:rFonts w:eastAsiaTheme="minorEastAsia"/>
        </w:rPr>
        <w:t xml:space="preserve"> </w:t>
      </w:r>
      <w:r w:rsidR="00747FB3">
        <w:rPr>
          <w:rFonts w:eastAsiaTheme="minorEastAsia"/>
        </w:rPr>
        <w:tab/>
      </w:r>
      <w:r w:rsidR="00747FB3">
        <w:rPr>
          <w:rFonts w:eastAsiaTheme="minorEastAsia"/>
        </w:rPr>
        <w:tab/>
        <w:t xml:space="preserve">for </w:t>
      </w:r>
      <w:r w:rsidR="00747FB3">
        <w:rPr>
          <w:rFonts w:eastAsiaTheme="minorEastAsia"/>
        </w:rPr>
        <w:tab/>
      </w:r>
      <m:oMath>
        <m:r>
          <w:rPr>
            <w:rFonts w:ascii="Cambria Math" w:eastAsiaTheme="minorEastAsia"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m:t>
        </m:r>
        <m:r>
          <w:rPr>
            <w:rFonts w:ascii="Cambria Math" w:hAnsi="Cambria Math"/>
          </w:rPr>
          <m:t>10</m:t>
        </m:r>
        <m:r>
          <w:rPr>
            <w:rFonts w:ascii="Cambria Math" w:hAnsi="Cambria Math"/>
          </w:rPr>
          <m:t xml:space="preserve">         </m:t>
        </m:r>
        <m:f>
          <m:fPr>
            <m:ctrlPr>
              <w:rPr>
                <w:rFonts w:ascii="Cambria Math" w:hAnsi="Cambria Math"/>
                <w:i/>
              </w:rPr>
            </m:ctrlPr>
          </m:fPr>
          <m:num>
            <m:r>
              <w:rPr>
                <w:rFonts w:ascii="Cambria Math" w:hAnsi="Cambria Math"/>
              </w:rPr>
              <m:t>g</m:t>
            </m:r>
          </m:num>
          <m:den>
            <m:r>
              <w:rPr>
                <w:rFonts w:ascii="Cambria Math" w:hAnsi="Cambria Math"/>
              </w:rPr>
              <m:t>L</m:t>
            </m:r>
          </m:den>
        </m:f>
        <w:commentRangeEnd w:id="18"/>
        <m:r>
          <m:rPr>
            <m:sty m:val="p"/>
          </m:rPr>
          <w:rPr>
            <w:rStyle w:val="CommentReference"/>
          </w:rPr>
          <w:commentReference w:id="18"/>
        </m:r>
      </m:oMath>
    </w:p>
    <w:p w14:paraId="7432D671" w14:textId="26D66B94" w:rsidR="00886801" w:rsidRDefault="00DF6290" w:rsidP="00DF6290">
      <w:pPr>
        <w:rPr>
          <w:rFonts w:ascii="CMU Serif" w:eastAsiaTheme="majorEastAsia" w:hAnsi="CMU Serif" w:cs="CMU Serif"/>
          <w:sz w:val="28"/>
          <w:szCs w:val="28"/>
        </w:rPr>
      </w:pPr>
      <w:r>
        <w:t xml:space="preserve">Worth bearing in mind is the fact that the fresh-saline interface remains unused for the calibration of the original model. Assessment of conventional modeling techniques can, however, be done by comparing the output of the metamodel when it is calibrated to the original model, after which the MM (and implicitly the OM) can be tested to the f/s interface </w:t>
      </w:r>
      <w:r>
        <w:lastRenderedPageBreak/>
        <w:t>using the HyFA. The discrepancies between the OM and MM f/s interface output may give insight in the effects of regridding</w:t>
      </w:r>
      <w:r w:rsidR="00905C2C">
        <w:t>, and the added value of a HyFA for model validation.</w:t>
      </w:r>
      <w:r w:rsidR="00886801">
        <w:br w:type="page"/>
      </w:r>
    </w:p>
    <w:p w14:paraId="2DF7F4F7" w14:textId="5A0A5952" w:rsidR="001A3923" w:rsidRDefault="00612948" w:rsidP="00612948">
      <w:pPr>
        <w:pStyle w:val="Heading1"/>
      </w:pPr>
      <w:r>
        <w:lastRenderedPageBreak/>
        <w:t>Results</w:t>
      </w:r>
    </w:p>
    <w:p w14:paraId="52DA0037" w14:textId="4999E17B" w:rsidR="00820AD1" w:rsidRDefault="00612948" w:rsidP="00AD4897">
      <w:r>
        <w:t>What results are presented to answer the research questions?</w:t>
      </w:r>
      <w:r w:rsidR="00E93CAC">
        <w:t xml:space="preserve"> </w:t>
      </w:r>
      <w:r w:rsidR="00725966">
        <w:t>Presentation of results can be presented in a table/graph</w:t>
      </w:r>
      <w:r w:rsidR="00554A4F">
        <w:t>, since calibration and sensitivity analyses have intermediate results that are worth showing.</w:t>
      </w:r>
    </w:p>
    <w:p w14:paraId="2F6C0DEA" w14:textId="78A53447" w:rsidR="00905C2C" w:rsidRDefault="00905C2C" w:rsidP="00905C2C">
      <w:pPr>
        <w:pStyle w:val="Heading2"/>
      </w:pPr>
      <w:r>
        <w:t>Model efficiency</w:t>
      </w:r>
    </w:p>
    <w:p w14:paraId="74D38FB6" w14:textId="7F42B380" w:rsidR="00905C2C" w:rsidRPr="00905C2C" w:rsidRDefault="00905C2C" w:rsidP="00905C2C">
      <w:r>
        <w:t xml:space="preserve">By changing the cell size from 25x25m to 250x250m horizontally, and leaving the vertical cell size unchanged, the simulation time for a 40y simulation is </w:t>
      </w:r>
      <w:r w:rsidR="00815A37">
        <w:t>2 hours with an impermeable domain boundary, and 14 hours for a fixed head (GHB) boundary.</w:t>
      </w:r>
    </w:p>
    <w:p w14:paraId="7C55DB0E" w14:textId="171E5DEC" w:rsidR="00545E43" w:rsidRDefault="00545E43" w:rsidP="00545E43">
      <w:pPr>
        <w:pStyle w:val="Heading2"/>
      </w:pPr>
      <w:r>
        <w:t>Model calibration</w:t>
      </w:r>
    </w:p>
    <w:p w14:paraId="0305F6B0" w14:textId="0A8D1160" w:rsidR="00417D09" w:rsidRPr="00417D09" w:rsidRDefault="00417D09" w:rsidP="00417D09">
      <w:pPr>
        <w:pStyle w:val="Heading3"/>
      </w:pPr>
      <w:r>
        <w:t>Hydraulic head distribution</w:t>
      </w:r>
    </w:p>
    <w:p w14:paraId="4BA2DCC2" w14:textId="1879E3A1" w:rsidR="00417D09" w:rsidRPr="00417D09" w:rsidRDefault="00417D09" w:rsidP="00417D09">
      <w:r>
        <w:t xml:space="preserve">The hydraulic head distribution of a parallel metamodel and original model simulation of 39 years can be seen in </w:t>
      </w:r>
      <w:r w:rsidRPr="00417D09">
        <w:rPr>
          <w:highlight w:val="lightGray"/>
        </w:rPr>
        <w:t>Figure 14</w:t>
      </w:r>
      <w:r>
        <w:t xml:space="preserve">. In CS1, CS2, CS3, the regional groundwater flow from the sea and dunes (high hydraulic heads) on the left, to the polder areas (low hydraulic head) on the right can be seen. The regional flow that is seen in the original model output can also be seen in the metamodel. Additionally, the range of hydraulic heads visible in the model domain are of the same magnitude. </w:t>
      </w:r>
    </w:p>
    <w:p w14:paraId="4B8C43AE" w14:textId="77777777" w:rsidR="00417D09" w:rsidRDefault="00417D09" w:rsidP="00417D09">
      <w:pPr>
        <w:keepNext/>
        <w:jc w:val="center"/>
      </w:pPr>
      <w:r>
        <w:rPr>
          <w:noProof/>
        </w:rPr>
        <w:drawing>
          <wp:inline distT="0" distB="0" distL="0" distR="0" wp14:anchorId="51702EF7" wp14:editId="22BC9999">
            <wp:extent cx="5400675" cy="4295488"/>
            <wp:effectExtent l="0" t="0" r="0" b="0"/>
            <wp:docPr id="25" name="Picture 25"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video game&#10;&#10;Description automatically generated with low confidence"/>
                    <pic:cNvPicPr/>
                  </pic:nvPicPr>
                  <pic:blipFill rotWithShape="1">
                    <a:blip r:embed="rId27" cstate="print">
                      <a:extLst>
                        <a:ext uri="{28A0092B-C50C-407E-A947-70E740481C1C}">
                          <a14:useLocalDpi xmlns:a14="http://schemas.microsoft.com/office/drawing/2010/main" val="0"/>
                        </a:ext>
                      </a:extLst>
                    </a:blip>
                    <a:srcRect t="9671" r="2140" b="48417"/>
                    <a:stretch/>
                  </pic:blipFill>
                  <pic:spPr bwMode="auto">
                    <a:xfrm>
                      <a:off x="0" y="0"/>
                      <a:ext cx="5409769" cy="4302721"/>
                    </a:xfrm>
                    <a:prstGeom prst="rect">
                      <a:avLst/>
                    </a:prstGeom>
                    <a:ln>
                      <a:noFill/>
                    </a:ln>
                    <a:extLst>
                      <a:ext uri="{53640926-AAD7-44D8-BBD7-CCE9431645EC}">
                        <a14:shadowObscured xmlns:a14="http://schemas.microsoft.com/office/drawing/2010/main"/>
                      </a:ext>
                    </a:extLst>
                  </pic:spPr>
                </pic:pic>
              </a:graphicData>
            </a:graphic>
          </wp:inline>
        </w:drawing>
      </w:r>
    </w:p>
    <w:p w14:paraId="74E32E72" w14:textId="5149C415" w:rsidR="00417D09" w:rsidRDefault="00417D09" w:rsidP="00417D09">
      <w:pPr>
        <w:pStyle w:val="Caption"/>
        <w:jc w:val="center"/>
      </w:pPr>
      <w:r>
        <w:t xml:space="preserve">Figure </w:t>
      </w:r>
      <w:r>
        <w:fldChar w:fldCharType="begin"/>
      </w:r>
      <w:r>
        <w:instrText xml:space="preserve"> SEQ Figure \* ARABIC </w:instrText>
      </w:r>
      <w:r>
        <w:fldChar w:fldCharType="separate"/>
      </w:r>
      <w:r w:rsidR="00700EC2">
        <w:rPr>
          <w:noProof/>
        </w:rPr>
        <w:t>17</w:t>
      </w:r>
      <w:r>
        <w:fldChar w:fldCharType="end"/>
      </w:r>
      <w:r>
        <w:t>: Cross sections perpendicular to coastline, after 39 years. OM = Original Model, MM = Meta Model</w:t>
      </w:r>
    </w:p>
    <w:p w14:paraId="25221073" w14:textId="77777777" w:rsidR="0035577F" w:rsidRDefault="000767F3" w:rsidP="004C5DE1">
      <w:pPr>
        <w:rPr>
          <w:rFonts w:eastAsiaTheme="minorEastAsia"/>
        </w:rPr>
      </w:pPr>
      <w:commentRangeStart w:id="19"/>
      <w:r>
        <w:lastRenderedPageBreak/>
        <w:t xml:space="preserve">To investigate the discrepancy statistically, the output of the OM was regridded to the same cell size of the MM, after which an error could be calculated. </w:t>
      </w:r>
      <w:r w:rsidR="00417D09">
        <w:t xml:space="preserve">The global mean error on hydraulic </w:t>
      </w:r>
      <w:commentRangeEnd w:id="19"/>
      <w:r w:rsidR="00700EC2">
        <w:rPr>
          <w:rStyle w:val="CommentReference"/>
        </w:rPr>
        <w:commentReference w:id="19"/>
      </w:r>
      <w:r w:rsidR="00417D09">
        <w:t>heads through the entire domain is cal</w:t>
      </w:r>
      <w:r w:rsidR="004C5DE1">
        <w:t xml:space="preserve">culated to be </w:t>
      </w:r>
      <m:oMath>
        <m:r>
          <w:rPr>
            <w:rFonts w:ascii="Cambria Math" w:eastAsiaTheme="minorEastAsia" w:hAnsi="Cambria Math"/>
          </w:rPr>
          <m:t xml:space="preserve">μ= </m:t>
        </m:r>
        <m:r>
          <w:rPr>
            <w:rFonts w:ascii="Cambria Math" w:hAnsi="Cambria Math"/>
          </w:rPr>
          <m:t>5.83*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sidR="004C5DE1">
        <w:rPr>
          <w:rFonts w:eastAsiaTheme="minorEastAsia"/>
        </w:rPr>
        <w:t xml:space="preserve">, with a standard deviation of </w:t>
      </w:r>
      <m:oMath>
        <m:r>
          <w:rPr>
            <w:rFonts w:ascii="Cambria Math" w:eastAsiaTheme="minorEastAsia" w:hAnsi="Cambria Math"/>
          </w:rPr>
          <m:t>σ=3.03*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sidR="004C5DE1">
        <w:rPr>
          <w:rFonts w:eastAsiaTheme="minorEastAsia"/>
        </w:rPr>
        <w:t xml:space="preserve">. </w:t>
      </w:r>
    </w:p>
    <w:p w14:paraId="0D37B8F5" w14:textId="77777777" w:rsidR="00234094" w:rsidRDefault="00234094" w:rsidP="00234094">
      <w:pPr>
        <w:keepNext/>
        <w:jc w:val="center"/>
      </w:pPr>
      <w:r>
        <w:rPr>
          <w:rFonts w:eastAsiaTheme="minorEastAsia"/>
          <w:noProof/>
        </w:rPr>
        <w:drawing>
          <wp:inline distT="0" distB="0" distL="0" distR="0" wp14:anchorId="635D8B5E" wp14:editId="00D7A193">
            <wp:extent cx="4562475" cy="3041650"/>
            <wp:effectExtent l="0" t="0" r="0" b="0"/>
            <wp:docPr id="28" name="Picture 28"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desig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2486" cy="3041657"/>
                    </a:xfrm>
                    <a:prstGeom prst="rect">
                      <a:avLst/>
                    </a:prstGeom>
                  </pic:spPr>
                </pic:pic>
              </a:graphicData>
            </a:graphic>
          </wp:inline>
        </w:drawing>
      </w:r>
    </w:p>
    <w:p w14:paraId="25242519" w14:textId="522D30C7" w:rsidR="0035577F" w:rsidRDefault="00234094" w:rsidP="00234094">
      <w:pPr>
        <w:pStyle w:val="Caption"/>
        <w:jc w:val="center"/>
        <w:rPr>
          <w:rFonts w:eastAsiaTheme="minorEastAsia"/>
        </w:rPr>
      </w:pPr>
      <w:r>
        <w:t xml:space="preserve">Figure </w:t>
      </w:r>
      <w:r>
        <w:fldChar w:fldCharType="begin"/>
      </w:r>
      <w:r>
        <w:instrText xml:space="preserve"> SEQ Figure \* ARABIC </w:instrText>
      </w:r>
      <w:r>
        <w:fldChar w:fldCharType="separate"/>
      </w:r>
      <w:r w:rsidR="00700EC2">
        <w:rPr>
          <w:noProof/>
        </w:rPr>
        <w:t>18</w:t>
      </w:r>
      <w:r>
        <w:fldChar w:fldCharType="end"/>
      </w:r>
      <w:r>
        <w:t>: histogram showing hydraulic head error of the MM, compared to the OM</w:t>
      </w:r>
    </w:p>
    <w:p w14:paraId="3A9859B9" w14:textId="7B09C0F9" w:rsidR="0009373C" w:rsidRDefault="0009373C" w:rsidP="0009373C">
      <w:r>
        <w:rPr>
          <w:rFonts w:eastAsiaTheme="minorEastAsia"/>
        </w:rPr>
        <w:t xml:space="preserve">For the study area, the mean error on hydraulic heads is </w:t>
      </w:r>
      <m:oMath>
        <m:r>
          <w:rPr>
            <w:rFonts w:ascii="Cambria Math" w:eastAsiaTheme="minorEastAsia" w:hAnsi="Cambria Math"/>
          </w:rPr>
          <m:t xml:space="preserve">μ= </m:t>
        </m:r>
        <m:r>
          <w:rPr>
            <w:rFonts w:ascii="Cambria Math" w:hAnsi="Cambria Math"/>
          </w:rPr>
          <m:t>-9.55*</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Pr>
          <w:rFonts w:eastAsiaTheme="minorEastAsia"/>
        </w:rPr>
        <w:t xml:space="preserve">, and </w:t>
      </w:r>
      <m:oMath>
        <m:r>
          <w:rPr>
            <w:rFonts w:ascii="Cambria Math" w:eastAsiaTheme="minorEastAsia" w:hAnsi="Cambria Math"/>
          </w:rPr>
          <m:t>σ=6.06*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Pr>
          <w:rFonts w:eastAsiaTheme="minorEastAsia"/>
        </w:rPr>
        <w:t xml:space="preserve">. The histogram of the error between the MM and the OM the study is shown in </w:t>
      </w:r>
      <w:r w:rsidRPr="004C5DE1">
        <w:rPr>
          <w:rFonts w:eastAsiaTheme="minorEastAsia"/>
          <w:highlight w:val="lightGray"/>
        </w:rPr>
        <w:t>Figure</w:t>
      </w:r>
      <w:r w:rsidRPr="00CC4270">
        <w:rPr>
          <w:rFonts w:eastAsiaTheme="minorEastAsia"/>
          <w:highlight w:val="lightGray"/>
        </w:rPr>
        <w:t xml:space="preserve"> </w:t>
      </w:r>
      <w:r w:rsidRPr="00102B29">
        <w:rPr>
          <w:rFonts w:eastAsiaTheme="minorEastAsia"/>
          <w:highlight w:val="lightGray"/>
        </w:rPr>
        <w:t>19</w:t>
      </w:r>
      <w:r>
        <w:rPr>
          <w:rFonts w:eastAsiaTheme="minorEastAsia"/>
        </w:rPr>
        <w:t xml:space="preserve">. As can be seen in the histogram, most cells of the MM have a lower hydraulic head than the cells at the same location in the OM. The highest largest number of cells of the MM have a hydraulic head that is around 0.25m lower than the OM. The positive peak in the histogram shows that the MM has a fraction of cells which hydraulic heads are about 0.5m higher than the heads of the same location in the OM. </w:t>
      </w:r>
    </w:p>
    <w:p w14:paraId="2089A8F1" w14:textId="77777777" w:rsidR="0009373C" w:rsidRDefault="0009373C" w:rsidP="0009373C">
      <w:pPr>
        <w:keepNext/>
        <w:jc w:val="center"/>
      </w:pPr>
      <w:r>
        <w:rPr>
          <w:noProof/>
        </w:rPr>
        <w:drawing>
          <wp:inline distT="0" distB="0" distL="0" distR="0" wp14:anchorId="730A3509" wp14:editId="69A17FB8">
            <wp:extent cx="4146697" cy="2624042"/>
            <wp:effectExtent l="0" t="0" r="0" b="0"/>
            <wp:docPr id="27" name="Picture 27" descr="A picture containing screensho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silhouette&#10;&#10;Description automatically generated"/>
                    <pic:cNvPicPr/>
                  </pic:nvPicPr>
                  <pic:blipFill rotWithShape="1">
                    <a:blip r:embed="rId29" cstate="print">
                      <a:extLst>
                        <a:ext uri="{28A0092B-C50C-407E-A947-70E740481C1C}">
                          <a14:useLocalDpi xmlns:a14="http://schemas.microsoft.com/office/drawing/2010/main" val="0"/>
                        </a:ext>
                      </a:extLst>
                    </a:blip>
                    <a:srcRect t="5080"/>
                    <a:stretch/>
                  </pic:blipFill>
                  <pic:spPr bwMode="auto">
                    <a:xfrm>
                      <a:off x="0" y="0"/>
                      <a:ext cx="4171912" cy="2639998"/>
                    </a:xfrm>
                    <a:prstGeom prst="rect">
                      <a:avLst/>
                    </a:prstGeom>
                    <a:ln>
                      <a:noFill/>
                    </a:ln>
                    <a:extLst>
                      <a:ext uri="{53640926-AAD7-44D8-BBD7-CCE9431645EC}">
                        <a14:shadowObscured xmlns:a14="http://schemas.microsoft.com/office/drawing/2010/main"/>
                      </a:ext>
                    </a:extLst>
                  </pic:spPr>
                </pic:pic>
              </a:graphicData>
            </a:graphic>
          </wp:inline>
        </w:drawing>
      </w:r>
    </w:p>
    <w:p w14:paraId="01B6EFC5" w14:textId="5F2DE6DD" w:rsidR="0009373C" w:rsidRDefault="0009373C" w:rsidP="0009373C">
      <w:pPr>
        <w:pStyle w:val="Caption"/>
        <w:jc w:val="center"/>
      </w:pPr>
      <w:r>
        <w:t xml:space="preserve">Figure </w:t>
      </w:r>
      <w:r>
        <w:fldChar w:fldCharType="begin"/>
      </w:r>
      <w:r>
        <w:instrText xml:space="preserve"> SEQ Figure \* ARABIC </w:instrText>
      </w:r>
      <w:r>
        <w:fldChar w:fldCharType="separate"/>
      </w:r>
      <w:r w:rsidR="00700EC2">
        <w:rPr>
          <w:noProof/>
        </w:rPr>
        <w:t>19</w:t>
      </w:r>
      <w:r>
        <w:fldChar w:fldCharType="end"/>
      </w:r>
      <w:r>
        <w:t xml:space="preserve">: </w:t>
      </w:r>
      <w:r>
        <w:t xml:space="preserve">Histogram of </w:t>
      </w:r>
      <w:commentRangeStart w:id="20"/>
      <w:r>
        <w:t>steady</w:t>
      </w:r>
      <w:commentRangeEnd w:id="20"/>
      <w:r>
        <w:rPr>
          <w:rStyle w:val="CommentReference"/>
          <w:i w:val="0"/>
          <w:iCs w:val="0"/>
          <w:color w:val="auto"/>
        </w:rPr>
        <w:commentReference w:id="20"/>
      </w:r>
      <w:r>
        <w:t xml:space="preserve"> state hydraulic head error in the study area</w:t>
      </w:r>
    </w:p>
    <w:p w14:paraId="0AB31D51" w14:textId="017D6A85" w:rsidR="00700EC2" w:rsidRDefault="00700EC2" w:rsidP="009249EA">
      <w:pPr>
        <w:keepNext/>
      </w:pPr>
      <w:r>
        <w:lastRenderedPageBreak/>
        <w:t xml:space="preserve">In </w:t>
      </w:r>
      <w:r w:rsidRPr="00700EC2">
        <w:rPr>
          <w:highlight w:val="lightGray"/>
        </w:rPr>
        <w:t xml:space="preserve">Figure </w:t>
      </w:r>
      <w:r>
        <w:t xml:space="preserve">20, the variability of the error of the metamodel with the original model for steady-state heads is shown for the </w:t>
      </w:r>
      <w:r w:rsidR="009249EA">
        <w:t>top 30m (</w:t>
      </w:r>
      <w:r w:rsidR="009249EA" w:rsidRPr="009249EA">
        <w:rPr>
          <w:highlight w:val="lightGray"/>
        </w:rPr>
        <w:t>Figure 20b</w:t>
      </w:r>
      <w:r w:rsidR="009249EA">
        <w:t>) and for the entire depth (</w:t>
      </w:r>
      <w:r w:rsidR="009249EA" w:rsidRPr="009249EA">
        <w:rPr>
          <w:highlight w:val="lightGray"/>
        </w:rPr>
        <w:t>Figure 20a</w:t>
      </w:r>
      <w:r w:rsidR="009249EA">
        <w:t xml:space="preserve">). It shows that the largest errors in the study area are found in the top 30m. Here, the steady-state hydraulic heads calculated by the metamodel are </w:t>
      </w:r>
    </w:p>
    <w:p w14:paraId="7D0B544B" w14:textId="02657E83" w:rsidR="00700EC2" w:rsidRDefault="00700EC2" w:rsidP="00700EC2">
      <w:pPr>
        <w:keepNext/>
        <w:jc w:val="center"/>
      </w:pPr>
      <w:r w:rsidRPr="00700EC2">
        <w:drawing>
          <wp:inline distT="0" distB="0" distL="0" distR="0" wp14:anchorId="559B75D3" wp14:editId="4BC9806B">
            <wp:extent cx="5155344" cy="6188149"/>
            <wp:effectExtent l="0" t="0" r="7620" b="0"/>
            <wp:docPr id="43" name="Picture 43" descr="A picture containing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creenshot, art&#10;&#10;Description automatically generated"/>
                    <pic:cNvPicPr/>
                  </pic:nvPicPr>
                  <pic:blipFill>
                    <a:blip r:embed="rId30"/>
                    <a:stretch>
                      <a:fillRect/>
                    </a:stretch>
                  </pic:blipFill>
                  <pic:spPr>
                    <a:xfrm>
                      <a:off x="0" y="0"/>
                      <a:ext cx="5161224" cy="6195208"/>
                    </a:xfrm>
                    <a:prstGeom prst="rect">
                      <a:avLst/>
                    </a:prstGeom>
                  </pic:spPr>
                </pic:pic>
              </a:graphicData>
            </a:graphic>
          </wp:inline>
        </w:drawing>
      </w:r>
    </w:p>
    <w:p w14:paraId="37B0E601" w14:textId="67608340" w:rsidR="00102B29" w:rsidRPr="00102B29" w:rsidRDefault="00700EC2" w:rsidP="009249EA">
      <w:pPr>
        <w:pStyle w:val="Caption"/>
      </w:pPr>
      <w:r>
        <w:t xml:space="preserve">Figure </w:t>
      </w:r>
      <w:r>
        <w:fldChar w:fldCharType="begin"/>
      </w:r>
      <w:r>
        <w:instrText xml:space="preserve"> SEQ Figure \* ARABIC </w:instrText>
      </w:r>
      <w:r>
        <w:fldChar w:fldCharType="separate"/>
      </w:r>
      <w:r>
        <w:rPr>
          <w:noProof/>
        </w:rPr>
        <w:t>20</w:t>
      </w:r>
      <w:r>
        <w:fldChar w:fldCharType="end"/>
      </w:r>
      <w:r>
        <w:t xml:space="preserve">: Top view </w:t>
      </w:r>
      <w:r w:rsidR="009249EA">
        <w:t xml:space="preserve">plot showing mean absolute </w:t>
      </w:r>
      <w:r>
        <w:t>errors</w:t>
      </w:r>
      <w:r w:rsidR="009249EA">
        <w:t xml:space="preserve"> over depth</w:t>
      </w:r>
      <w:r>
        <w:t xml:space="preserve"> </w:t>
      </w:r>
      <w:r w:rsidR="009249EA">
        <w:t>for the</w:t>
      </w:r>
      <w:r>
        <w:t xml:space="preserve"> steady state hydraulic heads</w:t>
      </w:r>
      <w:r w:rsidR="009249EA">
        <w:t>,</w:t>
      </w:r>
      <w:r>
        <w:t xml:space="preserve"> </w:t>
      </w:r>
      <w:r w:rsidR="009249EA">
        <w:t xml:space="preserve">of </w:t>
      </w:r>
      <w:r>
        <w:t xml:space="preserve">the metamodel </w:t>
      </w:r>
      <w:r w:rsidR="009249EA">
        <w:t>with</w:t>
      </w:r>
      <w:r>
        <w:t xml:space="preserve"> the original model. </w:t>
      </w:r>
      <w:r w:rsidR="009249EA">
        <w:t xml:space="preserve">Mean absolute error over entire depth (top, a), and mean absolute error over top 32.5m (bottom, b). </w:t>
      </w:r>
      <w:r>
        <w:t>The study area lies along the coastline between Scheveningen and Katwijk.</w:t>
      </w:r>
    </w:p>
    <w:p w14:paraId="58915E86" w14:textId="310E0869" w:rsidR="00700EC2" w:rsidRDefault="00700EC2" w:rsidP="00700EC2"/>
    <w:p w14:paraId="5B2A1F00" w14:textId="1402BFC3" w:rsidR="00700EC2" w:rsidRDefault="00700EC2">
      <w:pPr>
        <w:jc w:val="left"/>
        <w:rPr>
          <w:rFonts w:ascii="CMU Serif" w:eastAsiaTheme="majorEastAsia" w:hAnsi="CMU Serif" w:cs="CMU Serif"/>
          <w:sz w:val="26"/>
          <w:szCs w:val="26"/>
        </w:rPr>
      </w:pPr>
    </w:p>
    <w:p w14:paraId="488359BB" w14:textId="77777777" w:rsidR="00700EC2" w:rsidRDefault="00700EC2">
      <w:pPr>
        <w:jc w:val="left"/>
        <w:rPr>
          <w:rFonts w:ascii="CMU Serif" w:eastAsiaTheme="majorEastAsia" w:hAnsi="CMU Serif" w:cs="CMU Serif"/>
          <w:sz w:val="26"/>
          <w:szCs w:val="26"/>
        </w:rPr>
      </w:pPr>
    </w:p>
    <w:p w14:paraId="268A2431" w14:textId="77777777" w:rsidR="00700EC2" w:rsidRDefault="00700EC2">
      <w:pPr>
        <w:jc w:val="left"/>
        <w:rPr>
          <w:rFonts w:ascii="CMU Serif" w:eastAsiaTheme="majorEastAsia" w:hAnsi="CMU Serif" w:cs="CMU Serif"/>
          <w:sz w:val="26"/>
          <w:szCs w:val="26"/>
        </w:rPr>
      </w:pPr>
    </w:p>
    <w:p w14:paraId="7830E0D7" w14:textId="7216361E" w:rsidR="00234094" w:rsidRDefault="00234094" w:rsidP="00234094">
      <w:pPr>
        <w:pStyle w:val="Heading3"/>
      </w:pPr>
      <w:r>
        <w:t>Groundwater salinity</w:t>
      </w:r>
    </w:p>
    <w:p w14:paraId="2774546A" w14:textId="6497C6A7" w:rsidR="0035577F" w:rsidRPr="00234094" w:rsidRDefault="00234094" w:rsidP="0035577F">
      <w:r>
        <w:t xml:space="preserve">The groundwater salinity of the OM and MM are shown in parallel cross sections, perpendicular to the coastline (see </w:t>
      </w:r>
      <w:r w:rsidRPr="00234094">
        <w:rPr>
          <w:highlight w:val="lightGray"/>
        </w:rPr>
        <w:t>Figure 13</w:t>
      </w:r>
      <w:r>
        <w:t xml:space="preserve">) in </w:t>
      </w:r>
      <w:r w:rsidRPr="00234094">
        <w:rPr>
          <w:highlight w:val="lightGray"/>
        </w:rPr>
        <w:t>Figure X</w:t>
      </w:r>
      <w:r>
        <w:t xml:space="preserve">. As discussed in </w:t>
      </w:r>
      <w:r w:rsidRPr="00234094">
        <w:rPr>
          <w:highlight w:val="lightGray"/>
        </w:rPr>
        <w:t>Section 2.2.4</w:t>
      </w:r>
      <w:r>
        <w:t>, the groundwater salinity is represented by the concentration of Chloride</w:t>
      </w:r>
      <w:r w:rsidR="0063660E">
        <w:t xml:space="preserve"> (see </w:t>
      </w:r>
      <w:r w:rsidR="0063660E" w:rsidRPr="0063660E">
        <w:rPr>
          <w:highlight w:val="lightGray"/>
        </w:rPr>
        <w:t>Section 2.2.3. Input and output</w:t>
      </w:r>
      <w:r w:rsidR="0063660E">
        <w:t>)</w:t>
      </w:r>
      <w:r>
        <w:t>. In it, the effects of variable density flow can be seen. Generally, the fresh groundwater lies on top of the heavier saline groundwater.</w:t>
      </w:r>
    </w:p>
    <w:p w14:paraId="28393D5F" w14:textId="77777777" w:rsidR="00234094" w:rsidRDefault="00234094" w:rsidP="00234094">
      <w:pPr>
        <w:keepNext/>
        <w:jc w:val="center"/>
      </w:pPr>
      <w:r>
        <w:rPr>
          <w:noProof/>
        </w:rPr>
        <w:drawing>
          <wp:inline distT="0" distB="0" distL="0" distR="0" wp14:anchorId="056AE40D" wp14:editId="108ED03C">
            <wp:extent cx="4961077" cy="4675504"/>
            <wp:effectExtent l="0" t="0" r="0" b="0"/>
            <wp:docPr id="29" name="Picture 29"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video game&#10;&#10;Description automatically generated with low confidence"/>
                    <pic:cNvPicPr/>
                  </pic:nvPicPr>
                  <pic:blipFill rotWithShape="1">
                    <a:blip r:embed="rId31" cstate="print">
                      <a:extLst>
                        <a:ext uri="{28A0092B-C50C-407E-A947-70E740481C1C}">
                          <a14:useLocalDpi xmlns:a14="http://schemas.microsoft.com/office/drawing/2010/main" val="0"/>
                        </a:ext>
                      </a:extLst>
                    </a:blip>
                    <a:srcRect l="6591" t="9457" r="12477" b="49472"/>
                    <a:stretch/>
                  </pic:blipFill>
                  <pic:spPr bwMode="auto">
                    <a:xfrm>
                      <a:off x="0" y="0"/>
                      <a:ext cx="4973401" cy="4687119"/>
                    </a:xfrm>
                    <a:prstGeom prst="rect">
                      <a:avLst/>
                    </a:prstGeom>
                    <a:ln>
                      <a:noFill/>
                    </a:ln>
                    <a:extLst>
                      <a:ext uri="{53640926-AAD7-44D8-BBD7-CCE9431645EC}">
                        <a14:shadowObscured xmlns:a14="http://schemas.microsoft.com/office/drawing/2010/main"/>
                      </a:ext>
                    </a:extLst>
                  </pic:spPr>
                </pic:pic>
              </a:graphicData>
            </a:graphic>
          </wp:inline>
        </w:drawing>
      </w:r>
    </w:p>
    <w:p w14:paraId="0426EFB2" w14:textId="5123CB68" w:rsidR="00234094" w:rsidRPr="0035577F" w:rsidRDefault="00234094" w:rsidP="00234094">
      <w:pPr>
        <w:pStyle w:val="Caption"/>
        <w:jc w:val="center"/>
      </w:pPr>
      <w:r>
        <w:t xml:space="preserve">Figure </w:t>
      </w:r>
      <w:r>
        <w:fldChar w:fldCharType="begin"/>
      </w:r>
      <w:r>
        <w:instrText xml:space="preserve"> SEQ Figure \* ARABIC </w:instrText>
      </w:r>
      <w:r>
        <w:fldChar w:fldCharType="separate"/>
      </w:r>
      <w:r w:rsidR="00700EC2">
        <w:rPr>
          <w:noProof/>
        </w:rPr>
        <w:t>21</w:t>
      </w:r>
      <w:r>
        <w:fldChar w:fldCharType="end"/>
      </w:r>
      <w:r>
        <w:t>: groundwater salinity of metamodel (MM) and original model (MM)</w:t>
      </w:r>
    </w:p>
    <w:p w14:paraId="6EC062BA" w14:textId="77777777" w:rsidR="00717BC3" w:rsidRDefault="00717BC3">
      <w:pPr>
        <w:jc w:val="left"/>
        <w:rPr>
          <w:rFonts w:ascii="CMU Serif" w:eastAsiaTheme="majorEastAsia" w:hAnsi="CMU Serif" w:cs="CMU Serif"/>
          <w:sz w:val="26"/>
          <w:szCs w:val="26"/>
        </w:rPr>
      </w:pPr>
      <w:r>
        <w:br w:type="page"/>
      </w:r>
    </w:p>
    <w:p w14:paraId="5497074D" w14:textId="7603116C" w:rsidR="00234094" w:rsidRDefault="00234094" w:rsidP="00234094">
      <w:pPr>
        <w:pStyle w:val="Heading3"/>
      </w:pPr>
      <w:r>
        <w:lastRenderedPageBreak/>
        <w:t>Water balance</w:t>
      </w:r>
    </w:p>
    <w:p w14:paraId="332917A7" w14:textId="070E1A29" w:rsidR="00717BC3" w:rsidRDefault="00234094" w:rsidP="00234094">
      <w:r>
        <w:t>After the global calibration is deemed sufficient, the cell budgets and intercell flows are used to calibrate the conductivity below the infiltration ponds (represented as G</w:t>
      </w:r>
      <w:r w:rsidR="00717BC3">
        <w:t xml:space="preserve">eneral </w:t>
      </w:r>
      <w:r>
        <w:t>H</w:t>
      </w:r>
      <w:r w:rsidR="00717BC3">
        <w:t xml:space="preserve">ead </w:t>
      </w:r>
      <w:r>
        <w:t>B</w:t>
      </w:r>
      <w:r w:rsidR="00717BC3">
        <w:t>oundary condition</w:t>
      </w:r>
      <w:r>
        <w:t xml:space="preserve">, see </w:t>
      </w:r>
      <w:r w:rsidRPr="00234094">
        <w:rPr>
          <w:highlight w:val="lightGray"/>
        </w:rPr>
        <w:t>Section 2.2.2.2</w:t>
      </w:r>
      <w:r>
        <w:t xml:space="preserve">.) </w:t>
      </w:r>
      <w:r w:rsidR="00717BC3">
        <w:t xml:space="preserve">to </w:t>
      </w:r>
      <w:r>
        <w:t>the water balance in the study area</w:t>
      </w:r>
      <w:r w:rsidR="00717BC3">
        <w:t xml:space="preserve">. </w:t>
      </w:r>
      <w:r w:rsidR="00717BC3" w:rsidRPr="00717BC3">
        <w:rPr>
          <w:highlight w:val="lightGray"/>
        </w:rPr>
        <w:t>Figure 17</w:t>
      </w:r>
      <w:r w:rsidR="00717BC3">
        <w:t xml:space="preserve"> shows the water balance of the study area in the OM to which the conductance of the infiltration ponds is calibration</w:t>
      </w:r>
      <w:r w:rsidR="00BE07EE">
        <w:t xml:space="preserve"> (see </w:t>
      </w:r>
      <w:r w:rsidR="00BE07EE" w:rsidRPr="00BE07EE">
        <w:rPr>
          <w:highlight w:val="lightGray"/>
        </w:rPr>
        <w:t>section 2.2.1</w:t>
      </w:r>
      <w:r w:rsidR="00BE07EE">
        <w:t xml:space="preserve"> for study area)</w:t>
      </w:r>
      <w:r w:rsidR="00717BC3">
        <w:t xml:space="preserve">. After six iterations, the conductance term below all GHB cells inside the study area in the MM have been decreased to a factor of 0.625 to match the water balances. </w:t>
      </w:r>
    </w:p>
    <w:p w14:paraId="3494048C" w14:textId="77777777" w:rsidR="00717BC3" w:rsidRDefault="00717BC3" w:rsidP="00717BC3">
      <w:pPr>
        <w:keepNext/>
        <w:jc w:val="center"/>
      </w:pPr>
      <w:r>
        <w:rPr>
          <w:noProof/>
        </w:rPr>
        <w:drawing>
          <wp:inline distT="0" distB="0" distL="0" distR="0" wp14:anchorId="23404295" wp14:editId="73471B4D">
            <wp:extent cx="3916392" cy="2610928"/>
            <wp:effectExtent l="0" t="0" r="0" b="0"/>
            <wp:docPr id="31" name="Picture 3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graph&#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35009" cy="2623339"/>
                    </a:xfrm>
                    <a:prstGeom prst="rect">
                      <a:avLst/>
                    </a:prstGeom>
                  </pic:spPr>
                </pic:pic>
              </a:graphicData>
            </a:graphic>
          </wp:inline>
        </w:drawing>
      </w:r>
    </w:p>
    <w:p w14:paraId="23F9B9CE" w14:textId="340A76A9" w:rsidR="00717BC3" w:rsidRPr="00717BC3" w:rsidRDefault="00717BC3" w:rsidP="0082426A">
      <w:pPr>
        <w:pStyle w:val="Caption"/>
        <w:jc w:val="center"/>
        <w:rPr>
          <w:noProof/>
        </w:rPr>
      </w:pPr>
      <w:r>
        <w:t xml:space="preserve">Figure </w:t>
      </w:r>
      <w:r>
        <w:fldChar w:fldCharType="begin"/>
      </w:r>
      <w:r>
        <w:instrText xml:space="preserve"> SEQ Figure \* ARABIC </w:instrText>
      </w:r>
      <w:r>
        <w:fldChar w:fldCharType="separate"/>
      </w:r>
      <w:r w:rsidR="00700EC2">
        <w:rPr>
          <w:noProof/>
        </w:rPr>
        <w:t>22</w:t>
      </w:r>
      <w:r>
        <w:fldChar w:fldCharType="end"/>
      </w:r>
      <w:commentRangeStart w:id="21"/>
      <w:r>
        <w:t>: w</w:t>
      </w:r>
      <w:commentRangeEnd w:id="21"/>
      <w:r w:rsidR="00102B29">
        <w:rPr>
          <w:rStyle w:val="CommentReference"/>
          <w:i w:val="0"/>
          <w:iCs w:val="0"/>
          <w:color w:val="auto"/>
        </w:rPr>
        <w:commentReference w:id="21"/>
      </w:r>
      <w:r>
        <w:t>ater balance of the study</w:t>
      </w:r>
      <w:r>
        <w:rPr>
          <w:noProof/>
        </w:rPr>
        <w:t xml:space="preserve"> area in the original model (OM)</w:t>
      </w:r>
    </w:p>
    <w:p w14:paraId="2777068F" w14:textId="77777777" w:rsidR="00717BC3" w:rsidRDefault="00717BC3" w:rsidP="00717BC3">
      <w:pPr>
        <w:keepNext/>
        <w:jc w:val="center"/>
      </w:pPr>
      <w:r>
        <w:rPr>
          <w:noProof/>
        </w:rPr>
        <w:drawing>
          <wp:inline distT="0" distB="0" distL="0" distR="0" wp14:anchorId="3D556223" wp14:editId="02E2A174">
            <wp:extent cx="3976777" cy="2651185"/>
            <wp:effectExtent l="0" t="0" r="0" b="0"/>
            <wp:docPr id="30" name="Picture 30"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graph&#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88668" cy="2659112"/>
                    </a:xfrm>
                    <a:prstGeom prst="rect">
                      <a:avLst/>
                    </a:prstGeom>
                  </pic:spPr>
                </pic:pic>
              </a:graphicData>
            </a:graphic>
          </wp:inline>
        </w:drawing>
      </w:r>
    </w:p>
    <w:p w14:paraId="578D9CF9" w14:textId="151105DD" w:rsidR="00717BC3" w:rsidRDefault="00717BC3" w:rsidP="00717BC3">
      <w:pPr>
        <w:pStyle w:val="Caption"/>
        <w:jc w:val="center"/>
      </w:pPr>
      <w:r>
        <w:t xml:space="preserve">Figure </w:t>
      </w:r>
      <w:r>
        <w:fldChar w:fldCharType="begin"/>
      </w:r>
      <w:r>
        <w:instrText xml:space="preserve"> SEQ Figure \* ARABIC </w:instrText>
      </w:r>
      <w:r>
        <w:fldChar w:fldCharType="separate"/>
      </w:r>
      <w:r w:rsidR="00700EC2">
        <w:rPr>
          <w:noProof/>
        </w:rPr>
        <w:t>23</w:t>
      </w:r>
      <w:r>
        <w:fldChar w:fldCharType="end"/>
      </w:r>
      <w:r>
        <w:t xml:space="preserve">: Steady state water balance for the study </w:t>
      </w:r>
      <w:commentRangeStart w:id="22"/>
      <w:r>
        <w:t>area</w:t>
      </w:r>
      <w:commentRangeEnd w:id="22"/>
      <w:r>
        <w:rPr>
          <w:rStyle w:val="CommentReference"/>
          <w:i w:val="0"/>
          <w:iCs w:val="0"/>
          <w:color w:val="auto"/>
        </w:rPr>
        <w:commentReference w:id="22"/>
      </w:r>
      <w:r>
        <w:t xml:space="preserve"> for the metamodel (MM) after 6 iterations on conductance (cond6)</w:t>
      </w:r>
    </w:p>
    <w:p w14:paraId="1FBD52B2" w14:textId="353672F7" w:rsidR="00717BC3" w:rsidRDefault="00717BC3" w:rsidP="00717BC3">
      <w:pPr>
        <w:jc w:val="left"/>
      </w:pPr>
    </w:p>
    <w:p w14:paraId="59AC4FD2" w14:textId="723310A8" w:rsidR="00064DCE" w:rsidRDefault="00064DCE" w:rsidP="001E39D2"/>
    <w:p w14:paraId="2C12E45C" w14:textId="6BCF637A" w:rsidR="00BE07EE" w:rsidRDefault="00BE07EE" w:rsidP="001E39D2"/>
    <w:p w14:paraId="3F5D89C6" w14:textId="24A58A6D" w:rsidR="00BE07EE" w:rsidRDefault="00CB5920" w:rsidP="001E39D2">
      <w:r w:rsidRPr="00CB5920">
        <w:lastRenderedPageBreak/>
        <w:t>Vertical fl</w:t>
      </w:r>
      <w:r>
        <w:t xml:space="preserve">ow through the lower face of a cell can be summoned from the model output through flow lower face budget values. As described in </w:t>
      </w:r>
      <w:r w:rsidRPr="00CB5920">
        <w:rPr>
          <w:highlight w:val="lightGray"/>
        </w:rPr>
        <w:t>section 2.4.</w:t>
      </w:r>
      <w:r>
        <w:t xml:space="preserve">, the convention </w:t>
      </w:r>
      <w:r w:rsidR="00A221D2">
        <w:t>describes</w:t>
      </w:r>
      <w:r>
        <w:t xml:space="preserve"> that upward flow through the lower face of a cell is positive, and accordingly downward flow through the lower face of a cell is negative. </w:t>
      </w:r>
      <w:r w:rsidR="000B54F2" w:rsidRPr="000B54F2">
        <w:rPr>
          <w:highlight w:val="lightGray"/>
        </w:rPr>
        <w:t>Figures 22 and 23</w:t>
      </w:r>
      <w:r w:rsidR="000B54F2">
        <w:t xml:space="preserve"> show the error that the metamodel has for flow lower face budget values, compared to the original model. For an elaboration of the term “Study area”, see </w:t>
      </w:r>
      <w:r w:rsidR="000B54F2" w:rsidRPr="000B54F2">
        <w:rPr>
          <w:highlight w:val="lightGray"/>
        </w:rPr>
        <w:t>section 2.2.1.</w:t>
      </w:r>
      <w:r w:rsidR="000B5C85">
        <w:t xml:space="preserve"> Globally, the mean vertical flow downward is lower in the metamodel than in the original model. In the study area, the mean vertical flow downward is higher in the metamodel than in the original model. The standard deviation is higher in the study area than in the global model domain.</w:t>
      </w:r>
    </w:p>
    <w:p w14:paraId="6AF1780A" w14:textId="77777777" w:rsidR="00BE07EE" w:rsidRDefault="00BE07EE" w:rsidP="000B54F2">
      <w:pPr>
        <w:keepNext/>
        <w:jc w:val="center"/>
      </w:pPr>
      <w:r>
        <w:rPr>
          <w:noProof/>
        </w:rPr>
        <w:drawing>
          <wp:inline distT="0" distB="0" distL="0" distR="0" wp14:anchorId="77B03322" wp14:editId="0BB6F413">
            <wp:extent cx="3561907" cy="2374605"/>
            <wp:effectExtent l="0" t="0" r="0" b="6985"/>
            <wp:docPr id="39" name="Picture 39" descr="A picture containing text, screenshot,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creenshot, rectangle, desig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6213" cy="2390809"/>
                    </a:xfrm>
                    <a:prstGeom prst="rect">
                      <a:avLst/>
                    </a:prstGeom>
                  </pic:spPr>
                </pic:pic>
              </a:graphicData>
            </a:graphic>
          </wp:inline>
        </w:drawing>
      </w:r>
    </w:p>
    <w:p w14:paraId="4C97107E" w14:textId="62C0B955" w:rsidR="00BE07EE" w:rsidRDefault="00BE07EE" w:rsidP="000B54F2">
      <w:pPr>
        <w:pStyle w:val="Caption"/>
        <w:jc w:val="center"/>
      </w:pPr>
      <w:r>
        <w:t xml:space="preserve">Figure </w:t>
      </w:r>
      <w:r>
        <w:fldChar w:fldCharType="begin"/>
      </w:r>
      <w:r>
        <w:instrText xml:space="preserve"> SEQ Figure \* ARABIC </w:instrText>
      </w:r>
      <w:r>
        <w:fldChar w:fldCharType="separate"/>
      </w:r>
      <w:r w:rsidR="00700EC2">
        <w:rPr>
          <w:noProof/>
        </w:rPr>
        <w:t>24</w:t>
      </w:r>
      <w:r>
        <w:fldChar w:fldCharType="end"/>
      </w:r>
      <w:r>
        <w:t>: Flow lower face error global</w:t>
      </w:r>
    </w:p>
    <w:p w14:paraId="446630B1" w14:textId="77777777" w:rsidR="00BE07EE" w:rsidRDefault="00BE07EE" w:rsidP="000B54F2">
      <w:pPr>
        <w:keepNext/>
        <w:jc w:val="center"/>
      </w:pPr>
      <w:r>
        <w:rPr>
          <w:noProof/>
        </w:rPr>
        <w:drawing>
          <wp:inline distT="0" distB="0" distL="0" distR="0" wp14:anchorId="31CFB31D" wp14:editId="5C034B47">
            <wp:extent cx="3678865" cy="2452576"/>
            <wp:effectExtent l="0" t="0" r="0" b="5080"/>
            <wp:docPr id="40" name="Picture 40"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desig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90996" cy="2460663"/>
                    </a:xfrm>
                    <a:prstGeom prst="rect">
                      <a:avLst/>
                    </a:prstGeom>
                  </pic:spPr>
                </pic:pic>
              </a:graphicData>
            </a:graphic>
          </wp:inline>
        </w:drawing>
      </w:r>
    </w:p>
    <w:p w14:paraId="0E283928" w14:textId="4DAC09BC" w:rsidR="00BE07EE" w:rsidRDefault="00BE07EE" w:rsidP="000B54F2">
      <w:pPr>
        <w:pStyle w:val="Caption"/>
        <w:jc w:val="center"/>
      </w:pPr>
      <w:r>
        <w:t xml:space="preserve">Figure </w:t>
      </w:r>
      <w:r>
        <w:fldChar w:fldCharType="begin"/>
      </w:r>
      <w:r>
        <w:instrText xml:space="preserve"> SEQ Figure \* ARABIC </w:instrText>
      </w:r>
      <w:r>
        <w:fldChar w:fldCharType="separate"/>
      </w:r>
      <w:r w:rsidR="00700EC2">
        <w:rPr>
          <w:noProof/>
        </w:rPr>
        <w:t>25</w:t>
      </w:r>
      <w:r>
        <w:fldChar w:fldCharType="end"/>
      </w:r>
      <w:r>
        <w:t>: Flow lower face error for study area</w:t>
      </w:r>
    </w:p>
    <w:p w14:paraId="014BF702" w14:textId="77777777" w:rsidR="00CB5920" w:rsidRDefault="00CB5920">
      <w:pPr>
        <w:jc w:val="left"/>
        <w:rPr>
          <w:rFonts w:ascii="CMU Serif" w:eastAsiaTheme="majorEastAsia" w:hAnsi="CMU Serif" w:cs="CMU Serif"/>
          <w:sz w:val="28"/>
          <w:szCs w:val="28"/>
        </w:rPr>
      </w:pPr>
      <w:r>
        <w:br w:type="page"/>
      </w:r>
    </w:p>
    <w:p w14:paraId="6C8C0B08" w14:textId="73543A42" w:rsidR="00545E43" w:rsidRDefault="00545E43" w:rsidP="00545E43">
      <w:pPr>
        <w:pStyle w:val="Heading2"/>
      </w:pPr>
      <w:r>
        <w:lastRenderedPageBreak/>
        <w:t>Model validation</w:t>
      </w:r>
    </w:p>
    <w:p w14:paraId="4D7DE130" w14:textId="4CFDCE07" w:rsidR="008B5AE6" w:rsidRDefault="008B5AE6" w:rsidP="008B5AE6">
      <w:pPr>
        <w:pStyle w:val="Heading3"/>
      </w:pPr>
      <w:r>
        <w:t>Origin tracers and HyFA</w:t>
      </w:r>
    </w:p>
    <w:p w14:paraId="0E2F4DFF" w14:textId="55DFEE75" w:rsidR="005405B5" w:rsidRDefault="008B53D0" w:rsidP="005405B5">
      <w:pPr>
        <w:pStyle w:val="ListParagraph"/>
        <w:numPr>
          <w:ilvl w:val="3"/>
          <w:numId w:val="1"/>
        </w:numPr>
      </w:pPr>
      <w:r>
        <w:t>Cross section along coastline</w:t>
      </w:r>
    </w:p>
    <w:p w14:paraId="0ACBD965" w14:textId="3DD1D79B" w:rsidR="003042D3" w:rsidRDefault="003042D3" w:rsidP="003042D3">
      <w:r w:rsidRPr="003042D3">
        <w:rPr>
          <w:highlight w:val="lightGray"/>
        </w:rPr>
        <w:t>Figures 22 and 23</w:t>
      </w:r>
      <w:r>
        <w:t xml:space="preserve"> show how the origin tracers in the metamodel compare to the HyFA. The depths to which the artificially enhanced infiltration reaches is about 80m. The brackish water zone is about 20m depth in both. The shape of the artificially infiltrated groundwater by the metamodel differs from that of (Stuyfzand, 1993), as there is a region of “native” fresh water in between two “alien” infiltrated water bodies. The horizontal extent corresponds globally, although the overall s</w:t>
      </w:r>
      <w:r w:rsidR="001A4276">
        <w:t>hape varies between the two</w:t>
      </w:r>
      <w:r>
        <w:t>.</w:t>
      </w:r>
    </w:p>
    <w:p w14:paraId="5DA1BE68" w14:textId="77777777" w:rsidR="00727F1A" w:rsidRDefault="00234CEE" w:rsidP="00727F1A">
      <w:pPr>
        <w:keepNext/>
        <w:ind w:left="360"/>
        <w:jc w:val="center"/>
      </w:pPr>
      <w:commentRangeStart w:id="23"/>
      <w:r w:rsidRPr="00E332B5">
        <w:rPr>
          <w:noProof/>
        </w:rPr>
        <w:drawing>
          <wp:inline distT="0" distB="0" distL="0" distR="0" wp14:anchorId="50406C2D" wp14:editId="12E87BDA">
            <wp:extent cx="4876845" cy="3181350"/>
            <wp:effectExtent l="0" t="0" r="0" b="0"/>
            <wp:docPr id="33" name="Picture 3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ap&#10;&#10;Description automatically generated"/>
                    <pic:cNvPicPr/>
                  </pic:nvPicPr>
                  <pic:blipFill>
                    <a:blip r:embed="rId25"/>
                    <a:stretch>
                      <a:fillRect/>
                    </a:stretch>
                  </pic:blipFill>
                  <pic:spPr>
                    <a:xfrm>
                      <a:off x="0" y="0"/>
                      <a:ext cx="4883677" cy="3185807"/>
                    </a:xfrm>
                    <a:prstGeom prst="rect">
                      <a:avLst/>
                    </a:prstGeom>
                  </pic:spPr>
                </pic:pic>
              </a:graphicData>
            </a:graphic>
          </wp:inline>
        </w:drawing>
      </w:r>
      <w:commentRangeEnd w:id="23"/>
    </w:p>
    <w:p w14:paraId="21128A61" w14:textId="2212F7D2" w:rsidR="00727F1A" w:rsidRDefault="00727F1A" w:rsidP="00727F1A">
      <w:pPr>
        <w:pStyle w:val="Caption"/>
        <w:jc w:val="center"/>
      </w:pPr>
      <w:r>
        <w:t xml:space="preserve">Figure </w:t>
      </w:r>
      <w:r>
        <w:fldChar w:fldCharType="begin"/>
      </w:r>
      <w:r>
        <w:instrText xml:space="preserve"> SEQ Figure \* ARABIC </w:instrText>
      </w:r>
      <w:r>
        <w:fldChar w:fldCharType="separate"/>
      </w:r>
      <w:r w:rsidR="00700EC2">
        <w:rPr>
          <w:noProof/>
        </w:rPr>
        <w:t>26</w:t>
      </w:r>
      <w:r>
        <w:fldChar w:fldCharType="end"/>
      </w:r>
      <w:r>
        <w:t>: Cross section with origin tracers along coastline, interpreted version of cross section by (Stuyfzand, 1993)</w:t>
      </w:r>
    </w:p>
    <w:p w14:paraId="373AD90F" w14:textId="7A5D3417" w:rsidR="00087A03" w:rsidRDefault="00234CEE" w:rsidP="005405B5">
      <w:pPr>
        <w:jc w:val="center"/>
      </w:pPr>
      <w:r>
        <w:rPr>
          <w:rStyle w:val="CommentReference"/>
        </w:rPr>
        <w:lastRenderedPageBreak/>
        <w:commentReference w:id="23"/>
      </w:r>
      <w:r w:rsidR="001E7E38" w:rsidRPr="001E7E38">
        <w:rPr>
          <w:noProof/>
        </w:rPr>
        <w:drawing>
          <wp:inline distT="0" distB="0" distL="0" distR="0" wp14:anchorId="50303C90" wp14:editId="195607A7">
            <wp:extent cx="4650513" cy="3571173"/>
            <wp:effectExtent l="0" t="0" r="0" b="0"/>
            <wp:docPr id="5" name="Picture 5"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creenshot, text&#10;&#10;Description automatically generated"/>
                    <pic:cNvPicPr/>
                  </pic:nvPicPr>
                  <pic:blipFill rotWithShape="1">
                    <a:blip r:embed="rId36"/>
                    <a:srcRect l="2882" b="6327"/>
                    <a:stretch/>
                  </pic:blipFill>
                  <pic:spPr bwMode="auto">
                    <a:xfrm>
                      <a:off x="0" y="0"/>
                      <a:ext cx="4651136" cy="3571651"/>
                    </a:xfrm>
                    <a:prstGeom prst="rect">
                      <a:avLst/>
                    </a:prstGeom>
                    <a:ln>
                      <a:noFill/>
                    </a:ln>
                    <a:extLst>
                      <a:ext uri="{53640926-AAD7-44D8-BBD7-CCE9431645EC}">
                        <a14:shadowObscured xmlns:a14="http://schemas.microsoft.com/office/drawing/2010/main"/>
                      </a:ext>
                    </a:extLst>
                  </pic:spPr>
                </pic:pic>
              </a:graphicData>
            </a:graphic>
          </wp:inline>
        </w:drawing>
      </w:r>
    </w:p>
    <w:p w14:paraId="6020E5D9" w14:textId="659B4BA8" w:rsidR="008B53D0" w:rsidRPr="008B53D0" w:rsidRDefault="00087A03" w:rsidP="00727F1A">
      <w:pPr>
        <w:pStyle w:val="Caption"/>
        <w:jc w:val="center"/>
      </w:pPr>
      <w:r>
        <w:t xml:space="preserve">Figure </w:t>
      </w:r>
      <w:r>
        <w:fldChar w:fldCharType="begin"/>
      </w:r>
      <w:r>
        <w:instrText xml:space="preserve"> SEQ Figure \* ARABIC </w:instrText>
      </w:r>
      <w:r>
        <w:fldChar w:fldCharType="separate"/>
      </w:r>
      <w:r w:rsidR="00700EC2">
        <w:rPr>
          <w:noProof/>
        </w:rPr>
        <w:t>27</w:t>
      </w:r>
      <w:r>
        <w:fldChar w:fldCharType="end"/>
      </w:r>
      <w:r>
        <w:t>: Metamodel output showing species after a 39y simulation</w:t>
      </w:r>
    </w:p>
    <w:p w14:paraId="4DC1C466" w14:textId="37E7CC42" w:rsidR="00234CEE" w:rsidRDefault="00234CEE">
      <w:pPr>
        <w:jc w:val="left"/>
      </w:pPr>
    </w:p>
    <w:p w14:paraId="328D7370" w14:textId="77777777" w:rsidR="003042D3" w:rsidRDefault="003042D3">
      <w:pPr>
        <w:jc w:val="left"/>
      </w:pPr>
      <w:r>
        <w:br w:type="page"/>
      </w:r>
    </w:p>
    <w:p w14:paraId="350C9ACD" w14:textId="77925CA3" w:rsidR="008B53D0" w:rsidRDefault="008B53D0" w:rsidP="008B53D0">
      <w:pPr>
        <w:pStyle w:val="ListParagraph"/>
        <w:numPr>
          <w:ilvl w:val="3"/>
          <w:numId w:val="1"/>
        </w:numPr>
      </w:pPr>
      <w:r>
        <w:lastRenderedPageBreak/>
        <w:t xml:space="preserve">Cross section perpendicular to </w:t>
      </w:r>
      <w:r w:rsidR="00087A03">
        <w:t>coastline</w:t>
      </w:r>
    </w:p>
    <w:p w14:paraId="44F8C7F5" w14:textId="10101940" w:rsidR="003042D3" w:rsidRDefault="003042D3" w:rsidP="003042D3">
      <w:r w:rsidRPr="003042D3">
        <w:rPr>
          <w:highlight w:val="lightGray"/>
        </w:rPr>
        <w:t>Figures 24 and 25</w:t>
      </w:r>
      <w:r>
        <w:t xml:space="preserve"> show the groundwater origins on cross sections perpendicular to the coastline. The depth to which artificial infiltration </w:t>
      </w:r>
      <w:r w:rsidR="001A4276">
        <w:t xml:space="preserve">reaches in 40 years is slightly lower in the metamodel output (-60m) , compared to the HyFA (-80m). The horizontal extent and global shape of the artificially infiltrated groundwater are represented by the metamodel. The shape of the fresh-brackish and the brackish-saline interfaces in the metamodel coincide globally with those in the HyFA. </w:t>
      </w:r>
    </w:p>
    <w:p w14:paraId="59B7E6B4" w14:textId="77777777" w:rsidR="003042D3" w:rsidRDefault="00A82D6B" w:rsidP="003042D3">
      <w:pPr>
        <w:keepNext/>
        <w:jc w:val="center"/>
      </w:pPr>
      <w:r w:rsidRPr="00A82D6B">
        <w:drawing>
          <wp:inline distT="0" distB="0" distL="0" distR="0" wp14:anchorId="7AFB8F73" wp14:editId="75FE5CFC">
            <wp:extent cx="4666823" cy="3529330"/>
            <wp:effectExtent l="0" t="0" r="635" b="0"/>
            <wp:docPr id="11" name="Picture 11" descr="A picture containing diagram, sketch,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sketch, text, drawing&#10;&#10;Description automatically generated"/>
                    <pic:cNvPicPr/>
                  </pic:nvPicPr>
                  <pic:blipFill>
                    <a:blip r:embed="rId37"/>
                    <a:stretch>
                      <a:fillRect/>
                    </a:stretch>
                  </pic:blipFill>
                  <pic:spPr>
                    <a:xfrm>
                      <a:off x="0" y="0"/>
                      <a:ext cx="4690576" cy="3547293"/>
                    </a:xfrm>
                    <a:prstGeom prst="rect">
                      <a:avLst/>
                    </a:prstGeom>
                  </pic:spPr>
                </pic:pic>
              </a:graphicData>
            </a:graphic>
          </wp:inline>
        </w:drawing>
      </w:r>
    </w:p>
    <w:p w14:paraId="3213AE60" w14:textId="235C99F5" w:rsidR="00A82D6B" w:rsidRDefault="003042D3" w:rsidP="003042D3">
      <w:pPr>
        <w:pStyle w:val="Caption"/>
        <w:jc w:val="center"/>
      </w:pPr>
      <w:r>
        <w:t xml:space="preserve">Figure </w:t>
      </w:r>
      <w:r>
        <w:fldChar w:fldCharType="begin"/>
      </w:r>
      <w:r>
        <w:instrText xml:space="preserve"> SEQ Figure \* ARABIC </w:instrText>
      </w:r>
      <w:r>
        <w:fldChar w:fldCharType="separate"/>
      </w:r>
      <w:r w:rsidR="00700EC2">
        <w:rPr>
          <w:noProof/>
        </w:rPr>
        <w:t>28</w:t>
      </w:r>
      <w:r>
        <w:fldChar w:fldCharType="end"/>
      </w:r>
      <w:r>
        <w:t>: Cross section perpendicular to coastline (Stuyfzand, 1993)</w:t>
      </w:r>
    </w:p>
    <w:p w14:paraId="0838D98C" w14:textId="77777777" w:rsidR="00A82D6B" w:rsidRDefault="00A82D6B" w:rsidP="00A82D6B">
      <w:pPr>
        <w:keepNext/>
        <w:jc w:val="center"/>
      </w:pPr>
      <w:r w:rsidRPr="00A82D6B">
        <w:lastRenderedPageBreak/>
        <w:drawing>
          <wp:inline distT="0" distB="0" distL="0" distR="0" wp14:anchorId="2825C37D" wp14:editId="3AFD1B40">
            <wp:extent cx="4959674" cy="3838575"/>
            <wp:effectExtent l="0" t="0" r="0" b="0"/>
            <wp:docPr id="7" name="Picture 7"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 text, diagram&#10;&#10;Description automatically generated"/>
                    <pic:cNvPicPr/>
                  </pic:nvPicPr>
                  <pic:blipFill rotWithShape="1">
                    <a:blip r:embed="rId38"/>
                    <a:srcRect l="3199" b="3520"/>
                    <a:stretch/>
                  </pic:blipFill>
                  <pic:spPr bwMode="auto">
                    <a:xfrm>
                      <a:off x="0" y="0"/>
                      <a:ext cx="4970955" cy="3847306"/>
                    </a:xfrm>
                    <a:prstGeom prst="rect">
                      <a:avLst/>
                    </a:prstGeom>
                    <a:ln>
                      <a:noFill/>
                    </a:ln>
                    <a:extLst>
                      <a:ext uri="{53640926-AAD7-44D8-BBD7-CCE9431645EC}">
                        <a14:shadowObscured xmlns:a14="http://schemas.microsoft.com/office/drawing/2010/main"/>
                      </a:ext>
                    </a:extLst>
                  </pic:spPr>
                </pic:pic>
              </a:graphicData>
            </a:graphic>
          </wp:inline>
        </w:drawing>
      </w:r>
    </w:p>
    <w:p w14:paraId="55C4959A" w14:textId="7A2F1443" w:rsidR="008B53D0" w:rsidRPr="008B5AE6" w:rsidRDefault="00A82D6B" w:rsidP="00A82D6B">
      <w:pPr>
        <w:pStyle w:val="Caption"/>
        <w:jc w:val="center"/>
      </w:pPr>
      <w:r>
        <w:t xml:space="preserve">Figure </w:t>
      </w:r>
      <w:r>
        <w:fldChar w:fldCharType="begin"/>
      </w:r>
      <w:r>
        <w:instrText xml:space="preserve"> SEQ Figure \* ARABIC </w:instrText>
      </w:r>
      <w:r>
        <w:fldChar w:fldCharType="separate"/>
      </w:r>
      <w:r w:rsidR="00700EC2">
        <w:rPr>
          <w:noProof/>
        </w:rPr>
        <w:t>29</w:t>
      </w:r>
      <w:r>
        <w:fldChar w:fldCharType="end"/>
      </w:r>
      <w:r>
        <w:t xml:space="preserve">: Cross section </w:t>
      </w:r>
      <w:commentRangeStart w:id="24"/>
      <w:r>
        <w:t>perpendicular to coastline</w:t>
      </w:r>
      <w:commentRangeEnd w:id="24"/>
      <w:r>
        <w:rPr>
          <w:rStyle w:val="CommentReference"/>
          <w:i w:val="0"/>
          <w:iCs w:val="0"/>
          <w:color w:val="auto"/>
        </w:rPr>
        <w:commentReference w:id="24"/>
      </w:r>
    </w:p>
    <w:p w14:paraId="181A8B54" w14:textId="77777777" w:rsidR="00A82D6B" w:rsidRDefault="00A82D6B">
      <w:pPr>
        <w:jc w:val="left"/>
        <w:rPr>
          <w:rFonts w:ascii="CMU Serif" w:eastAsiaTheme="majorEastAsia" w:hAnsi="CMU Serif" w:cs="CMU Serif"/>
          <w:sz w:val="26"/>
          <w:szCs w:val="26"/>
        </w:rPr>
      </w:pPr>
      <w:r>
        <w:br w:type="page"/>
      </w:r>
    </w:p>
    <w:p w14:paraId="49831037" w14:textId="2BDC775F" w:rsidR="00A57B9D" w:rsidRDefault="00A57B9D" w:rsidP="008B5AE6">
      <w:pPr>
        <w:pStyle w:val="Heading3"/>
      </w:pPr>
      <w:r>
        <w:lastRenderedPageBreak/>
        <w:t>Fresh-saline interface</w:t>
      </w:r>
    </w:p>
    <w:p w14:paraId="43DC2F1C" w14:textId="5FFE794B" w:rsidR="001A4276" w:rsidRPr="001A4276" w:rsidRDefault="001A4276" w:rsidP="001A4276">
      <w:r>
        <w:t xml:space="preserve">In </w:t>
      </w:r>
      <w:r w:rsidRPr="001A4276">
        <w:rPr>
          <w:highlight w:val="lightGray"/>
        </w:rPr>
        <w:t>Figure 26</w:t>
      </w:r>
      <w:r>
        <w:t xml:space="preserve">, the depth of the fresh-saline interface </w:t>
      </w:r>
      <w:r w:rsidR="00BC2A13">
        <w:t xml:space="preserve">is shown (see </w:t>
      </w:r>
      <w:r w:rsidR="00BC2A13" w:rsidRPr="00BC2A13">
        <w:rPr>
          <w:highlight w:val="lightGray"/>
        </w:rPr>
        <w:t>section 2.5.2</w:t>
      </w:r>
      <w:r w:rsidR="00BC2A13">
        <w:t>). The metamodel fresh-saline interface has a comparable overall shape, relatively deep near Scheveningen and shallower further inland at the edges of the model domain. Along the shoreline, the metamodel has a deeper fresh-saline interface than the original model. The largest errors can be seen near Voorschoten (60m higher in the metamodel than in the original model output) and near the southern edge of the domain, which South of The Hague. It should be noted that the study area lies between Scheveningen and Katwijk.</w:t>
      </w:r>
    </w:p>
    <w:p w14:paraId="68F22E90" w14:textId="426DC81A" w:rsidR="00A82D6B" w:rsidRDefault="00683E61" w:rsidP="00A82D6B">
      <w:pPr>
        <w:keepNext/>
        <w:jc w:val="center"/>
      </w:pPr>
      <w:r w:rsidRPr="00683E61">
        <w:drawing>
          <wp:inline distT="0" distB="0" distL="0" distR="0" wp14:anchorId="08A270E1" wp14:editId="7039444F">
            <wp:extent cx="3838354" cy="6578717"/>
            <wp:effectExtent l="0" t="0" r="0" b="0"/>
            <wp:docPr id="26" name="Picture 26" descr="A picture containing screenshot, colorfulness,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creenshot, colorfulness, art&#10;&#10;Description automatically generated"/>
                    <pic:cNvPicPr/>
                  </pic:nvPicPr>
                  <pic:blipFill>
                    <a:blip r:embed="rId39"/>
                    <a:stretch>
                      <a:fillRect/>
                    </a:stretch>
                  </pic:blipFill>
                  <pic:spPr>
                    <a:xfrm>
                      <a:off x="0" y="0"/>
                      <a:ext cx="3839444" cy="6580585"/>
                    </a:xfrm>
                    <a:prstGeom prst="rect">
                      <a:avLst/>
                    </a:prstGeom>
                  </pic:spPr>
                </pic:pic>
              </a:graphicData>
            </a:graphic>
          </wp:inline>
        </w:drawing>
      </w:r>
    </w:p>
    <w:p w14:paraId="27A35F1D" w14:textId="0C0EF6EC" w:rsidR="00545E43" w:rsidRDefault="00A82D6B" w:rsidP="00BC2A13">
      <w:pPr>
        <w:pStyle w:val="Caption"/>
        <w:jc w:val="left"/>
      </w:pPr>
      <w:r>
        <w:t xml:space="preserve">Figure </w:t>
      </w:r>
      <w:r>
        <w:fldChar w:fldCharType="begin"/>
      </w:r>
      <w:r>
        <w:instrText xml:space="preserve"> SEQ Figure \* ARABIC </w:instrText>
      </w:r>
      <w:r>
        <w:fldChar w:fldCharType="separate"/>
      </w:r>
      <w:r w:rsidR="00700EC2">
        <w:rPr>
          <w:noProof/>
        </w:rPr>
        <w:t>30</w:t>
      </w:r>
      <w:r>
        <w:fldChar w:fldCharType="end"/>
      </w:r>
      <w:r>
        <w:t xml:space="preserve">: </w:t>
      </w:r>
      <w:commentRangeStart w:id="25"/>
      <w:r>
        <w:t>Fresh</w:t>
      </w:r>
      <w:commentRangeEnd w:id="25"/>
      <w:r w:rsidR="00D01EBB">
        <w:rPr>
          <w:rStyle w:val="CommentReference"/>
          <w:i w:val="0"/>
          <w:iCs w:val="0"/>
          <w:color w:val="auto"/>
        </w:rPr>
        <w:commentReference w:id="25"/>
      </w:r>
      <w:r>
        <w:t xml:space="preserve"> saline interface</w:t>
      </w:r>
      <w:r w:rsidR="00D01EBB">
        <w:t xml:space="preserve"> after parallel 40y simulations,</w:t>
      </w:r>
      <w:r>
        <w:t xml:space="preserve"> </w:t>
      </w:r>
      <w:r w:rsidR="00683E61">
        <w:t>original model</w:t>
      </w:r>
      <w:r w:rsidR="00D01EBB">
        <w:t xml:space="preserve"> (top, a), </w:t>
      </w:r>
      <w:r w:rsidR="00683E61">
        <w:t>meta</w:t>
      </w:r>
      <w:r w:rsidR="00D01EBB">
        <w:t xml:space="preserve">model (middle, b), and the absolute error </w:t>
      </w:r>
      <w:r w:rsidR="00683E61">
        <w:t>of the metamodel with the original model</w:t>
      </w:r>
      <w:r w:rsidR="00D01EBB">
        <w:t xml:space="preserve"> (bottom, c)</w:t>
      </w:r>
      <w:r>
        <w:t>.</w:t>
      </w:r>
      <w:r w:rsidR="00BC2A13">
        <w:t xml:space="preserve"> The Study area is located between Scheveningen (South) and Katwijk (North)</w:t>
      </w:r>
    </w:p>
    <w:p w14:paraId="71BBFC3E" w14:textId="4321456D" w:rsidR="00012AC3" w:rsidRDefault="0095601F" w:rsidP="0095601F">
      <w:r>
        <w:lastRenderedPageBreak/>
        <w:t>For</w:t>
      </w:r>
      <w:r w:rsidR="00BC2A13">
        <w:t xml:space="preserve"> the study area (</w:t>
      </w:r>
      <w:r>
        <w:t xml:space="preserve">see </w:t>
      </w:r>
      <w:r w:rsidRPr="0095601F">
        <w:rPr>
          <w:highlight w:val="lightGray"/>
        </w:rPr>
        <w:t>section 2.2.4</w:t>
      </w:r>
      <w:r>
        <w:t xml:space="preserve">.), the original model and metamodel’s fresh-saline interface development over time can be seen in </w:t>
      </w:r>
      <w:r w:rsidRPr="0095601F">
        <w:rPr>
          <w:highlight w:val="lightGray"/>
        </w:rPr>
        <w:t>Figure 27</w:t>
      </w:r>
      <w:r>
        <w:t xml:space="preserve">. The original model fresh-saline interface becomes less shallow in 40 years and moves to an equilibrium at around -63m, whereas the metamodel shows an increase in depth and continues to increase more in depth at -70m after 40 years, when subjected to the same fluxes. </w:t>
      </w:r>
    </w:p>
    <w:p w14:paraId="75381A0D" w14:textId="6EA23264" w:rsidR="001A4276" w:rsidRDefault="001A4276" w:rsidP="00012AC3">
      <w:pPr>
        <w:keepNext/>
        <w:jc w:val="center"/>
      </w:pPr>
      <w:r w:rsidRPr="001A4276">
        <w:drawing>
          <wp:inline distT="0" distB="0" distL="0" distR="0" wp14:anchorId="422DA1EA" wp14:editId="5F741286">
            <wp:extent cx="3724275" cy="2533650"/>
            <wp:effectExtent l="0" t="0" r="9525" b="0"/>
            <wp:docPr id="37" name="Picture 37"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creenshot, text, line, plot&#10;&#10;Description automatically generated"/>
                    <pic:cNvPicPr/>
                  </pic:nvPicPr>
                  <pic:blipFill>
                    <a:blip r:embed="rId40"/>
                    <a:stretch>
                      <a:fillRect/>
                    </a:stretch>
                  </pic:blipFill>
                  <pic:spPr>
                    <a:xfrm>
                      <a:off x="0" y="0"/>
                      <a:ext cx="3724275" cy="2533650"/>
                    </a:xfrm>
                    <a:prstGeom prst="rect">
                      <a:avLst/>
                    </a:prstGeom>
                  </pic:spPr>
                </pic:pic>
              </a:graphicData>
            </a:graphic>
          </wp:inline>
        </w:drawing>
      </w:r>
    </w:p>
    <w:p w14:paraId="0EB7EA07" w14:textId="52CC090E" w:rsidR="00012AC3" w:rsidRDefault="00012AC3" w:rsidP="00D91C8F">
      <w:pPr>
        <w:pStyle w:val="Caption"/>
        <w:jc w:val="left"/>
      </w:pPr>
      <w:r>
        <w:t xml:space="preserve">Figure </w:t>
      </w:r>
      <w:r>
        <w:fldChar w:fldCharType="begin"/>
      </w:r>
      <w:r>
        <w:instrText xml:space="preserve"> SEQ Figure \* ARABIC </w:instrText>
      </w:r>
      <w:r>
        <w:fldChar w:fldCharType="separate"/>
      </w:r>
      <w:r w:rsidR="00700EC2">
        <w:rPr>
          <w:noProof/>
        </w:rPr>
        <w:t>31</w:t>
      </w:r>
      <w:r>
        <w:fldChar w:fldCharType="end"/>
      </w:r>
      <w:r>
        <w:t xml:space="preserve">: Development of fresh-saline interface </w:t>
      </w:r>
      <w:r w:rsidR="00683E61">
        <w:t xml:space="preserve">in the study area </w:t>
      </w:r>
      <w:r>
        <w:t>over two parallel 40y simulations, original model and metamodel</w:t>
      </w:r>
      <w:r w:rsidR="00D91C8F">
        <w:t>.</w:t>
      </w:r>
    </w:p>
    <w:p w14:paraId="0215C423" w14:textId="77777777" w:rsidR="00D91C8F" w:rsidRDefault="00D91C8F">
      <w:pPr>
        <w:jc w:val="left"/>
        <w:rPr>
          <w:rFonts w:ascii="CMU Serif" w:eastAsiaTheme="majorEastAsia" w:hAnsi="CMU Serif" w:cs="CMU Serif"/>
          <w:sz w:val="36"/>
          <w:szCs w:val="36"/>
        </w:rPr>
      </w:pPr>
      <w:r>
        <w:br w:type="page"/>
      </w:r>
    </w:p>
    <w:p w14:paraId="4DB86DC0" w14:textId="2988D9BC" w:rsidR="00612948" w:rsidRDefault="00612948" w:rsidP="00612948">
      <w:pPr>
        <w:pStyle w:val="Heading1"/>
      </w:pPr>
      <w:r>
        <w:lastRenderedPageBreak/>
        <w:t>Discussion</w:t>
      </w:r>
    </w:p>
    <w:p w14:paraId="0890A97F" w14:textId="08515348" w:rsidR="00234094" w:rsidRPr="008B5AE6" w:rsidRDefault="00612948" w:rsidP="008B5AE6">
      <w:r>
        <w:t>Are the results sufficient to answer the research question? Is the objective of the study fulfilled?</w:t>
      </w:r>
    </w:p>
    <w:p w14:paraId="36E6B69E" w14:textId="4FBC5EE0" w:rsidR="0035577F" w:rsidRDefault="00234094" w:rsidP="00234094">
      <w:pPr>
        <w:pStyle w:val="Heading2"/>
      </w:pPr>
      <w:r>
        <w:t>Study area hydraulic heads</w:t>
      </w:r>
    </w:p>
    <w:p w14:paraId="796C25A5" w14:textId="6BB82D43" w:rsidR="00C55F16" w:rsidRDefault="00C55F16" w:rsidP="00C55F16">
      <w:pPr>
        <w:rPr>
          <w:rFonts w:eastAsiaTheme="minorEastAsia"/>
        </w:rPr>
      </w:pPr>
      <w:r w:rsidRPr="00064DCE">
        <w:rPr>
          <w:highlight w:val="lightGray"/>
        </w:rPr>
        <w:t>Figure</w:t>
      </w:r>
      <w:r w:rsidRPr="00CC4270">
        <w:rPr>
          <w:highlight w:val="lightGray"/>
        </w:rPr>
        <w:t xml:space="preserve"> </w:t>
      </w:r>
      <w:r w:rsidR="00CC4270" w:rsidRPr="00CC4270">
        <w:rPr>
          <w:highlight w:val="lightGray"/>
        </w:rPr>
        <w:t>30</w:t>
      </w:r>
      <w:r>
        <w:t xml:space="preserve"> shows the error in vertical flow beneath the study area, </w:t>
      </w:r>
      <m:oMath>
        <m:r>
          <w:rPr>
            <w:rFonts w:ascii="Cambria Math" w:eastAsiaTheme="minorEastAsia" w:hAnsi="Cambria Math"/>
          </w:rPr>
          <m:t>μ= -</m:t>
        </m:r>
        <m:r>
          <w:rPr>
            <w:rFonts w:ascii="Cambria Math" w:hAnsi="Cambria Math"/>
          </w:rPr>
          <m:t>2.02</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/d</m:t>
        </m:r>
      </m:oMath>
      <w:r>
        <w:rPr>
          <w:rFonts w:eastAsiaTheme="minorEastAsia"/>
        </w:rPr>
        <w:t xml:space="preserve">, with a standard deviation of </w:t>
      </w:r>
      <m:oMath>
        <m:r>
          <w:rPr>
            <w:rFonts w:ascii="Cambria Math" w:eastAsiaTheme="minorEastAsia" w:hAnsi="Cambria Math"/>
          </w:rPr>
          <m:t>σ=1.79*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 xml:space="preserve"> m</m:t>
        </m:r>
      </m:oMath>
      <w:r>
        <w:rPr>
          <w:rFonts w:eastAsiaTheme="minorEastAsia"/>
        </w:rPr>
        <w:t xml:space="preserve">. </w:t>
      </w:r>
      <w:commentRangeStart w:id="26"/>
      <w:r>
        <w:rPr>
          <w:rFonts w:eastAsiaTheme="minorEastAsia"/>
        </w:rPr>
        <w:t>By convention</w:t>
      </w:r>
      <w:commentRangeEnd w:id="26"/>
      <w:r>
        <w:rPr>
          <w:rStyle w:val="CommentReference"/>
        </w:rPr>
        <w:commentReference w:id="26"/>
      </w:r>
      <w:r>
        <w:rPr>
          <w:rFonts w:eastAsiaTheme="minorEastAsia"/>
        </w:rPr>
        <w:t xml:space="preserve">, this means that in the MM a higher vertical flow appears than in the OM, in the study area. </w:t>
      </w:r>
    </w:p>
    <w:p w14:paraId="5361AD42" w14:textId="77777777" w:rsidR="00D264F3" w:rsidRPr="00064DCE" w:rsidRDefault="00D264F3" w:rsidP="00C55F16">
      <w:pPr>
        <w:rPr>
          <w:rFonts w:eastAsiaTheme="minorEastAsia"/>
        </w:rPr>
      </w:pPr>
    </w:p>
    <w:p w14:paraId="44ED1B7C" w14:textId="77777777" w:rsidR="00C55F16" w:rsidRDefault="00C55F16" w:rsidP="00C55F16">
      <w:pPr>
        <w:keepNext/>
        <w:jc w:val="center"/>
      </w:pPr>
      <w:r>
        <w:rPr>
          <w:noProof/>
        </w:rPr>
        <w:drawing>
          <wp:inline distT="0" distB="0" distL="0" distR="0" wp14:anchorId="6F4254B9" wp14:editId="0359C738">
            <wp:extent cx="4183380" cy="2682594"/>
            <wp:effectExtent l="0" t="0" r="0" b="3810"/>
            <wp:docPr id="32" name="Picture 32"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design&#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813"/>
                    <a:stretch/>
                  </pic:blipFill>
                  <pic:spPr bwMode="auto">
                    <a:xfrm>
                      <a:off x="0" y="0"/>
                      <a:ext cx="4186898" cy="2684850"/>
                    </a:xfrm>
                    <a:prstGeom prst="rect">
                      <a:avLst/>
                    </a:prstGeom>
                    <a:noFill/>
                    <a:ln>
                      <a:noFill/>
                    </a:ln>
                    <a:extLst>
                      <a:ext uri="{53640926-AAD7-44D8-BBD7-CCE9431645EC}">
                        <a14:shadowObscured xmlns:a14="http://schemas.microsoft.com/office/drawing/2010/main"/>
                      </a:ext>
                    </a:extLst>
                  </pic:spPr>
                </pic:pic>
              </a:graphicData>
            </a:graphic>
          </wp:inline>
        </w:drawing>
      </w:r>
    </w:p>
    <w:p w14:paraId="5744374B" w14:textId="49C7141D" w:rsidR="00C55F16" w:rsidRDefault="00C55F16" w:rsidP="00C55F16">
      <w:pPr>
        <w:pStyle w:val="Caption"/>
        <w:jc w:val="center"/>
      </w:pPr>
      <w:r>
        <w:t xml:space="preserve">Figure </w:t>
      </w:r>
      <w:r>
        <w:fldChar w:fldCharType="begin"/>
      </w:r>
      <w:r>
        <w:instrText xml:space="preserve"> SEQ Figure \* ARABIC </w:instrText>
      </w:r>
      <w:r>
        <w:fldChar w:fldCharType="separate"/>
      </w:r>
      <w:r w:rsidR="00700EC2">
        <w:rPr>
          <w:noProof/>
        </w:rPr>
        <w:t>32</w:t>
      </w:r>
      <w:r>
        <w:fldChar w:fldCharType="end"/>
      </w:r>
      <w:r>
        <w:t>: Steady state error of Flow Lower Face (FLF) of MM compared to OM inside the study area</w:t>
      </w:r>
    </w:p>
    <w:p w14:paraId="6F0A0A84" w14:textId="77777777" w:rsidR="00C55F16" w:rsidRDefault="00C55F16" w:rsidP="00C55F16">
      <w:pPr>
        <w:jc w:val="left"/>
      </w:pPr>
      <w:r w:rsidRPr="00064DCE">
        <w:rPr>
          <w:highlight w:val="lightGray"/>
        </w:rPr>
        <w:t>+ Add the spatial variability of the error of heads and link this to this higher vertical flow?</w:t>
      </w:r>
      <w:r>
        <w:t xml:space="preserve"> Or add this to the discussion?</w:t>
      </w:r>
    </w:p>
    <w:p w14:paraId="08670274" w14:textId="78F296B6" w:rsidR="007F6C07" w:rsidRDefault="00CB5920" w:rsidP="00CB5920">
      <w:pPr>
        <w:pStyle w:val="Heading2"/>
      </w:pPr>
      <w:r>
        <w:t>Vertical flow in study area</w:t>
      </w:r>
    </w:p>
    <w:p w14:paraId="0D8CBD5B" w14:textId="45E5FBBE" w:rsidR="00CB5920" w:rsidRDefault="00CB5920" w:rsidP="00CB5920">
      <w:r>
        <w:t>The vertical flows through the bottom cell</w:t>
      </w:r>
    </w:p>
    <w:p w14:paraId="69EA832A" w14:textId="64B6D246" w:rsidR="00CB5920" w:rsidRDefault="00CB5920" w:rsidP="00CB5920"/>
    <w:p w14:paraId="54ADB679" w14:textId="273E2124" w:rsidR="00CB5920" w:rsidRDefault="00CB5920" w:rsidP="00CB5920"/>
    <w:p w14:paraId="158A2C1C" w14:textId="70CAF354" w:rsidR="00CB5920" w:rsidRDefault="00CB5920" w:rsidP="00CB5920"/>
    <w:p w14:paraId="34E5D075" w14:textId="77777777" w:rsidR="00CB5920" w:rsidRPr="00CB5920" w:rsidRDefault="00CB5920" w:rsidP="00CB5920"/>
    <w:p w14:paraId="24A25246" w14:textId="77C0B183" w:rsidR="00FD25C1" w:rsidRDefault="007F6C07" w:rsidP="007F6C07">
      <w:pPr>
        <w:pStyle w:val="ListParagraph"/>
        <w:numPr>
          <w:ilvl w:val="0"/>
          <w:numId w:val="38"/>
        </w:numPr>
        <w:rPr>
          <w:i/>
          <w:iCs/>
        </w:rPr>
      </w:pPr>
      <w:r>
        <w:t xml:space="preserve">Another discussion: p21 Delsman: </w:t>
      </w:r>
      <w:r w:rsidRPr="007F6C07">
        <w:rPr>
          <w:i/>
          <w:iCs/>
        </w:rPr>
        <w:t>“We did not attempt to calibrate our model, recognizing that calibration would only be possible for the most recent periods, and a rigorous sensitivity analysis was impossible given the long calculation times. We regard our model therefore primarily as a conceptual tool.”</w:t>
      </w:r>
    </w:p>
    <w:p w14:paraId="546EF888" w14:textId="647F4652" w:rsidR="007F6C07" w:rsidRDefault="007F6C07" w:rsidP="007F6C07">
      <w:pPr>
        <w:pStyle w:val="ListParagraph"/>
        <w:numPr>
          <w:ilvl w:val="1"/>
          <w:numId w:val="38"/>
        </w:numPr>
      </w:pPr>
      <w:r w:rsidRPr="007F6C07">
        <w:t xml:space="preserve">The pros and cons of paleo modeling </w:t>
      </w:r>
      <w:r>
        <w:t xml:space="preserve">without validation and calibration, </w:t>
      </w:r>
      <w:r w:rsidRPr="007F6C07">
        <w:t xml:space="preserve">vs validation done in this </w:t>
      </w:r>
      <w:r>
        <w:t xml:space="preserve">study. Can provide an extra argument, combining with </w:t>
      </w:r>
      <w:proofErr w:type="spellStart"/>
      <w:r>
        <w:lastRenderedPageBreak/>
        <w:t>Gualbert</w:t>
      </w:r>
      <w:proofErr w:type="spellEnd"/>
      <w:r>
        <w:t>, that for drinking water resource and artificial recharge, model validation on a shorter timescale is better</w:t>
      </w:r>
    </w:p>
    <w:p w14:paraId="01B9B659" w14:textId="17CAD7A3" w:rsidR="007F6C07" w:rsidRDefault="007F6C07" w:rsidP="007F6C07">
      <w:pPr>
        <w:pStyle w:val="ListParagraph"/>
        <w:numPr>
          <w:ilvl w:val="1"/>
          <w:numId w:val="38"/>
        </w:numPr>
      </w:pPr>
      <w:r>
        <w:t xml:space="preserve">Introduce the contradiction of these two arguments by </w:t>
      </w:r>
      <w:proofErr w:type="spellStart"/>
      <w:r>
        <w:t>Delsman’s</w:t>
      </w:r>
      <w:proofErr w:type="spellEnd"/>
      <w:r>
        <w:t xml:space="preserve"> introduction to paleo modeling on p15:</w:t>
      </w:r>
    </w:p>
    <w:p w14:paraId="5BBF3B64" w14:textId="70D7C2C7" w:rsidR="007F6C07" w:rsidRDefault="007F6C07" w:rsidP="007F6C07">
      <w:pPr>
        <w:pStyle w:val="ListParagraph"/>
        <w:numPr>
          <w:ilvl w:val="2"/>
          <w:numId w:val="38"/>
        </w:numPr>
      </w:pPr>
      <w:r>
        <w:t>False SS assumptions</w:t>
      </w:r>
    </w:p>
    <w:p w14:paraId="1982223D" w14:textId="02695ACA" w:rsidR="007F6C07" w:rsidRDefault="007F6C07" w:rsidP="007F6C07">
      <w:pPr>
        <w:pStyle w:val="ListParagraph"/>
        <w:numPr>
          <w:ilvl w:val="2"/>
          <w:numId w:val="38"/>
        </w:numPr>
      </w:pPr>
      <w:r>
        <w:t>Sparse measurements (especially at depth)</w:t>
      </w:r>
    </w:p>
    <w:p w14:paraId="5FBDFAC7" w14:textId="1B4D8119" w:rsidR="007F6C07" w:rsidRPr="007F6C07" w:rsidRDefault="007F6C07" w:rsidP="007F6C07">
      <w:pPr>
        <w:pStyle w:val="ListParagraph"/>
        <w:numPr>
          <w:ilvl w:val="1"/>
          <w:numId w:val="38"/>
        </w:numPr>
      </w:pPr>
      <w:r>
        <w:t xml:space="preserve">One thing he says is: </w:t>
      </w:r>
      <w:r w:rsidRPr="007F6C07">
        <w:rPr>
          <w:i/>
          <w:iCs/>
        </w:rPr>
        <w:t>However, as a result of the density feedback of solute concentration on groundwater flow, this requires an adequate description of the initial solute concentration: a vicious circle of having to know the salinity distribution to model the salinity distribution</w:t>
      </w:r>
    </w:p>
    <w:p w14:paraId="7F839AA6" w14:textId="77777777" w:rsidR="007F6C07" w:rsidRDefault="007F6C07" w:rsidP="007F6C07">
      <w:pPr>
        <w:pStyle w:val="ListParagraph"/>
        <w:numPr>
          <w:ilvl w:val="2"/>
          <w:numId w:val="38"/>
        </w:numPr>
      </w:pPr>
      <w:r>
        <w:t>Here he neglects the fact that this is incorporated in SEAWAT?</w:t>
      </w:r>
    </w:p>
    <w:p w14:paraId="075E68D0" w14:textId="53ED24FF" w:rsidR="007F6C07" w:rsidRDefault="007F6C07" w:rsidP="00AD7621">
      <w:pPr>
        <w:pStyle w:val="ListParagraph"/>
        <w:numPr>
          <w:ilvl w:val="1"/>
          <w:numId w:val="38"/>
        </w:numPr>
      </w:pPr>
      <w:r>
        <w:t xml:space="preserve">Discuss, </w:t>
      </w:r>
      <w:r w:rsidR="00AD7621">
        <w:t xml:space="preserve">discuss </w:t>
      </w:r>
      <w:proofErr w:type="spellStart"/>
      <w:r w:rsidR="00AD7621">
        <w:t>discuss</w:t>
      </w:r>
      <w:proofErr w:type="spellEnd"/>
      <w:r>
        <w:t xml:space="preserve"> </w:t>
      </w:r>
    </w:p>
    <w:p w14:paraId="4BB12D8B" w14:textId="672CFE57" w:rsidR="000D78AD" w:rsidRPr="007F6C07" w:rsidRDefault="000D78AD" w:rsidP="000D78AD">
      <w:pPr>
        <w:pStyle w:val="ListParagraph"/>
        <w:numPr>
          <w:ilvl w:val="0"/>
          <w:numId w:val="38"/>
        </w:numPr>
      </w:pPr>
      <w:r w:rsidRPr="00E12AF8">
        <w:rPr>
          <w:highlight w:val="lightGray"/>
        </w:rPr>
        <w:t>Page 32 Delsman – boundary conditions and initial salinity, False SS assumptions</w:t>
      </w:r>
    </w:p>
    <w:p w14:paraId="0CC22A85" w14:textId="77777777" w:rsidR="000D78AD" w:rsidRDefault="000D78AD">
      <w:pPr>
        <w:jc w:val="left"/>
        <w:rPr>
          <w:rFonts w:ascii="CMU Serif" w:eastAsiaTheme="majorEastAsia" w:hAnsi="CMU Serif" w:cs="CMU Serif"/>
          <w:sz w:val="36"/>
          <w:szCs w:val="36"/>
        </w:rPr>
      </w:pPr>
      <w:r>
        <w:br w:type="page"/>
      </w:r>
    </w:p>
    <w:p w14:paraId="4021F801" w14:textId="44264F6F" w:rsidR="00612948" w:rsidRPr="00612948" w:rsidRDefault="00612948" w:rsidP="00612948">
      <w:pPr>
        <w:pStyle w:val="Heading1"/>
      </w:pPr>
      <w:r>
        <w:lastRenderedPageBreak/>
        <w:t>Conclusion</w:t>
      </w:r>
    </w:p>
    <w:p w14:paraId="15A4326E" w14:textId="40D993CE" w:rsidR="001A3923" w:rsidRDefault="00612948" w:rsidP="00125121">
      <w:r>
        <w:t>List the objective</w:t>
      </w:r>
      <w:r w:rsidR="006B5449">
        <w:t>s</w:t>
      </w:r>
      <w:r>
        <w:t>, the research questions, the answers</w:t>
      </w:r>
      <w:r w:rsidR="006B5449">
        <w:t>.</w:t>
      </w:r>
    </w:p>
    <w:p w14:paraId="1A6177A2" w14:textId="283741B1" w:rsidR="00612948" w:rsidRDefault="00612948" w:rsidP="00125121"/>
    <w:p w14:paraId="6ADFF3D9" w14:textId="0648D1FB" w:rsidR="00612948" w:rsidRPr="001A3923" w:rsidRDefault="00612948" w:rsidP="00612948">
      <w:pPr>
        <w:pStyle w:val="Heading1"/>
      </w:pPr>
      <w:r>
        <w:t>Acknowledgements</w:t>
      </w:r>
    </w:p>
    <w:p w14:paraId="0597D03B" w14:textId="704367F4" w:rsidR="00926CD5" w:rsidRDefault="00926CD5" w:rsidP="005907BF">
      <w:r>
        <w:br w:type="page"/>
      </w:r>
    </w:p>
    <w:sdt>
      <w:sdtPr>
        <w:rPr>
          <w:rFonts w:ascii="CMU Concrete" w:eastAsiaTheme="minorHAnsi" w:hAnsi="CMU Concrete" w:cs="CMU Concrete"/>
          <w:sz w:val="22"/>
          <w:szCs w:val="22"/>
        </w:rPr>
        <w:id w:val="-819720116"/>
        <w:docPartObj>
          <w:docPartGallery w:val="Bibliographies"/>
          <w:docPartUnique/>
        </w:docPartObj>
      </w:sdtPr>
      <w:sdtContent>
        <w:p w14:paraId="287F90E0" w14:textId="20B2C17F" w:rsidR="00926CD5" w:rsidRDefault="00926CD5" w:rsidP="00612948">
          <w:pPr>
            <w:pStyle w:val="Heading1"/>
          </w:pPr>
          <w:r>
            <w:t>References</w:t>
          </w:r>
        </w:p>
        <w:sdt>
          <w:sdtPr>
            <w:id w:val="-573587230"/>
            <w:bibliography/>
          </w:sdtPr>
          <w:sdtContent>
            <w:p w14:paraId="40E5BAFD" w14:textId="6D5CEB10" w:rsidR="00926CD5" w:rsidRPr="00926CD5" w:rsidRDefault="00926CD5" w:rsidP="005907BF">
              <w:r>
                <w:fldChar w:fldCharType="begin"/>
              </w:r>
              <w:r w:rsidRPr="00926CD5">
                <w:instrText xml:space="preserve"> BIBLIOGRAPHY </w:instrText>
              </w:r>
              <w:r>
                <w:fldChar w:fldCharType="separate"/>
              </w:r>
              <w:r>
                <w:rPr>
                  <w:noProof/>
                </w:rPr>
                <w:t>There are no sources in the current document.</w:t>
              </w:r>
              <w:r>
                <w:rPr>
                  <w:noProof/>
                </w:rPr>
                <w:fldChar w:fldCharType="end"/>
              </w:r>
            </w:p>
          </w:sdtContent>
        </w:sdt>
      </w:sdtContent>
    </w:sdt>
    <w:p w14:paraId="1068C96E" w14:textId="77777777" w:rsidR="00FA1F9D" w:rsidRDefault="00FA1F9D" w:rsidP="00826926">
      <w:pPr>
        <w:rPr>
          <w:noProof/>
          <w:lang w:val="nl-NL"/>
        </w:rPr>
      </w:pPr>
      <w:r>
        <w:t xml:space="preserve">Delsman, J. R. (2015). Saline groundwater - surface water interaction in coastal lowlands. </w:t>
      </w:r>
      <w:r w:rsidRPr="00FA1F9D">
        <w:rPr>
          <w:lang w:val="nl-NL"/>
        </w:rPr>
        <w:t>IOS Press BV. https://doi.org/10.3233/978-1-61499-518-0-i</w:t>
      </w:r>
      <w:r w:rsidRPr="00FA1F9D">
        <w:rPr>
          <w:noProof/>
          <w:lang w:val="nl-NL"/>
        </w:rPr>
        <w:t xml:space="preserve"> </w:t>
      </w:r>
    </w:p>
    <w:p w14:paraId="544DDA4A" w14:textId="52BF4FE4" w:rsidR="00926CD5" w:rsidRDefault="00926CD5" w:rsidP="00826926">
      <w:pPr>
        <w:rPr>
          <w:noProof/>
        </w:rPr>
      </w:pPr>
      <w:r w:rsidRPr="00FA1F9D">
        <w:rPr>
          <w:noProof/>
          <w:lang w:val="nl-NL"/>
        </w:rPr>
        <w:t xml:space="preserve">van Engelen, J. (2020). </w:t>
      </w:r>
      <w:r w:rsidRPr="00EE1573">
        <w:rPr>
          <w:noProof/>
        </w:rPr>
        <w:t xml:space="preserve">Fresh Groundwater Reserves in Major Deltas: Evolution and state of Deltaic Groundwater Resources. </w:t>
      </w:r>
      <w:r>
        <w:rPr>
          <w:noProof/>
        </w:rPr>
        <w:t>Utrecht: Faculty of Geosciences, University Utrecht.</w:t>
      </w:r>
    </w:p>
    <w:p w14:paraId="520B5F30" w14:textId="77777777" w:rsidR="00926CD5" w:rsidRPr="00926CD5" w:rsidRDefault="00926CD5" w:rsidP="005907BF"/>
    <w:p w14:paraId="7792C2F3" w14:textId="6FBB778C" w:rsidR="00926CD5" w:rsidRDefault="00976CC8" w:rsidP="005907BF">
      <w:r w:rsidRPr="00976CC8">
        <w:t xml:space="preserve">Oude </w:t>
      </w:r>
      <w:proofErr w:type="spellStart"/>
      <w:r w:rsidRPr="00976CC8">
        <w:t>Essink</w:t>
      </w:r>
      <w:proofErr w:type="spellEnd"/>
      <w:r w:rsidRPr="00976CC8">
        <w:t xml:space="preserve">, </w:t>
      </w:r>
      <w:proofErr w:type="spellStart"/>
      <w:r w:rsidRPr="00976CC8">
        <w:t>Gualbert</w:t>
      </w:r>
      <w:proofErr w:type="spellEnd"/>
      <w:r w:rsidRPr="00976CC8">
        <w:t xml:space="preserve"> H.P (2001). “Improving fresh groundwater supply—problems and solutions.” </w:t>
      </w:r>
      <w:r>
        <w:t xml:space="preserve">In: Ocean &amp; Coastal Management 44.5, pp. 429–449. </w:t>
      </w:r>
      <w:proofErr w:type="spellStart"/>
      <w:r>
        <w:t>doi</w:t>
      </w:r>
      <w:proofErr w:type="spellEnd"/>
      <w:r>
        <w:t>: 10 . 1016 / S0964-5691(01)00057-6.</w:t>
      </w:r>
    </w:p>
    <w:p w14:paraId="05E6273B" w14:textId="2270253D" w:rsidR="007718EB" w:rsidRDefault="007718EB" w:rsidP="005907BF">
      <w:r>
        <w:t xml:space="preserve">Post, V. E. A., and H. </w:t>
      </w:r>
      <w:proofErr w:type="spellStart"/>
      <w:r>
        <w:t>Kooi</w:t>
      </w:r>
      <w:proofErr w:type="spellEnd"/>
      <w:r>
        <w:t xml:space="preserve"> (2003), Rates of salinization by free convection in high-permeability sediments: insights from numerical modeling and application to the Dutch coastal area, </w:t>
      </w:r>
      <w:proofErr w:type="spellStart"/>
      <w:r>
        <w:t>Hydrogeol</w:t>
      </w:r>
      <w:proofErr w:type="spellEnd"/>
      <w:r>
        <w:t>. J., 11(5), 549–559, doi:10.1007/ s10040-003-0271-7.</w:t>
      </w:r>
    </w:p>
    <w:p w14:paraId="4351682E" w14:textId="4492A722" w:rsidR="007718EB" w:rsidRDefault="007718EB" w:rsidP="005907BF">
      <w:r>
        <w:t xml:space="preserve">Stuyfzand, </w:t>
      </w:r>
      <w:r w:rsidR="006F79B3">
        <w:t xml:space="preserve">P.J., </w:t>
      </w:r>
      <w:proofErr w:type="spellStart"/>
      <w:r w:rsidR="006F79B3">
        <w:t>Luers</w:t>
      </w:r>
      <w:proofErr w:type="spellEnd"/>
      <w:r w:rsidR="006F79B3">
        <w:t xml:space="preserve">, F., de </w:t>
      </w:r>
      <w:proofErr w:type="spellStart"/>
      <w:r w:rsidR="006F79B3">
        <w:t>Jonge</w:t>
      </w:r>
      <w:proofErr w:type="spellEnd"/>
      <w:r w:rsidR="006F79B3">
        <w:t>, H.G. (</w:t>
      </w:r>
      <w:r>
        <w:t>1993</w:t>
      </w:r>
      <w:r w:rsidR="006F79B3">
        <w:t xml:space="preserve">) SWE 93.001 Hydrochemistry and hydrology of the dunes and adjacent polders between Katwijk and </w:t>
      </w:r>
      <w:proofErr w:type="spellStart"/>
      <w:r w:rsidR="006F79B3">
        <w:t>Kijkduin</w:t>
      </w:r>
      <w:proofErr w:type="spellEnd"/>
      <w:r w:rsidR="006F79B3">
        <w:t xml:space="preserve">. KIWA N.V.  </w:t>
      </w:r>
    </w:p>
    <w:p w14:paraId="4922959F" w14:textId="53135AA8" w:rsidR="000E5583" w:rsidRDefault="000E5583" w:rsidP="005907BF">
      <w:r>
        <w:t xml:space="preserve">Harbaugh, A.W., 2005, MODFLOW-2005, the U.S. Geological Survey modular ground-water model—the Ground-Water Flow Process: U.S. Geological Survey Techniques and Methods, book 6, chap. A16, variously paged, accessed June 27, 2017, at </w:t>
      </w:r>
      <w:hyperlink r:id="rId42" w:history="1">
        <w:r w:rsidRPr="003A3258">
          <w:rPr>
            <w:rStyle w:val="Hyperlink"/>
          </w:rPr>
          <w:t>https://pubs.usgs.gov/tm/2005/tm6A16/</w:t>
        </w:r>
      </w:hyperlink>
      <w:r>
        <w:t xml:space="preserve">. </w:t>
      </w:r>
    </w:p>
    <w:p w14:paraId="1AC235E2" w14:textId="425A76B0" w:rsidR="001F13A4" w:rsidRDefault="001F13A4" w:rsidP="005907BF">
      <w:r>
        <w:t xml:space="preserve">Hoogland, T., van den Akker, </w:t>
      </w:r>
      <w:r w:rsidR="00B34F06">
        <w:t xml:space="preserve">J.J.H., Brus, D.J., (2012) </w:t>
      </w:r>
      <w:r w:rsidRPr="001F13A4">
        <w:t>Modeling the subsidence of peat soils in the Dutch coastal area</w:t>
      </w:r>
      <w:r w:rsidR="00B34F06">
        <w:t xml:space="preserve">. </w:t>
      </w:r>
      <w:proofErr w:type="spellStart"/>
      <w:r w:rsidR="00B34F06">
        <w:t>doi</w:t>
      </w:r>
      <w:proofErr w:type="spellEnd"/>
      <w:r w:rsidR="00B34F06">
        <w:t xml:space="preserve"> </w:t>
      </w:r>
      <w:hyperlink r:id="rId43" w:history="1">
        <w:r w:rsidR="00B34F06" w:rsidRPr="00E45043">
          <w:rPr>
            <w:rStyle w:val="Hyperlink"/>
            <w:rFonts w:ascii="Arial" w:hAnsi="Arial" w:cs="Arial"/>
            <w:sz w:val="21"/>
            <w:szCs w:val="21"/>
          </w:rPr>
          <w:t>https://doi.org/10.1016/j.geoderma.2011.02.013</w:t>
        </w:r>
      </w:hyperlink>
      <w:r w:rsidR="00B34F06">
        <w:t xml:space="preserve"> </w:t>
      </w:r>
    </w:p>
    <w:p w14:paraId="104281EA" w14:textId="77777777" w:rsidR="00634F71" w:rsidRDefault="00F76ABB" w:rsidP="00F76ABB">
      <w:proofErr w:type="spellStart"/>
      <w:r>
        <w:t>Jakeman</w:t>
      </w:r>
      <w:proofErr w:type="spellEnd"/>
      <w:r>
        <w:t xml:space="preserve">, A.J., Chen, C.H., Rizzoli, A.E. and </w:t>
      </w:r>
      <w:proofErr w:type="spellStart"/>
      <w:r>
        <w:t>Voinoc</w:t>
      </w:r>
      <w:proofErr w:type="spellEnd"/>
      <w:r>
        <w:t xml:space="preserve">, A.A. (2008) Modelling and Software as Instruments for Advancing Sustainability. Environmental Modelling, Software and Decision Support. </w:t>
      </w:r>
    </w:p>
    <w:p w14:paraId="23882604" w14:textId="627E9FA5" w:rsidR="00F76ABB" w:rsidRDefault="00000000" w:rsidP="00634F71">
      <w:pPr>
        <w:ind w:left="708"/>
      </w:pPr>
      <w:hyperlink r:id="rId44" w:history="1">
        <w:r w:rsidR="00634F71" w:rsidRPr="00320F5B">
          <w:rPr>
            <w:rStyle w:val="Hyperlink"/>
          </w:rPr>
          <w:t>https://reader.elsevier.com/reader/sd/pii/S1574101X08006017?token=CA22B3771323F33509F5782EC8FABD58AC6E77A2701E3C70C8B32AFC43DBD638A9F47446619E502B76094EF8698F7708&amp;originRegion=eu-west-1&amp;originCreation=20230413134332</w:t>
        </w:r>
      </w:hyperlink>
    </w:p>
    <w:p w14:paraId="4CFC07E3" w14:textId="77777777" w:rsidR="00634F71" w:rsidRDefault="00634F71" w:rsidP="00F76ABB">
      <w:r w:rsidRPr="00634F71">
        <w:t xml:space="preserve">N. </w:t>
      </w:r>
      <w:proofErr w:type="spellStart"/>
      <w:r w:rsidRPr="00634F71">
        <w:t>Crout</w:t>
      </w:r>
      <w:proofErr w:type="spellEnd"/>
      <w:r>
        <w:t xml:space="preserve">, </w:t>
      </w:r>
      <w:r w:rsidRPr="00634F71">
        <w:t>T. Kokkonen</w:t>
      </w:r>
      <w:r>
        <w:t xml:space="preserve">, </w:t>
      </w:r>
      <w:r w:rsidRPr="00634F71">
        <w:t xml:space="preserve">A.J. </w:t>
      </w:r>
      <w:proofErr w:type="spellStart"/>
      <w:r w:rsidRPr="00634F71">
        <w:t>Jakeman</w:t>
      </w:r>
      <w:proofErr w:type="spellEnd"/>
      <w:r>
        <w:t xml:space="preserve">, </w:t>
      </w:r>
      <w:r w:rsidRPr="00634F71">
        <w:t>J.P. Norton</w:t>
      </w:r>
      <w:r>
        <w:t xml:space="preserve">, </w:t>
      </w:r>
      <w:r w:rsidRPr="00634F71">
        <w:t xml:space="preserve">L.T.H. </w:t>
      </w:r>
      <w:proofErr w:type="spellStart"/>
      <w:r w:rsidRPr="00634F71">
        <w:t>Newham</w:t>
      </w:r>
      <w:proofErr w:type="spellEnd"/>
      <w:r>
        <w:t xml:space="preserve">, </w:t>
      </w:r>
      <w:r w:rsidRPr="00634F71">
        <w:t>R. Anderson</w:t>
      </w:r>
      <w:r>
        <w:t xml:space="preserve">, </w:t>
      </w:r>
      <w:r w:rsidRPr="00634F71">
        <w:t>H. Assaf</w:t>
      </w:r>
      <w:r>
        <w:t xml:space="preserve">, </w:t>
      </w:r>
      <w:r w:rsidRPr="00634F71">
        <w:t>B.F.W. Croke</w:t>
      </w:r>
      <w:r>
        <w:t xml:space="preserve">, </w:t>
      </w:r>
      <w:r w:rsidRPr="00634F71">
        <w:t>N. Gaber</w:t>
      </w:r>
      <w:r>
        <w:t xml:space="preserve">, </w:t>
      </w:r>
      <w:r w:rsidRPr="00634F71">
        <w:t>J. Gibbons</w:t>
      </w:r>
      <w:r>
        <w:t xml:space="preserve">, </w:t>
      </w:r>
      <w:r w:rsidRPr="00634F71">
        <w:t xml:space="preserve">D. </w:t>
      </w:r>
      <w:proofErr w:type="spellStart"/>
      <w:r w:rsidRPr="00634F71">
        <w:t>Holzworth</w:t>
      </w:r>
      <w:proofErr w:type="spellEnd"/>
      <w:r>
        <w:t xml:space="preserve">, </w:t>
      </w:r>
      <w:r w:rsidRPr="00634F71">
        <w:t xml:space="preserve">J. </w:t>
      </w:r>
      <w:proofErr w:type="spellStart"/>
      <w:r w:rsidRPr="00634F71">
        <w:t>Mysiak</w:t>
      </w:r>
      <w:proofErr w:type="spellEnd"/>
      <w:r>
        <w:t xml:space="preserve">, </w:t>
      </w:r>
      <w:r w:rsidRPr="00634F71">
        <w:t xml:space="preserve">J. </w:t>
      </w:r>
      <w:proofErr w:type="spellStart"/>
      <w:r w:rsidRPr="00634F71">
        <w:t>Reichl</w:t>
      </w:r>
      <w:proofErr w:type="spellEnd"/>
      <w:r>
        <w:t xml:space="preserve">, </w:t>
      </w:r>
      <w:r w:rsidRPr="00634F71">
        <w:t xml:space="preserve">R. </w:t>
      </w:r>
      <w:proofErr w:type="spellStart"/>
      <w:r w:rsidRPr="00634F71">
        <w:t>Seppelt</w:t>
      </w:r>
      <w:proofErr w:type="spellEnd"/>
      <w:r>
        <w:t xml:space="preserve">, </w:t>
      </w:r>
      <w:r w:rsidRPr="00634F71">
        <w:t>T. Wagener</w:t>
      </w:r>
      <w:r>
        <w:t xml:space="preserve">, </w:t>
      </w:r>
      <w:r w:rsidRPr="00634F71">
        <w:t>P. Whitfield</w:t>
      </w:r>
      <w:r>
        <w:t xml:space="preserve"> (2008). Good Modeling Practice. Environmental Modelling, Software and Decision Support.  </w:t>
      </w:r>
    </w:p>
    <w:p w14:paraId="2A78498C" w14:textId="4514D06C" w:rsidR="00634F71" w:rsidRDefault="00000000" w:rsidP="00634F71">
      <w:pPr>
        <w:ind w:left="708"/>
      </w:pPr>
      <w:hyperlink r:id="rId45" w:history="1">
        <w:r w:rsidR="00634F71" w:rsidRPr="00320F5B">
          <w:rPr>
            <w:rStyle w:val="Hyperlink"/>
          </w:rPr>
          <w:t>https://reader.elsevier.com/reader/sd/pii/S1574101X08006029?token=7FD3E947C7D8A316F608519BBACD4CF3F76A93A173D219C5ED4AD4CB47A5996D4642ACC46A5F8AF7DB821107B8233116&amp;originRegion=eu-west-1&amp;originCreation=20230413132717</w:t>
        </w:r>
      </w:hyperlink>
      <w:r w:rsidR="00634F71">
        <w:t xml:space="preserve"> </w:t>
      </w:r>
    </w:p>
    <w:p w14:paraId="4A8C9567" w14:textId="4BFEE0F6" w:rsidR="00B704E5" w:rsidRDefault="00B704E5" w:rsidP="00B704E5">
      <w:r>
        <w:t>Gary Wang, G., Shan, S. (200</w:t>
      </w:r>
      <w:r w:rsidR="00032356">
        <w:t>6</w:t>
      </w:r>
      <w:r>
        <w:t xml:space="preserve">). Review of Metamodeling Techniques in Support of Engineering Design Optimization. </w:t>
      </w:r>
      <w:r w:rsidR="00032356">
        <w:t xml:space="preserve">Journal of Mechanical Design Volume 129, Issue 4. </w:t>
      </w:r>
    </w:p>
    <w:p w14:paraId="0C090F45" w14:textId="68D7F538" w:rsidR="0008799B" w:rsidRDefault="0008799B" w:rsidP="00B704E5">
      <w:proofErr w:type="spellStart"/>
      <w:r w:rsidRPr="00E6661D">
        <w:lastRenderedPageBreak/>
        <w:t>Basco</w:t>
      </w:r>
      <w:proofErr w:type="spellEnd"/>
      <w:r w:rsidRPr="00E6661D">
        <w:t xml:space="preserve"> Carrera, L., van Beek, E. van </w:t>
      </w:r>
      <w:proofErr w:type="spellStart"/>
      <w:r w:rsidRPr="00E6661D">
        <w:t>Deursen</w:t>
      </w:r>
      <w:proofErr w:type="spellEnd"/>
      <w:r w:rsidRPr="00E6661D">
        <w:t xml:space="preserve">, W., Choudhury, G.A., </w:t>
      </w:r>
      <w:proofErr w:type="spellStart"/>
      <w:r w:rsidRPr="00E6661D">
        <w:t>Haasnoot</w:t>
      </w:r>
      <w:proofErr w:type="spellEnd"/>
      <w:r w:rsidRPr="00E6661D">
        <w:t xml:space="preserve">, M. (2018). </w:t>
      </w:r>
      <w:r w:rsidRPr="0008799B">
        <w:t>Fast Integrated Systems Modeling: Th</w:t>
      </w:r>
      <w:r>
        <w:t>e method and its application in Bangladesh and the Philippines. 9</w:t>
      </w:r>
      <w:r w:rsidRPr="0008799B">
        <w:rPr>
          <w:vertAlign w:val="superscript"/>
        </w:rPr>
        <w:t>th</w:t>
      </w:r>
      <w:r>
        <w:t xml:space="preserve"> International Congress on Environmental Modelling and Software, BYU </w:t>
      </w:r>
      <w:proofErr w:type="spellStart"/>
      <w:r>
        <w:t>ScholarsArchive</w:t>
      </w:r>
      <w:proofErr w:type="spellEnd"/>
      <w:r>
        <w:t xml:space="preserve"> </w:t>
      </w:r>
    </w:p>
    <w:p w14:paraId="002CF916" w14:textId="77777777" w:rsidR="00F16DE7" w:rsidRDefault="00F16DE7" w:rsidP="00F16DE7"/>
    <w:p w14:paraId="3FE74627" w14:textId="51733540" w:rsidR="00F16DE7" w:rsidRDefault="00F16DE7" w:rsidP="00F16DE7">
      <w:r>
        <w:t>Langevin, C. D., and W. Guo (2006), MODFLOW/MT3DMS-based simulation of variable-density ground water flow and transport., Ground Water, 44(3), 339–51, doi:10.1111/j.1745-6584.2005.00156.x.</w:t>
      </w:r>
    </w:p>
    <w:p w14:paraId="4BCEB78F" w14:textId="62D7E424" w:rsidR="006404E8" w:rsidRDefault="006404E8" w:rsidP="00F16DE7">
      <w:r>
        <w:t>Langevin, C. D.,</w:t>
      </w:r>
      <w:r w:rsidRPr="006404E8">
        <w:t xml:space="preserve"> </w:t>
      </w:r>
      <w:r>
        <w:t>Hughes, J. D., Banta,</w:t>
      </w:r>
      <w:r w:rsidR="00971EF3">
        <w:t xml:space="preserve"> E. R., </w:t>
      </w:r>
      <w:proofErr w:type="spellStart"/>
      <w:r>
        <w:t>Niswonger</w:t>
      </w:r>
      <w:proofErr w:type="spellEnd"/>
      <w:r>
        <w:t>,</w:t>
      </w:r>
      <w:r w:rsidR="00971EF3">
        <w:t xml:space="preserve"> R. G.,</w:t>
      </w:r>
      <w:r>
        <w:t xml:space="preserve"> Panday,</w:t>
      </w:r>
      <w:r w:rsidR="00971EF3">
        <w:t xml:space="preserve"> S.</w:t>
      </w:r>
      <w:r>
        <w:t xml:space="preserve"> Provost</w:t>
      </w:r>
      <w:r w:rsidR="00971EF3">
        <w:t>, A. M (2017) Documentation for the MODFLOW 6 Groundwater Flow Model,</w:t>
      </w:r>
      <w:r>
        <w:t xml:space="preserve"> </w:t>
      </w:r>
      <w:r w:rsidR="00971EF3">
        <w:t>U.S.G.S., Chapter 55 of Section A, Groundwater Book 6, Modeling Techniques.</w:t>
      </w:r>
    </w:p>
    <w:p w14:paraId="0F5824AE" w14:textId="4383D465" w:rsidR="0063660E" w:rsidRDefault="0063660E">
      <w:pPr>
        <w:jc w:val="left"/>
      </w:pPr>
      <w:r>
        <w:br w:type="page"/>
      </w:r>
    </w:p>
    <w:p w14:paraId="2116577E" w14:textId="60E7DCE6" w:rsidR="0063660E" w:rsidRDefault="0063660E" w:rsidP="00F269B2">
      <w:pPr>
        <w:pStyle w:val="Heading1"/>
      </w:pPr>
      <w:r>
        <w:lastRenderedPageBreak/>
        <w:t>Appendix</w:t>
      </w:r>
      <w:r w:rsidR="00E332B5">
        <w:t xml:space="preserve"> A: Original hydrochemical longitudinal cross section</w:t>
      </w:r>
      <w:r w:rsidR="00B6077E">
        <w:t>, longitudinal along coastline</w:t>
      </w:r>
    </w:p>
    <w:p w14:paraId="3788A63E" w14:textId="0D2FEE16" w:rsidR="00B6077E" w:rsidRDefault="00B6077E" w:rsidP="00E332B5">
      <w:r>
        <w:t>ADD AS PDF</w:t>
      </w:r>
    </w:p>
    <w:p w14:paraId="02CD8595" w14:textId="77777777" w:rsidR="00B6077E" w:rsidRDefault="00B6077E">
      <w:pPr>
        <w:jc w:val="left"/>
      </w:pPr>
      <w:r>
        <w:br w:type="page"/>
      </w:r>
    </w:p>
    <w:p w14:paraId="699ED3CA" w14:textId="0554FD2D" w:rsidR="00E332B5" w:rsidRDefault="00B6077E" w:rsidP="00B6077E">
      <w:pPr>
        <w:pStyle w:val="Heading1"/>
      </w:pPr>
      <w:r>
        <w:lastRenderedPageBreak/>
        <w:t>Appendix B: Original hydrochemical longitudinal cross section, perpendicular to coastline</w:t>
      </w:r>
    </w:p>
    <w:p w14:paraId="3A938928" w14:textId="27DBA08F" w:rsidR="00B6077E" w:rsidRDefault="00B6077E" w:rsidP="00E332B5">
      <w:r>
        <w:t>ADD AS PDF</w:t>
      </w:r>
    </w:p>
    <w:p w14:paraId="2FAB5E33" w14:textId="255BA85F" w:rsidR="004E682D" w:rsidRDefault="004E682D" w:rsidP="00B769D0">
      <w:pPr>
        <w:ind w:firstLine="708"/>
      </w:pPr>
      <w:r w:rsidRPr="00A82D6B">
        <w:drawing>
          <wp:inline distT="0" distB="0" distL="0" distR="0" wp14:anchorId="0D8A3A79" wp14:editId="0AF1F898">
            <wp:extent cx="4666823" cy="3529330"/>
            <wp:effectExtent l="0" t="0" r="635" b="0"/>
            <wp:docPr id="22" name="Picture 22" descr="A picture containing diagram, sketch,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sketch, text, drawing&#10;&#10;Description automatically generated"/>
                    <pic:cNvPicPr/>
                  </pic:nvPicPr>
                  <pic:blipFill>
                    <a:blip r:embed="rId37"/>
                    <a:stretch>
                      <a:fillRect/>
                    </a:stretch>
                  </pic:blipFill>
                  <pic:spPr>
                    <a:xfrm>
                      <a:off x="0" y="0"/>
                      <a:ext cx="4690576" cy="3547293"/>
                    </a:xfrm>
                    <a:prstGeom prst="rect">
                      <a:avLst/>
                    </a:prstGeom>
                  </pic:spPr>
                </pic:pic>
              </a:graphicData>
            </a:graphic>
          </wp:inline>
        </w:drawing>
      </w:r>
    </w:p>
    <w:p w14:paraId="48571343" w14:textId="4F8AC782" w:rsidR="00102B29" w:rsidRDefault="00102B29">
      <w:pPr>
        <w:jc w:val="left"/>
      </w:pPr>
      <w:r>
        <w:br w:type="page"/>
      </w:r>
    </w:p>
    <w:p w14:paraId="1A149BB9" w14:textId="4AA3F4D8" w:rsidR="00102B29" w:rsidRPr="00E332B5" w:rsidRDefault="00102B29" w:rsidP="00102B29">
      <w:pPr>
        <w:pStyle w:val="Heading1"/>
      </w:pPr>
      <w:r>
        <w:lastRenderedPageBreak/>
        <w:t>Appendix C: detailed script structure</w:t>
      </w:r>
    </w:p>
    <w:sectPr w:rsidR="00102B29" w:rsidRPr="00E332B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ustus Krantz" w:date="2023-05-05T12:36:00Z" w:initials="JK">
    <w:p w14:paraId="733A65E2" w14:textId="77777777" w:rsidR="00635155" w:rsidRDefault="00635155" w:rsidP="000231E5">
      <w:pPr>
        <w:pStyle w:val="CommentText"/>
        <w:jc w:val="left"/>
      </w:pPr>
      <w:r>
        <w:rPr>
          <w:rStyle w:val="CommentReference"/>
        </w:rPr>
        <w:annotationRef/>
      </w:r>
      <w:r>
        <w:t>+ mention infiltration ponds?</w:t>
      </w:r>
    </w:p>
  </w:comment>
  <w:comment w:id="4" w:author="Justus Krantz" w:date="2023-05-10T11:25:00Z" w:initials="JK">
    <w:p w14:paraId="6E4A5114" w14:textId="77777777" w:rsidR="00302967" w:rsidRDefault="00302967" w:rsidP="00103C48">
      <w:pPr>
        <w:pStyle w:val="CommentText"/>
        <w:jc w:val="left"/>
      </w:pPr>
      <w:r>
        <w:rPr>
          <w:rStyle w:val="CommentReference"/>
        </w:rPr>
        <w:annotationRef/>
      </w:r>
      <w:r>
        <w:t>Change validation to validation/calibration</w:t>
      </w:r>
    </w:p>
  </w:comment>
  <w:comment w:id="5" w:author="Justus Krantz" w:date="2023-05-17T13:46:00Z" w:initials="JK">
    <w:p w14:paraId="134DFE62" w14:textId="77777777" w:rsidR="00683E61" w:rsidRDefault="00683E61" w:rsidP="00991AA4">
      <w:pPr>
        <w:pStyle w:val="CommentText"/>
        <w:jc w:val="left"/>
      </w:pPr>
      <w:r>
        <w:rPr>
          <w:rStyle w:val="CommentReference"/>
        </w:rPr>
        <w:annotationRef/>
      </w:r>
      <w:r>
        <w:t>Include in a figure the model domain, make a QGIS map</w:t>
      </w:r>
    </w:p>
  </w:comment>
  <w:comment w:id="6" w:author="Justus Krantz" w:date="2023-05-05T12:50:00Z" w:initials="JK">
    <w:p w14:paraId="6AC915DD" w14:textId="0E365F8E" w:rsidR="000E5583" w:rsidRDefault="000E5583" w:rsidP="00E5028A">
      <w:pPr>
        <w:pStyle w:val="CommentText"/>
        <w:jc w:val="left"/>
      </w:pPr>
      <w:r>
        <w:rPr>
          <w:rStyle w:val="CommentReference"/>
        </w:rPr>
        <w:annotationRef/>
      </w:r>
      <w:r>
        <w:t>For discussing data sources and BRO GEOTOP etc: use literatuur &gt; mjvdmetal.pdf</w:t>
      </w:r>
    </w:p>
  </w:comment>
  <w:comment w:id="7" w:author="Justus Krantz" w:date="2023-05-17T10:50:00Z" w:initials="JK">
    <w:p w14:paraId="351776B9" w14:textId="77777777" w:rsidR="00AE4E18" w:rsidRDefault="00AE4E18" w:rsidP="003D6151">
      <w:pPr>
        <w:pStyle w:val="CommentText"/>
        <w:jc w:val="left"/>
      </w:pPr>
      <w:r>
        <w:rPr>
          <w:rStyle w:val="CommentReference"/>
        </w:rPr>
        <w:annotationRef/>
      </w:r>
      <w:r>
        <w:t>Reference for structure? Ask Huite</w:t>
      </w:r>
    </w:p>
  </w:comment>
  <w:comment w:id="8" w:author="Justus Krantz" w:date="2023-05-17T12:05:00Z" w:initials="JK">
    <w:p w14:paraId="3CED3780" w14:textId="77777777" w:rsidR="00815A37" w:rsidRDefault="00815A37" w:rsidP="007E5982">
      <w:pPr>
        <w:pStyle w:val="CommentText"/>
        <w:jc w:val="left"/>
      </w:pPr>
      <w:r>
        <w:rPr>
          <w:rStyle w:val="CommentReference"/>
        </w:rPr>
        <w:annotationRef/>
      </w:r>
      <w:r>
        <w:t>Add literature</w:t>
      </w:r>
    </w:p>
  </w:comment>
  <w:comment w:id="9" w:author="Justus Krantz" w:date="2023-05-11T10:12:00Z" w:initials="JK">
    <w:p w14:paraId="724461C5" w14:textId="5AB1FF15" w:rsidR="00FC5ECD" w:rsidRDefault="00FC5ECD" w:rsidP="00794C0F">
      <w:pPr>
        <w:pStyle w:val="CommentText"/>
        <w:jc w:val="left"/>
      </w:pPr>
      <w:r>
        <w:rPr>
          <w:rStyle w:val="CommentReference"/>
        </w:rPr>
        <w:annotationRef/>
      </w:r>
      <w:r>
        <w:t>Go into this after regridding?</w:t>
      </w:r>
    </w:p>
  </w:comment>
  <w:comment w:id="10" w:author="Justus Krantz" w:date="2023-05-10T12:14:00Z" w:initials="JK">
    <w:p w14:paraId="66C293B1" w14:textId="77777777" w:rsidR="00442414" w:rsidRDefault="00442414" w:rsidP="00CE14A3">
      <w:pPr>
        <w:pStyle w:val="CommentText"/>
        <w:jc w:val="left"/>
      </w:pPr>
      <w:r>
        <w:rPr>
          <w:rStyle w:val="CommentReference"/>
        </w:rPr>
        <w:annotationRef/>
      </w:r>
      <w:r>
        <w:t>Needs more extensive explanation?</w:t>
      </w:r>
    </w:p>
  </w:comment>
  <w:comment w:id="11" w:author="Justus Krantz" w:date="2023-05-10T12:08:00Z" w:initials="JK">
    <w:p w14:paraId="1CAC7B2C" w14:textId="65B21222" w:rsidR="004D1D98" w:rsidRDefault="004D1D98" w:rsidP="00085224">
      <w:pPr>
        <w:pStyle w:val="CommentText"/>
        <w:jc w:val="left"/>
      </w:pPr>
      <w:r>
        <w:rPr>
          <w:rStyle w:val="CommentReference"/>
        </w:rPr>
        <w:annotationRef/>
      </w:r>
      <w:r>
        <w:t>Figure needs improvement, Study area needs to be highlighted</w:t>
      </w:r>
    </w:p>
  </w:comment>
  <w:comment w:id="12" w:author="Justus Krantz" w:date="2023-05-17T14:42:00Z" w:initials="JK">
    <w:p w14:paraId="59ADCC1B" w14:textId="77777777" w:rsidR="00D91C8F" w:rsidRDefault="00D91C8F" w:rsidP="00191E1E">
      <w:pPr>
        <w:pStyle w:val="CommentText"/>
        <w:jc w:val="left"/>
      </w:pPr>
      <w:r>
        <w:rPr>
          <w:rStyle w:val="CommentReference"/>
        </w:rPr>
        <w:annotationRef/>
      </w:r>
      <w:r>
        <w:t>HyFA en F/S interface omdraaien?</w:t>
      </w:r>
    </w:p>
  </w:comment>
  <w:comment w:id="13" w:author="Justus Krantz" w:date="2023-05-11T12:10:00Z" w:initials="JK">
    <w:p w14:paraId="664A478E" w14:textId="410507C2" w:rsidR="00747FB3" w:rsidRDefault="00DE4FC2" w:rsidP="007354D9">
      <w:pPr>
        <w:pStyle w:val="CommentText"/>
        <w:jc w:val="left"/>
      </w:pPr>
      <w:r>
        <w:rPr>
          <w:rStyle w:val="CommentReference"/>
        </w:rPr>
        <w:annotationRef/>
      </w:r>
      <w:r w:rsidR="00747FB3">
        <w:t>What does this mean for the calculated fresh-saline interface, is this really the fresh-brackish interface? Look to Oude Essink</w:t>
      </w:r>
    </w:p>
  </w:comment>
  <w:comment w:id="14" w:author="Justus Krantz" w:date="2023-05-11T13:50:00Z" w:initials="JK">
    <w:p w14:paraId="508B6119" w14:textId="51FC92D0" w:rsidR="00747FB3" w:rsidRDefault="00747FB3" w:rsidP="00AF2933">
      <w:pPr>
        <w:pStyle w:val="CommentText"/>
        <w:jc w:val="left"/>
      </w:pPr>
      <w:r>
        <w:rPr>
          <w:rStyle w:val="CommentReference"/>
        </w:rPr>
        <w:annotationRef/>
      </w:r>
      <w:r>
        <w:t>In the presented plots in the results, the fresh-saline interface is really the fresh-brackish grounwdwater interface</w:t>
      </w:r>
    </w:p>
  </w:comment>
  <w:comment w:id="15" w:author="Justus Krantz" w:date="2023-05-11T13:58:00Z" w:initials="JK">
    <w:p w14:paraId="7A729A4B" w14:textId="77777777" w:rsidR="00747FB3" w:rsidRDefault="00747FB3" w:rsidP="006C1C08">
      <w:pPr>
        <w:pStyle w:val="CommentText"/>
        <w:jc w:val="left"/>
      </w:pPr>
      <w:r>
        <w:rPr>
          <w:rStyle w:val="CommentReference"/>
        </w:rPr>
        <w:annotationRef/>
      </w:r>
      <w:r>
        <w:t xml:space="preserve">Oude Essink: A classification on chloride concentrations into three main types of fresh, brackish or saline groundwater is as follows [7]: fresh Clp300 mg/l, brackish 300oClo10; 000 mg/l and saline ClX10; 000 mg/l. </w:t>
      </w:r>
    </w:p>
  </w:comment>
  <w:comment w:id="16" w:author="Justus Krantz" w:date="2023-05-11T14:00:00Z" w:initials="JK">
    <w:p w14:paraId="2ACCAB35" w14:textId="77777777" w:rsidR="00747FB3" w:rsidRDefault="00747FB3" w:rsidP="00B94188">
      <w:pPr>
        <w:pStyle w:val="CommentText"/>
        <w:jc w:val="left"/>
      </w:pPr>
      <w:r>
        <w:rPr>
          <w:rStyle w:val="CommentReference"/>
        </w:rPr>
        <w:annotationRef/>
      </w:r>
      <w:r>
        <w:t>Discuss with Huite?</w:t>
      </w:r>
    </w:p>
  </w:comment>
  <w:comment w:id="17" w:author="Justus Krantz" w:date="2023-05-11T14:54:00Z" w:initials="JK">
    <w:p w14:paraId="5145E210" w14:textId="77777777" w:rsidR="00315B32" w:rsidRDefault="00315B32" w:rsidP="00266DD4">
      <w:pPr>
        <w:pStyle w:val="CommentText"/>
        <w:jc w:val="left"/>
      </w:pPr>
      <w:r>
        <w:rPr>
          <w:rStyle w:val="CommentReference"/>
        </w:rPr>
        <w:annotationRef/>
      </w:r>
      <w:r>
        <w:t xml:space="preserve">Stuyfzand,1993 maps: fresh (F =cr &lt; 300 mgll) and the main types brackish and brackish-salt into brackish (B =300 &lt; cr &lt; 10,000 mg/l). </w:t>
      </w:r>
    </w:p>
  </w:comment>
  <w:comment w:id="18" w:author="Justus Krantz" w:date="2023-05-17T14:29:00Z" w:initials="JK">
    <w:p w14:paraId="3E27F07D" w14:textId="77777777" w:rsidR="00BC2A13" w:rsidRDefault="00BC2A13" w:rsidP="00D75DFB">
      <w:pPr>
        <w:pStyle w:val="CommentText"/>
        <w:jc w:val="left"/>
      </w:pPr>
      <w:r>
        <w:rPr>
          <w:rStyle w:val="CommentReference"/>
        </w:rPr>
        <w:annotationRef/>
      </w:r>
      <w:r>
        <w:t>So where is the fresh-saline interface? Or name it a fresh-brackish groundwater interface</w:t>
      </w:r>
    </w:p>
  </w:comment>
  <w:comment w:id="19" w:author="Justus Krantz" w:date="2023-05-17T16:28:00Z" w:initials="JK">
    <w:p w14:paraId="3A38BF8C" w14:textId="77777777" w:rsidR="00700EC2" w:rsidRDefault="00700EC2" w:rsidP="004D0745">
      <w:pPr>
        <w:pStyle w:val="CommentText"/>
        <w:jc w:val="left"/>
      </w:pPr>
      <w:r>
        <w:rPr>
          <w:rStyle w:val="CommentReference"/>
        </w:rPr>
        <w:annotationRef/>
      </w:r>
      <w:r>
        <w:t>The following statistics are the same for a fixed head at the edges of the domain as for an impermeable boundary</w:t>
      </w:r>
    </w:p>
  </w:comment>
  <w:comment w:id="20" w:author="Justus Krantz" w:date="2023-05-10T15:20:00Z" w:initials="JK">
    <w:p w14:paraId="3CC9B36D" w14:textId="61226A79" w:rsidR="0009373C" w:rsidRDefault="0009373C" w:rsidP="0009373C">
      <w:pPr>
        <w:pStyle w:val="CommentText"/>
        <w:jc w:val="left"/>
      </w:pPr>
      <w:r>
        <w:rPr>
          <w:rStyle w:val="CommentReference"/>
        </w:rPr>
        <w:annotationRef/>
      </w:r>
      <w:r>
        <w:t>Hydraulic heads main use for global calibration of the MM. Perhaps start off with no study area focus, move this to the discussion?</w:t>
      </w:r>
    </w:p>
  </w:comment>
  <w:comment w:id="21" w:author="Justus Krantz" w:date="2023-05-17T15:52:00Z" w:initials="JK">
    <w:p w14:paraId="5693C3EB" w14:textId="77777777" w:rsidR="00102B29" w:rsidRDefault="00102B29" w:rsidP="009C1988">
      <w:pPr>
        <w:pStyle w:val="CommentText"/>
        <w:jc w:val="left"/>
      </w:pPr>
      <w:r>
        <w:rPr>
          <w:rStyle w:val="CommentReference"/>
        </w:rPr>
        <w:annotationRef/>
      </w:r>
      <w:r>
        <w:t>For scientific notation of axis: look at script 4.2</w:t>
      </w:r>
    </w:p>
  </w:comment>
  <w:comment w:id="22" w:author="Justus Krantz" w:date="2023-05-10T15:34:00Z" w:initials="JK">
    <w:p w14:paraId="3E59D9F8" w14:textId="3F7F9A63" w:rsidR="00717BC3" w:rsidRDefault="00717BC3" w:rsidP="004238AE">
      <w:pPr>
        <w:pStyle w:val="CommentText"/>
        <w:jc w:val="left"/>
      </w:pPr>
      <w:r>
        <w:rPr>
          <w:rStyle w:val="CommentReference"/>
        </w:rPr>
        <w:annotationRef/>
      </w:r>
      <w:r>
        <w:t>Rch moet eruit</w:t>
      </w:r>
    </w:p>
  </w:comment>
  <w:comment w:id="23" w:author="Justus Krantz" w:date="2023-05-11T16:18:00Z" w:initials="JK">
    <w:p w14:paraId="7B361D30" w14:textId="77777777" w:rsidR="00234CEE" w:rsidRDefault="00234CEE" w:rsidP="0003383E">
      <w:pPr>
        <w:pStyle w:val="CommentText"/>
        <w:jc w:val="left"/>
      </w:pPr>
      <w:r>
        <w:rPr>
          <w:rStyle w:val="CommentReference"/>
        </w:rPr>
        <w:annotationRef/>
      </w:r>
      <w:r>
        <w:t>Herschalen naar Loosduinen-Katwijk sectie met Simon</w:t>
      </w:r>
    </w:p>
  </w:comment>
  <w:comment w:id="24" w:author="Justus Krantz" w:date="2023-05-16T16:39:00Z" w:initials="JK">
    <w:p w14:paraId="4D5FE564" w14:textId="77777777" w:rsidR="00A82D6B" w:rsidRDefault="00A82D6B" w:rsidP="004420AF">
      <w:pPr>
        <w:pStyle w:val="CommentText"/>
        <w:jc w:val="left"/>
      </w:pPr>
      <w:r>
        <w:rPr>
          <w:rStyle w:val="CommentReference"/>
        </w:rPr>
        <w:annotationRef/>
      </w:r>
      <w:r>
        <w:t>Top right: saline groundwater may be due to inactive cells being named saline. Investigate this</w:t>
      </w:r>
    </w:p>
  </w:comment>
  <w:comment w:id="25" w:author="Justus Krantz" w:date="2023-05-17T13:21:00Z" w:initials="JK">
    <w:p w14:paraId="0DF4BF80" w14:textId="77777777" w:rsidR="00D01EBB" w:rsidRDefault="00D01EBB" w:rsidP="00690F9C">
      <w:pPr>
        <w:pStyle w:val="CommentText"/>
        <w:jc w:val="left"/>
      </w:pPr>
      <w:r>
        <w:rPr>
          <w:rStyle w:val="CommentReference"/>
        </w:rPr>
        <w:annotationRef/>
      </w:r>
      <w:r>
        <w:t>Names of cities must be highlighted in the figures</w:t>
      </w:r>
    </w:p>
  </w:comment>
  <w:comment w:id="26" w:author="Justus Krantz" w:date="2023-05-10T15:47:00Z" w:initials="JK">
    <w:p w14:paraId="028A0180" w14:textId="77777777" w:rsidR="00C55F16" w:rsidRDefault="00C55F16" w:rsidP="00C55F16">
      <w:pPr>
        <w:pStyle w:val="CommentText"/>
        <w:jc w:val="left"/>
      </w:pPr>
      <w:r>
        <w:rPr>
          <w:rStyle w:val="CommentReference"/>
        </w:rPr>
        <w:annotationRef/>
      </w:r>
      <w:r>
        <w:t>Introduce FLF in methods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3A65E2" w15:done="0"/>
  <w15:commentEx w15:paraId="6E4A5114" w15:done="0"/>
  <w15:commentEx w15:paraId="134DFE62" w15:done="0"/>
  <w15:commentEx w15:paraId="6AC915DD" w15:done="0"/>
  <w15:commentEx w15:paraId="351776B9" w15:done="0"/>
  <w15:commentEx w15:paraId="3CED3780" w15:done="0"/>
  <w15:commentEx w15:paraId="724461C5" w15:done="0"/>
  <w15:commentEx w15:paraId="66C293B1" w15:done="0"/>
  <w15:commentEx w15:paraId="1CAC7B2C" w15:done="0"/>
  <w15:commentEx w15:paraId="59ADCC1B" w15:done="0"/>
  <w15:commentEx w15:paraId="664A478E" w15:done="1"/>
  <w15:commentEx w15:paraId="508B6119" w15:paraIdParent="664A478E" w15:done="1"/>
  <w15:commentEx w15:paraId="7A729A4B" w15:paraIdParent="664A478E" w15:done="1"/>
  <w15:commentEx w15:paraId="2ACCAB35" w15:paraIdParent="664A478E" w15:done="1"/>
  <w15:commentEx w15:paraId="5145E210" w15:paraIdParent="664A478E" w15:done="1"/>
  <w15:commentEx w15:paraId="3E27F07D" w15:done="0"/>
  <w15:commentEx w15:paraId="3A38BF8C" w15:done="0"/>
  <w15:commentEx w15:paraId="3CC9B36D" w15:done="1"/>
  <w15:commentEx w15:paraId="5693C3EB" w15:done="0"/>
  <w15:commentEx w15:paraId="3E59D9F8" w15:done="0"/>
  <w15:commentEx w15:paraId="7B361D30" w15:done="0"/>
  <w15:commentEx w15:paraId="4D5FE564" w15:done="0"/>
  <w15:commentEx w15:paraId="0DF4BF80" w15:done="1"/>
  <w15:commentEx w15:paraId="028A018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F76C7" w16cex:dateUtc="2023-05-05T10:36:00Z"/>
  <w16cex:commentExtensible w16cex:durableId="2805FDAB" w16cex:dateUtc="2023-05-10T09:25:00Z"/>
  <w16cex:commentExtensible w16cex:durableId="280F5952" w16cex:dateUtc="2023-05-17T11:46:00Z"/>
  <w16cex:commentExtensible w16cex:durableId="27FF7A1B" w16cex:dateUtc="2023-05-05T10:50:00Z"/>
  <w16cex:commentExtensible w16cex:durableId="280F3012" w16cex:dateUtc="2023-05-17T08:50:00Z"/>
  <w16cex:commentExtensible w16cex:durableId="280F419C" w16cex:dateUtc="2023-05-17T10:05:00Z"/>
  <w16cex:commentExtensible w16cex:durableId="28073E10" w16cex:dateUtc="2023-05-11T08:12:00Z"/>
  <w16cex:commentExtensible w16cex:durableId="2806093D" w16cex:dateUtc="2023-05-10T10:14:00Z"/>
  <w16cex:commentExtensible w16cex:durableId="280607B4" w16cex:dateUtc="2023-05-10T10:08:00Z"/>
  <w16cex:commentExtensible w16cex:durableId="280F666C" w16cex:dateUtc="2023-05-17T12:42:00Z"/>
  <w16cex:commentExtensible w16cex:durableId="2807599A" w16cex:dateUtc="2023-05-11T10:10:00Z"/>
  <w16cex:commentExtensible w16cex:durableId="28077115" w16cex:dateUtc="2023-05-11T11:50:00Z"/>
  <w16cex:commentExtensible w16cex:durableId="280772F2" w16cex:dateUtc="2023-05-11T11:58:00Z"/>
  <w16cex:commentExtensible w16cex:durableId="2807736B" w16cex:dateUtc="2023-05-11T12:00:00Z"/>
  <w16cex:commentExtensible w16cex:durableId="2807801A" w16cex:dateUtc="2023-05-11T12:54:00Z"/>
  <w16cex:commentExtensible w16cex:durableId="280F634F" w16cex:dateUtc="2023-05-17T12:29:00Z"/>
  <w16cex:commentExtensible w16cex:durableId="280F7F11" w16cex:dateUtc="2023-05-17T14:28:00Z"/>
  <w16cex:commentExtensible w16cex:durableId="280634A0" w16cex:dateUtc="2023-05-10T13:20:00Z"/>
  <w16cex:commentExtensible w16cex:durableId="280F76AC" w16cex:dateUtc="2023-05-17T13:52:00Z"/>
  <w16cex:commentExtensible w16cex:durableId="28063814" w16cex:dateUtc="2023-05-10T13:34:00Z"/>
  <w16cex:commentExtensible w16cex:durableId="280793DA" w16cex:dateUtc="2023-05-11T14:18:00Z"/>
  <w16cex:commentExtensible w16cex:durableId="280E3041" w16cex:dateUtc="2023-05-16T14:39:00Z"/>
  <w16cex:commentExtensible w16cex:durableId="280F533C" w16cex:dateUtc="2023-05-17T11:21:00Z"/>
  <w16cex:commentExtensible w16cex:durableId="28063AF7" w16cex:dateUtc="2023-05-10T13: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3A65E2" w16cid:durableId="27FF76C7"/>
  <w16cid:commentId w16cid:paraId="6E4A5114" w16cid:durableId="2805FDAB"/>
  <w16cid:commentId w16cid:paraId="134DFE62" w16cid:durableId="280F5952"/>
  <w16cid:commentId w16cid:paraId="6AC915DD" w16cid:durableId="27FF7A1B"/>
  <w16cid:commentId w16cid:paraId="351776B9" w16cid:durableId="280F3012"/>
  <w16cid:commentId w16cid:paraId="3CED3780" w16cid:durableId="280F419C"/>
  <w16cid:commentId w16cid:paraId="724461C5" w16cid:durableId="28073E10"/>
  <w16cid:commentId w16cid:paraId="66C293B1" w16cid:durableId="2806093D"/>
  <w16cid:commentId w16cid:paraId="1CAC7B2C" w16cid:durableId="280607B4"/>
  <w16cid:commentId w16cid:paraId="59ADCC1B" w16cid:durableId="280F666C"/>
  <w16cid:commentId w16cid:paraId="664A478E" w16cid:durableId="2807599A"/>
  <w16cid:commentId w16cid:paraId="508B6119" w16cid:durableId="28077115"/>
  <w16cid:commentId w16cid:paraId="7A729A4B" w16cid:durableId="280772F2"/>
  <w16cid:commentId w16cid:paraId="2ACCAB35" w16cid:durableId="2807736B"/>
  <w16cid:commentId w16cid:paraId="5145E210" w16cid:durableId="2807801A"/>
  <w16cid:commentId w16cid:paraId="3E27F07D" w16cid:durableId="280F634F"/>
  <w16cid:commentId w16cid:paraId="3A38BF8C" w16cid:durableId="280F7F11"/>
  <w16cid:commentId w16cid:paraId="3CC9B36D" w16cid:durableId="280634A0"/>
  <w16cid:commentId w16cid:paraId="5693C3EB" w16cid:durableId="280F76AC"/>
  <w16cid:commentId w16cid:paraId="3E59D9F8" w16cid:durableId="28063814"/>
  <w16cid:commentId w16cid:paraId="7B361D30" w16cid:durableId="280793DA"/>
  <w16cid:commentId w16cid:paraId="4D5FE564" w16cid:durableId="280E3041"/>
  <w16cid:commentId w16cid:paraId="0DF4BF80" w16cid:durableId="280F533C"/>
  <w16cid:commentId w16cid:paraId="028A0180" w16cid:durableId="28063AF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Concrete">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242"/>
    <w:multiLevelType w:val="hybridMultilevel"/>
    <w:tmpl w:val="44B2F4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080F94"/>
    <w:multiLevelType w:val="hybridMultilevel"/>
    <w:tmpl w:val="93D040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C4B7C"/>
    <w:multiLevelType w:val="hybridMultilevel"/>
    <w:tmpl w:val="0D1436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46A05F5"/>
    <w:multiLevelType w:val="hybridMultilevel"/>
    <w:tmpl w:val="68727896"/>
    <w:lvl w:ilvl="0" w:tplc="621E7476">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4" w15:restartNumberingAfterBreak="0">
    <w:nsid w:val="08A71AB4"/>
    <w:multiLevelType w:val="hybridMultilevel"/>
    <w:tmpl w:val="3F0E60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623136"/>
    <w:multiLevelType w:val="hybridMultilevel"/>
    <w:tmpl w:val="05A85E5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D145F3A"/>
    <w:multiLevelType w:val="hybridMultilevel"/>
    <w:tmpl w:val="F88E1D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FCD645D"/>
    <w:multiLevelType w:val="hybridMultilevel"/>
    <w:tmpl w:val="FDCAD1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557562D"/>
    <w:multiLevelType w:val="hybridMultilevel"/>
    <w:tmpl w:val="66D0CF0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16D94684"/>
    <w:multiLevelType w:val="hybridMultilevel"/>
    <w:tmpl w:val="D0642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B9F63FF"/>
    <w:multiLevelType w:val="hybridMultilevel"/>
    <w:tmpl w:val="FBA803AC"/>
    <w:lvl w:ilvl="0" w:tplc="958821EE">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1D92A8F"/>
    <w:multiLevelType w:val="hybridMultilevel"/>
    <w:tmpl w:val="B4DE284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221B10F3"/>
    <w:multiLevelType w:val="hybridMultilevel"/>
    <w:tmpl w:val="9AC8539A"/>
    <w:lvl w:ilvl="0" w:tplc="0413000F">
      <w:start w:val="1"/>
      <w:numFmt w:val="decimal"/>
      <w:lvlText w:val="%1."/>
      <w:lvlJc w:val="left"/>
      <w:pPr>
        <w:ind w:left="1428" w:hanging="360"/>
      </w:pPr>
      <w:rPr>
        <w:rFonts w:hint="default"/>
      </w:rPr>
    </w:lvl>
    <w:lvl w:ilvl="1" w:tplc="04130019">
      <w:start w:val="1"/>
      <w:numFmt w:val="lowerLetter"/>
      <w:lvlText w:val="%2."/>
      <w:lvlJc w:val="left"/>
      <w:pPr>
        <w:ind w:left="2148" w:hanging="360"/>
      </w:pPr>
    </w:lvl>
    <w:lvl w:ilvl="2" w:tplc="0413001B">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13" w15:restartNumberingAfterBreak="0">
    <w:nsid w:val="260F36F6"/>
    <w:multiLevelType w:val="hybridMultilevel"/>
    <w:tmpl w:val="648E1DB0"/>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6565EA8"/>
    <w:multiLevelType w:val="hybridMultilevel"/>
    <w:tmpl w:val="490498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ABB0306"/>
    <w:multiLevelType w:val="hybridMultilevel"/>
    <w:tmpl w:val="4566CB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045142F"/>
    <w:multiLevelType w:val="hybridMultilevel"/>
    <w:tmpl w:val="16E0F7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3FD3AB3"/>
    <w:multiLevelType w:val="hybridMultilevel"/>
    <w:tmpl w:val="4BB4CE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5A004A9"/>
    <w:multiLevelType w:val="hybridMultilevel"/>
    <w:tmpl w:val="D8DCEE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7905DA7"/>
    <w:multiLevelType w:val="hybridMultilevel"/>
    <w:tmpl w:val="E42E45E2"/>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87A5C9F"/>
    <w:multiLevelType w:val="hybridMultilevel"/>
    <w:tmpl w:val="A12ED64E"/>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3CE0173A"/>
    <w:multiLevelType w:val="hybridMultilevel"/>
    <w:tmpl w:val="91B8A5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B971772"/>
    <w:multiLevelType w:val="hybridMultilevel"/>
    <w:tmpl w:val="6B82D0A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3" w15:restartNumberingAfterBreak="0">
    <w:nsid w:val="4F9F43F0"/>
    <w:multiLevelType w:val="hybridMultilevel"/>
    <w:tmpl w:val="5B46ECD2"/>
    <w:lvl w:ilvl="0" w:tplc="958821EE">
      <w:start w:val="1"/>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BA8E5292">
      <w:start w:val="14"/>
      <w:numFmt w:val="bullet"/>
      <w:lvlText w:val="-"/>
      <w:lvlJc w:val="left"/>
      <w:pPr>
        <w:ind w:left="2160" w:hanging="360"/>
      </w:pPr>
      <w:rPr>
        <w:rFonts w:ascii="CMU Concrete" w:eastAsiaTheme="minorHAnsi" w:hAnsi="CMU Concrete" w:cs="CMU Concrete"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2247AED"/>
    <w:multiLevelType w:val="hybridMultilevel"/>
    <w:tmpl w:val="ED266660"/>
    <w:lvl w:ilvl="0" w:tplc="3760A56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4016DF0"/>
    <w:multiLevelType w:val="hybridMultilevel"/>
    <w:tmpl w:val="B55284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41560EA"/>
    <w:multiLevelType w:val="hybridMultilevel"/>
    <w:tmpl w:val="558AFD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548045B"/>
    <w:multiLevelType w:val="hybridMultilevel"/>
    <w:tmpl w:val="070C9478"/>
    <w:lvl w:ilvl="0" w:tplc="B3FC7020">
      <w:start w:val="1"/>
      <w:numFmt w:val="decimal"/>
      <w:lvlText w:val="%1."/>
      <w:lvlJc w:val="left"/>
      <w:pPr>
        <w:ind w:left="1065" w:hanging="360"/>
      </w:pPr>
      <w:rPr>
        <w:rFonts w:hint="default"/>
      </w:rPr>
    </w:lvl>
    <w:lvl w:ilvl="1" w:tplc="04130019">
      <w:start w:val="1"/>
      <w:numFmt w:val="lowerLetter"/>
      <w:lvlText w:val="%2."/>
      <w:lvlJc w:val="left"/>
      <w:pPr>
        <w:ind w:left="1785" w:hanging="360"/>
      </w:pPr>
    </w:lvl>
    <w:lvl w:ilvl="2" w:tplc="0413001B">
      <w:start w:val="1"/>
      <w:numFmt w:val="lowerRoman"/>
      <w:lvlText w:val="%3."/>
      <w:lvlJc w:val="right"/>
      <w:pPr>
        <w:ind w:left="2505" w:hanging="180"/>
      </w:pPr>
    </w:lvl>
    <w:lvl w:ilvl="3" w:tplc="0413000F">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28" w15:restartNumberingAfterBreak="0">
    <w:nsid w:val="57CD172F"/>
    <w:multiLevelType w:val="hybridMultilevel"/>
    <w:tmpl w:val="14D4906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CFA2881"/>
    <w:multiLevelType w:val="hybridMultilevel"/>
    <w:tmpl w:val="945E764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EB87797"/>
    <w:multiLevelType w:val="hybridMultilevel"/>
    <w:tmpl w:val="603E886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F57538F"/>
    <w:multiLevelType w:val="hybridMultilevel"/>
    <w:tmpl w:val="B0FC366E"/>
    <w:lvl w:ilvl="0" w:tplc="9522A698">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2" w15:restartNumberingAfterBreak="0">
    <w:nsid w:val="615B3C23"/>
    <w:multiLevelType w:val="hybridMultilevel"/>
    <w:tmpl w:val="7E449C3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3" w15:restartNumberingAfterBreak="0">
    <w:nsid w:val="629670CE"/>
    <w:multiLevelType w:val="hybridMultilevel"/>
    <w:tmpl w:val="A3EE62D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4EF7EFE"/>
    <w:multiLevelType w:val="hybridMultilevel"/>
    <w:tmpl w:val="7A744F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56519A9"/>
    <w:multiLevelType w:val="hybridMultilevel"/>
    <w:tmpl w:val="9E583242"/>
    <w:lvl w:ilvl="0" w:tplc="958821E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AFB6177"/>
    <w:multiLevelType w:val="hybridMultilevel"/>
    <w:tmpl w:val="3C5E61E2"/>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C362535"/>
    <w:multiLevelType w:val="hybridMultilevel"/>
    <w:tmpl w:val="38AA54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C3B621F"/>
    <w:multiLevelType w:val="hybridMultilevel"/>
    <w:tmpl w:val="F6A023A4"/>
    <w:lvl w:ilvl="0" w:tplc="AAF044DA">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DE83BCC"/>
    <w:multiLevelType w:val="hybridMultilevel"/>
    <w:tmpl w:val="8F228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EF2120F"/>
    <w:multiLevelType w:val="multilevel"/>
    <w:tmpl w:val="C67ACB9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sz w:val="26"/>
        <w:szCs w:val="26"/>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1" w15:restartNumberingAfterBreak="0">
    <w:nsid w:val="73526057"/>
    <w:multiLevelType w:val="hybridMultilevel"/>
    <w:tmpl w:val="F5B604B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6A85D88"/>
    <w:multiLevelType w:val="hybridMultilevel"/>
    <w:tmpl w:val="E7BC954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6AA286F"/>
    <w:multiLevelType w:val="hybridMultilevel"/>
    <w:tmpl w:val="EE7A6C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15:restartNumberingAfterBreak="0">
    <w:nsid w:val="7AB95106"/>
    <w:multiLevelType w:val="hybridMultilevel"/>
    <w:tmpl w:val="BB6A8676"/>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7CE82A46"/>
    <w:multiLevelType w:val="hybridMultilevel"/>
    <w:tmpl w:val="DA2A3E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77179280">
    <w:abstractNumId w:val="40"/>
  </w:num>
  <w:num w:numId="2" w16cid:durableId="2011827998">
    <w:abstractNumId w:val="18"/>
  </w:num>
  <w:num w:numId="3" w16cid:durableId="1854681226">
    <w:abstractNumId w:val="16"/>
  </w:num>
  <w:num w:numId="4" w16cid:durableId="670838836">
    <w:abstractNumId w:val="6"/>
  </w:num>
  <w:num w:numId="5" w16cid:durableId="525825036">
    <w:abstractNumId w:val="26"/>
  </w:num>
  <w:num w:numId="6" w16cid:durableId="139924316">
    <w:abstractNumId w:val="32"/>
  </w:num>
  <w:num w:numId="7" w16cid:durableId="1427187074">
    <w:abstractNumId w:val="11"/>
  </w:num>
  <w:num w:numId="8" w16cid:durableId="125240728">
    <w:abstractNumId w:val="21"/>
  </w:num>
  <w:num w:numId="9" w16cid:durableId="1822692343">
    <w:abstractNumId w:val="8"/>
  </w:num>
  <w:num w:numId="10" w16cid:durableId="1311666632">
    <w:abstractNumId w:val="22"/>
  </w:num>
  <w:num w:numId="11" w16cid:durableId="1372026003">
    <w:abstractNumId w:val="0"/>
  </w:num>
  <w:num w:numId="12" w16cid:durableId="256600107">
    <w:abstractNumId w:val="4"/>
  </w:num>
  <w:num w:numId="13" w16cid:durableId="950625001">
    <w:abstractNumId w:val="25"/>
  </w:num>
  <w:num w:numId="14" w16cid:durableId="290088445">
    <w:abstractNumId w:val="19"/>
  </w:num>
  <w:num w:numId="15" w16cid:durableId="209463986">
    <w:abstractNumId w:val="14"/>
  </w:num>
  <w:num w:numId="16" w16cid:durableId="1013915286">
    <w:abstractNumId w:val="15"/>
  </w:num>
  <w:num w:numId="17" w16cid:durableId="1774855946">
    <w:abstractNumId w:val="28"/>
  </w:num>
  <w:num w:numId="18" w16cid:durableId="167646411">
    <w:abstractNumId w:val="38"/>
  </w:num>
  <w:num w:numId="19" w16cid:durableId="539515243">
    <w:abstractNumId w:val="17"/>
  </w:num>
  <w:num w:numId="20" w16cid:durableId="611061643">
    <w:abstractNumId w:val="2"/>
  </w:num>
  <w:num w:numId="21" w16cid:durableId="1514875862">
    <w:abstractNumId w:val="27"/>
  </w:num>
  <w:num w:numId="22" w16cid:durableId="863129258">
    <w:abstractNumId w:val="24"/>
  </w:num>
  <w:num w:numId="23" w16cid:durableId="375392447">
    <w:abstractNumId w:val="3"/>
  </w:num>
  <w:num w:numId="24" w16cid:durableId="1280643771">
    <w:abstractNumId w:val="31"/>
  </w:num>
  <w:num w:numId="25" w16cid:durableId="1717974353">
    <w:abstractNumId w:val="7"/>
  </w:num>
  <w:num w:numId="26" w16cid:durableId="269361750">
    <w:abstractNumId w:val="37"/>
  </w:num>
  <w:num w:numId="27" w16cid:durableId="1404060248">
    <w:abstractNumId w:val="43"/>
  </w:num>
  <w:num w:numId="28" w16cid:durableId="1344631944">
    <w:abstractNumId w:val="20"/>
  </w:num>
  <w:num w:numId="29" w16cid:durableId="1062753364">
    <w:abstractNumId w:val="34"/>
  </w:num>
  <w:num w:numId="30" w16cid:durableId="58791576">
    <w:abstractNumId w:val="1"/>
  </w:num>
  <w:num w:numId="31" w16cid:durableId="351346041">
    <w:abstractNumId w:val="33"/>
  </w:num>
  <w:num w:numId="32" w16cid:durableId="585190354">
    <w:abstractNumId w:val="45"/>
  </w:num>
  <w:num w:numId="33" w16cid:durableId="1132483616">
    <w:abstractNumId w:val="9"/>
  </w:num>
  <w:num w:numId="34" w16cid:durableId="1427270104">
    <w:abstractNumId w:val="10"/>
  </w:num>
  <w:num w:numId="35" w16cid:durableId="1213154812">
    <w:abstractNumId w:val="12"/>
  </w:num>
  <w:num w:numId="36" w16cid:durableId="727533634">
    <w:abstractNumId w:val="30"/>
  </w:num>
  <w:num w:numId="37" w16cid:durableId="885601541">
    <w:abstractNumId w:val="35"/>
  </w:num>
  <w:num w:numId="38" w16cid:durableId="1885560626">
    <w:abstractNumId w:val="23"/>
  </w:num>
  <w:num w:numId="39" w16cid:durableId="2053647365">
    <w:abstractNumId w:val="40"/>
  </w:num>
  <w:num w:numId="40" w16cid:durableId="1738281035">
    <w:abstractNumId w:val="36"/>
  </w:num>
  <w:num w:numId="41" w16cid:durableId="532766937">
    <w:abstractNumId w:val="13"/>
  </w:num>
  <w:num w:numId="42" w16cid:durableId="1661272179">
    <w:abstractNumId w:val="42"/>
  </w:num>
  <w:num w:numId="43" w16cid:durableId="52705418">
    <w:abstractNumId w:val="29"/>
  </w:num>
  <w:num w:numId="44" w16cid:durableId="828207606">
    <w:abstractNumId w:val="40"/>
  </w:num>
  <w:num w:numId="45" w16cid:durableId="1191798173">
    <w:abstractNumId w:val="41"/>
  </w:num>
  <w:num w:numId="46" w16cid:durableId="539172124">
    <w:abstractNumId w:val="5"/>
  </w:num>
  <w:num w:numId="47" w16cid:durableId="1734501579">
    <w:abstractNumId w:val="44"/>
  </w:num>
  <w:num w:numId="48" w16cid:durableId="1852141221">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us Krantz">
    <w15:presenceInfo w15:providerId="AD" w15:userId="S::Justus.Krantz@deltares.nl::a794a3de-ab85-4588-a35a-143ebfff93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D58"/>
    <w:rsid w:val="0001018F"/>
    <w:rsid w:val="00012AC3"/>
    <w:rsid w:val="00032356"/>
    <w:rsid w:val="00035ED7"/>
    <w:rsid w:val="00035F95"/>
    <w:rsid w:val="00036C08"/>
    <w:rsid w:val="00064DCE"/>
    <w:rsid w:val="000767F3"/>
    <w:rsid w:val="000839B3"/>
    <w:rsid w:val="0008456A"/>
    <w:rsid w:val="0008799B"/>
    <w:rsid w:val="00087A03"/>
    <w:rsid w:val="00090494"/>
    <w:rsid w:val="0009312B"/>
    <w:rsid w:val="0009373C"/>
    <w:rsid w:val="000B54F2"/>
    <w:rsid w:val="000B5C85"/>
    <w:rsid w:val="000D2E05"/>
    <w:rsid w:val="000D78AD"/>
    <w:rsid w:val="000D7FDE"/>
    <w:rsid w:val="000E0775"/>
    <w:rsid w:val="000E1358"/>
    <w:rsid w:val="000E5583"/>
    <w:rsid w:val="000F3482"/>
    <w:rsid w:val="000F4383"/>
    <w:rsid w:val="001029F7"/>
    <w:rsid w:val="00102B29"/>
    <w:rsid w:val="001045BD"/>
    <w:rsid w:val="0011006A"/>
    <w:rsid w:val="00110A1E"/>
    <w:rsid w:val="00115A9D"/>
    <w:rsid w:val="001177D0"/>
    <w:rsid w:val="00125121"/>
    <w:rsid w:val="00152E26"/>
    <w:rsid w:val="00164214"/>
    <w:rsid w:val="00194CA6"/>
    <w:rsid w:val="001A3923"/>
    <w:rsid w:val="001A4276"/>
    <w:rsid w:val="001A6960"/>
    <w:rsid w:val="001E39D2"/>
    <w:rsid w:val="001E7E38"/>
    <w:rsid w:val="001F13A4"/>
    <w:rsid w:val="001F2722"/>
    <w:rsid w:val="002025C2"/>
    <w:rsid w:val="00215F41"/>
    <w:rsid w:val="00224E03"/>
    <w:rsid w:val="00233360"/>
    <w:rsid w:val="00234094"/>
    <w:rsid w:val="00234CEE"/>
    <w:rsid w:val="00244CCA"/>
    <w:rsid w:val="0025477F"/>
    <w:rsid w:val="002603A4"/>
    <w:rsid w:val="002619D8"/>
    <w:rsid w:val="00262389"/>
    <w:rsid w:val="00263A3C"/>
    <w:rsid w:val="00272D84"/>
    <w:rsid w:val="002766A4"/>
    <w:rsid w:val="00277AF7"/>
    <w:rsid w:val="0028068A"/>
    <w:rsid w:val="002833BC"/>
    <w:rsid w:val="002A24D3"/>
    <w:rsid w:val="002B4581"/>
    <w:rsid w:val="002C42FD"/>
    <w:rsid w:val="002C4A43"/>
    <w:rsid w:val="002C4E57"/>
    <w:rsid w:val="002E00FB"/>
    <w:rsid w:val="002E5174"/>
    <w:rsid w:val="002F219A"/>
    <w:rsid w:val="00302967"/>
    <w:rsid w:val="00303025"/>
    <w:rsid w:val="003042D3"/>
    <w:rsid w:val="0031265E"/>
    <w:rsid w:val="003146E9"/>
    <w:rsid w:val="00315B32"/>
    <w:rsid w:val="00320A69"/>
    <w:rsid w:val="00337062"/>
    <w:rsid w:val="00337517"/>
    <w:rsid w:val="00342D4C"/>
    <w:rsid w:val="00352309"/>
    <w:rsid w:val="0035577F"/>
    <w:rsid w:val="00393B5F"/>
    <w:rsid w:val="00397F72"/>
    <w:rsid w:val="003B6A32"/>
    <w:rsid w:val="003B6B43"/>
    <w:rsid w:val="003C452B"/>
    <w:rsid w:val="003D48ED"/>
    <w:rsid w:val="003E7DBB"/>
    <w:rsid w:val="003F1802"/>
    <w:rsid w:val="003F4F98"/>
    <w:rsid w:val="00404043"/>
    <w:rsid w:val="00417D09"/>
    <w:rsid w:val="00426A26"/>
    <w:rsid w:val="0042733A"/>
    <w:rsid w:val="00442414"/>
    <w:rsid w:val="00450864"/>
    <w:rsid w:val="004552EF"/>
    <w:rsid w:val="00462742"/>
    <w:rsid w:val="00481D7F"/>
    <w:rsid w:val="00484B96"/>
    <w:rsid w:val="004B04CC"/>
    <w:rsid w:val="004B501A"/>
    <w:rsid w:val="004C5DE1"/>
    <w:rsid w:val="004D1D98"/>
    <w:rsid w:val="004E682D"/>
    <w:rsid w:val="00500D00"/>
    <w:rsid w:val="00500DDE"/>
    <w:rsid w:val="00511A6A"/>
    <w:rsid w:val="00512990"/>
    <w:rsid w:val="005405B5"/>
    <w:rsid w:val="005456F1"/>
    <w:rsid w:val="00545E43"/>
    <w:rsid w:val="00554A4F"/>
    <w:rsid w:val="00566392"/>
    <w:rsid w:val="005726B9"/>
    <w:rsid w:val="005907BF"/>
    <w:rsid w:val="00591BCB"/>
    <w:rsid w:val="00594444"/>
    <w:rsid w:val="005A0B17"/>
    <w:rsid w:val="005A5992"/>
    <w:rsid w:val="005A7308"/>
    <w:rsid w:val="005D38FC"/>
    <w:rsid w:val="005E2FCC"/>
    <w:rsid w:val="005E3813"/>
    <w:rsid w:val="005F28BC"/>
    <w:rsid w:val="00605196"/>
    <w:rsid w:val="00612948"/>
    <w:rsid w:val="00634B21"/>
    <w:rsid w:val="00634F71"/>
    <w:rsid w:val="00635155"/>
    <w:rsid w:val="0063660E"/>
    <w:rsid w:val="00636D30"/>
    <w:rsid w:val="006377EF"/>
    <w:rsid w:val="006404E8"/>
    <w:rsid w:val="00643BF3"/>
    <w:rsid w:val="00663247"/>
    <w:rsid w:val="006632D2"/>
    <w:rsid w:val="00683E61"/>
    <w:rsid w:val="0068591D"/>
    <w:rsid w:val="00691D0B"/>
    <w:rsid w:val="00693538"/>
    <w:rsid w:val="006B5449"/>
    <w:rsid w:val="006F3E2F"/>
    <w:rsid w:val="006F79B3"/>
    <w:rsid w:val="00700EC2"/>
    <w:rsid w:val="00712873"/>
    <w:rsid w:val="00717BC3"/>
    <w:rsid w:val="00720425"/>
    <w:rsid w:val="00725966"/>
    <w:rsid w:val="00727F1A"/>
    <w:rsid w:val="00741060"/>
    <w:rsid w:val="00745BC5"/>
    <w:rsid w:val="00747FB3"/>
    <w:rsid w:val="0075451D"/>
    <w:rsid w:val="00763232"/>
    <w:rsid w:val="00764AC6"/>
    <w:rsid w:val="00770E05"/>
    <w:rsid w:val="00771493"/>
    <w:rsid w:val="007718EB"/>
    <w:rsid w:val="007809F8"/>
    <w:rsid w:val="00781CB9"/>
    <w:rsid w:val="00786BE9"/>
    <w:rsid w:val="00792877"/>
    <w:rsid w:val="007A5D03"/>
    <w:rsid w:val="007A7ED9"/>
    <w:rsid w:val="007B78B2"/>
    <w:rsid w:val="007D2E32"/>
    <w:rsid w:val="007D4093"/>
    <w:rsid w:val="007D6498"/>
    <w:rsid w:val="007E6226"/>
    <w:rsid w:val="007E7FA0"/>
    <w:rsid w:val="007F5423"/>
    <w:rsid w:val="007F6C07"/>
    <w:rsid w:val="0080105E"/>
    <w:rsid w:val="00807DDC"/>
    <w:rsid w:val="00815A37"/>
    <w:rsid w:val="00820AD1"/>
    <w:rsid w:val="0082155B"/>
    <w:rsid w:val="00823B6C"/>
    <w:rsid w:val="0082426A"/>
    <w:rsid w:val="00825FC0"/>
    <w:rsid w:val="00826926"/>
    <w:rsid w:val="00831EB4"/>
    <w:rsid w:val="008351B3"/>
    <w:rsid w:val="00836957"/>
    <w:rsid w:val="00840A02"/>
    <w:rsid w:val="008540FC"/>
    <w:rsid w:val="00860F81"/>
    <w:rsid w:val="00862B55"/>
    <w:rsid w:val="0086486C"/>
    <w:rsid w:val="00874E49"/>
    <w:rsid w:val="00885B8C"/>
    <w:rsid w:val="00886801"/>
    <w:rsid w:val="008A6FBC"/>
    <w:rsid w:val="008B53D0"/>
    <w:rsid w:val="008B5AE6"/>
    <w:rsid w:val="008C248D"/>
    <w:rsid w:val="008C269B"/>
    <w:rsid w:val="008D1206"/>
    <w:rsid w:val="008F2483"/>
    <w:rsid w:val="008F5D58"/>
    <w:rsid w:val="00902978"/>
    <w:rsid w:val="00905C2C"/>
    <w:rsid w:val="009249EA"/>
    <w:rsid w:val="00926CD5"/>
    <w:rsid w:val="00930AE0"/>
    <w:rsid w:val="00936F53"/>
    <w:rsid w:val="00943B98"/>
    <w:rsid w:val="00952C43"/>
    <w:rsid w:val="0095601F"/>
    <w:rsid w:val="0096690B"/>
    <w:rsid w:val="0097015B"/>
    <w:rsid w:val="0097148D"/>
    <w:rsid w:val="00971EF3"/>
    <w:rsid w:val="00976CC8"/>
    <w:rsid w:val="00983E22"/>
    <w:rsid w:val="00987D9A"/>
    <w:rsid w:val="009A019C"/>
    <w:rsid w:val="009B6585"/>
    <w:rsid w:val="009C78F9"/>
    <w:rsid w:val="009D4A4A"/>
    <w:rsid w:val="009E3820"/>
    <w:rsid w:val="009F110F"/>
    <w:rsid w:val="009F272A"/>
    <w:rsid w:val="009F71AE"/>
    <w:rsid w:val="00A01014"/>
    <w:rsid w:val="00A04E69"/>
    <w:rsid w:val="00A221D2"/>
    <w:rsid w:val="00A340F6"/>
    <w:rsid w:val="00A45610"/>
    <w:rsid w:val="00A46154"/>
    <w:rsid w:val="00A57B9D"/>
    <w:rsid w:val="00A71B21"/>
    <w:rsid w:val="00A82D6B"/>
    <w:rsid w:val="00A91C12"/>
    <w:rsid w:val="00AD4897"/>
    <w:rsid w:val="00AD4A35"/>
    <w:rsid w:val="00AD5D1F"/>
    <w:rsid w:val="00AD6DB6"/>
    <w:rsid w:val="00AD7621"/>
    <w:rsid w:val="00AE4E18"/>
    <w:rsid w:val="00B16342"/>
    <w:rsid w:val="00B214E2"/>
    <w:rsid w:val="00B24DC9"/>
    <w:rsid w:val="00B34F06"/>
    <w:rsid w:val="00B4160F"/>
    <w:rsid w:val="00B57CC0"/>
    <w:rsid w:val="00B6077E"/>
    <w:rsid w:val="00B61601"/>
    <w:rsid w:val="00B704E5"/>
    <w:rsid w:val="00B769D0"/>
    <w:rsid w:val="00B82325"/>
    <w:rsid w:val="00B900BF"/>
    <w:rsid w:val="00B9063E"/>
    <w:rsid w:val="00BC2A13"/>
    <w:rsid w:val="00BC4567"/>
    <w:rsid w:val="00BD1EF8"/>
    <w:rsid w:val="00BD4FA5"/>
    <w:rsid w:val="00BE07EE"/>
    <w:rsid w:val="00BE4E94"/>
    <w:rsid w:val="00C032D7"/>
    <w:rsid w:val="00C03618"/>
    <w:rsid w:val="00C107FF"/>
    <w:rsid w:val="00C3378E"/>
    <w:rsid w:val="00C33F05"/>
    <w:rsid w:val="00C3700F"/>
    <w:rsid w:val="00C4425A"/>
    <w:rsid w:val="00C55F16"/>
    <w:rsid w:val="00C634BE"/>
    <w:rsid w:val="00C704BC"/>
    <w:rsid w:val="00C759BE"/>
    <w:rsid w:val="00C76DCA"/>
    <w:rsid w:val="00C87414"/>
    <w:rsid w:val="00C926C6"/>
    <w:rsid w:val="00CA1211"/>
    <w:rsid w:val="00CA3C5A"/>
    <w:rsid w:val="00CA4B64"/>
    <w:rsid w:val="00CB35F7"/>
    <w:rsid w:val="00CB5692"/>
    <w:rsid w:val="00CB5920"/>
    <w:rsid w:val="00CC1074"/>
    <w:rsid w:val="00CC4270"/>
    <w:rsid w:val="00CD0010"/>
    <w:rsid w:val="00CD1BC9"/>
    <w:rsid w:val="00CE69B4"/>
    <w:rsid w:val="00CF5ECF"/>
    <w:rsid w:val="00D01EBB"/>
    <w:rsid w:val="00D021DA"/>
    <w:rsid w:val="00D14C77"/>
    <w:rsid w:val="00D264F3"/>
    <w:rsid w:val="00D305CF"/>
    <w:rsid w:val="00D41B26"/>
    <w:rsid w:val="00D604B1"/>
    <w:rsid w:val="00D645A6"/>
    <w:rsid w:val="00D76D90"/>
    <w:rsid w:val="00D91C8F"/>
    <w:rsid w:val="00DA5359"/>
    <w:rsid w:val="00DA5F88"/>
    <w:rsid w:val="00DC7443"/>
    <w:rsid w:val="00DD4332"/>
    <w:rsid w:val="00DE384A"/>
    <w:rsid w:val="00DE4A2E"/>
    <w:rsid w:val="00DE4FC2"/>
    <w:rsid w:val="00DF1A23"/>
    <w:rsid w:val="00DF2BDC"/>
    <w:rsid w:val="00DF3224"/>
    <w:rsid w:val="00DF6290"/>
    <w:rsid w:val="00E12AF8"/>
    <w:rsid w:val="00E332B5"/>
    <w:rsid w:val="00E34FDD"/>
    <w:rsid w:val="00E40BF0"/>
    <w:rsid w:val="00E46EBE"/>
    <w:rsid w:val="00E51158"/>
    <w:rsid w:val="00E6661D"/>
    <w:rsid w:val="00E70A9C"/>
    <w:rsid w:val="00E730CD"/>
    <w:rsid w:val="00E74289"/>
    <w:rsid w:val="00E74B3E"/>
    <w:rsid w:val="00E93CAC"/>
    <w:rsid w:val="00EB5553"/>
    <w:rsid w:val="00ED2F4B"/>
    <w:rsid w:val="00ED42A7"/>
    <w:rsid w:val="00ED7C78"/>
    <w:rsid w:val="00EE514D"/>
    <w:rsid w:val="00EE75AB"/>
    <w:rsid w:val="00EF7C54"/>
    <w:rsid w:val="00F16DE7"/>
    <w:rsid w:val="00F36AF0"/>
    <w:rsid w:val="00F4662D"/>
    <w:rsid w:val="00F54C8C"/>
    <w:rsid w:val="00F70A8A"/>
    <w:rsid w:val="00F727D7"/>
    <w:rsid w:val="00F769A7"/>
    <w:rsid w:val="00F76ABB"/>
    <w:rsid w:val="00F85491"/>
    <w:rsid w:val="00F86157"/>
    <w:rsid w:val="00F9244C"/>
    <w:rsid w:val="00FA15F0"/>
    <w:rsid w:val="00FA1F9D"/>
    <w:rsid w:val="00FB2749"/>
    <w:rsid w:val="00FC159F"/>
    <w:rsid w:val="00FC5ECD"/>
    <w:rsid w:val="00FD25C1"/>
    <w:rsid w:val="00FE2FA9"/>
    <w:rsid w:val="00FE4E89"/>
    <w:rsid w:val="00FF0A79"/>
    <w:rsid w:val="00FF1CD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9B73"/>
  <w15:chartTrackingRefBased/>
  <w15:docId w15:val="{B66FF02E-BC68-4FCE-A9C3-EBCA768C9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7BF"/>
    <w:pPr>
      <w:jc w:val="both"/>
    </w:pPr>
    <w:rPr>
      <w:rFonts w:ascii="CMU Concrete" w:hAnsi="CMU Concrete" w:cs="CMU Concrete"/>
      <w:lang w:val="en-US"/>
    </w:rPr>
  </w:style>
  <w:style w:type="paragraph" w:styleId="Heading1">
    <w:name w:val="heading 1"/>
    <w:basedOn w:val="Normal"/>
    <w:next w:val="Normal"/>
    <w:link w:val="Heading1Char"/>
    <w:uiPriority w:val="9"/>
    <w:qFormat/>
    <w:rsid w:val="00612948"/>
    <w:pPr>
      <w:keepNext/>
      <w:keepLines/>
      <w:numPr>
        <w:numId w:val="1"/>
      </w:numPr>
      <w:spacing w:before="240" w:after="0" w:line="360" w:lineRule="auto"/>
      <w:outlineLvl w:val="0"/>
    </w:pPr>
    <w:rPr>
      <w:rFonts w:ascii="CMU Serif" w:eastAsiaTheme="majorEastAsia" w:hAnsi="CMU Serif" w:cs="CMU Serif"/>
      <w:sz w:val="36"/>
      <w:szCs w:val="36"/>
    </w:rPr>
  </w:style>
  <w:style w:type="paragraph" w:styleId="Heading2">
    <w:name w:val="heading 2"/>
    <w:basedOn w:val="Normal"/>
    <w:next w:val="Normal"/>
    <w:link w:val="Heading2Char"/>
    <w:uiPriority w:val="9"/>
    <w:unhideWhenUsed/>
    <w:qFormat/>
    <w:rsid w:val="002603A4"/>
    <w:pPr>
      <w:keepNext/>
      <w:keepLines/>
      <w:numPr>
        <w:ilvl w:val="1"/>
        <w:numId w:val="1"/>
      </w:numPr>
      <w:spacing w:before="40" w:after="0" w:line="360" w:lineRule="auto"/>
      <w:outlineLvl w:val="1"/>
    </w:pPr>
    <w:rPr>
      <w:rFonts w:ascii="CMU Serif" w:eastAsiaTheme="majorEastAsia" w:hAnsi="CMU Serif" w:cs="CMU Serif"/>
      <w:sz w:val="28"/>
      <w:szCs w:val="28"/>
    </w:rPr>
  </w:style>
  <w:style w:type="paragraph" w:styleId="Heading3">
    <w:name w:val="heading 3"/>
    <w:basedOn w:val="Normal"/>
    <w:next w:val="Normal"/>
    <w:link w:val="Heading3Char"/>
    <w:uiPriority w:val="9"/>
    <w:unhideWhenUsed/>
    <w:qFormat/>
    <w:rsid w:val="002603A4"/>
    <w:pPr>
      <w:keepNext/>
      <w:keepLines/>
      <w:numPr>
        <w:ilvl w:val="2"/>
        <w:numId w:val="1"/>
      </w:numPr>
      <w:spacing w:before="40" w:after="0"/>
      <w:outlineLvl w:val="2"/>
    </w:pPr>
    <w:rPr>
      <w:rFonts w:ascii="CMU Serif" w:eastAsiaTheme="majorEastAsia" w:hAnsi="CMU Serif" w:cs="CMU Seri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948"/>
    <w:rPr>
      <w:rFonts w:ascii="CMU Serif" w:eastAsiaTheme="majorEastAsia" w:hAnsi="CMU Serif" w:cs="CMU Serif"/>
      <w:sz w:val="36"/>
      <w:szCs w:val="36"/>
      <w:lang w:val="en-US"/>
    </w:rPr>
  </w:style>
  <w:style w:type="character" w:customStyle="1" w:styleId="Heading2Char">
    <w:name w:val="Heading 2 Char"/>
    <w:basedOn w:val="DefaultParagraphFont"/>
    <w:link w:val="Heading2"/>
    <w:uiPriority w:val="9"/>
    <w:rsid w:val="002603A4"/>
    <w:rPr>
      <w:rFonts w:ascii="CMU Serif" w:eastAsiaTheme="majorEastAsia" w:hAnsi="CMU Serif" w:cs="CMU Serif"/>
      <w:sz w:val="28"/>
      <w:szCs w:val="28"/>
      <w:lang w:val="en-US"/>
    </w:rPr>
  </w:style>
  <w:style w:type="paragraph" w:styleId="Bibliography">
    <w:name w:val="Bibliography"/>
    <w:basedOn w:val="Normal"/>
    <w:next w:val="Normal"/>
    <w:uiPriority w:val="37"/>
    <w:unhideWhenUsed/>
    <w:rsid w:val="00926CD5"/>
    <w:rPr>
      <w:rFonts w:asciiTheme="minorHAnsi" w:hAnsiTheme="minorHAnsi" w:cstheme="minorBidi"/>
    </w:rPr>
  </w:style>
  <w:style w:type="paragraph" w:styleId="ListParagraph">
    <w:name w:val="List Paragraph"/>
    <w:basedOn w:val="Normal"/>
    <w:uiPriority w:val="34"/>
    <w:qFormat/>
    <w:rsid w:val="00B82325"/>
    <w:pPr>
      <w:ind w:left="720"/>
      <w:contextualSpacing/>
    </w:pPr>
  </w:style>
  <w:style w:type="character" w:customStyle="1" w:styleId="Heading3Char">
    <w:name w:val="Heading 3 Char"/>
    <w:basedOn w:val="DefaultParagraphFont"/>
    <w:link w:val="Heading3"/>
    <w:uiPriority w:val="9"/>
    <w:rsid w:val="002603A4"/>
    <w:rPr>
      <w:rFonts w:ascii="CMU Serif" w:eastAsiaTheme="majorEastAsia" w:hAnsi="CMU Serif" w:cs="CMU Serif"/>
      <w:sz w:val="26"/>
      <w:szCs w:val="26"/>
      <w:lang w:val="en-US"/>
    </w:rPr>
  </w:style>
  <w:style w:type="paragraph" w:styleId="Caption">
    <w:name w:val="caption"/>
    <w:basedOn w:val="Normal"/>
    <w:next w:val="Normal"/>
    <w:uiPriority w:val="35"/>
    <w:unhideWhenUsed/>
    <w:qFormat/>
    <w:rsid w:val="00E46EB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37062"/>
    <w:rPr>
      <w:sz w:val="16"/>
      <w:szCs w:val="16"/>
    </w:rPr>
  </w:style>
  <w:style w:type="paragraph" w:styleId="CommentText">
    <w:name w:val="annotation text"/>
    <w:basedOn w:val="Normal"/>
    <w:link w:val="CommentTextChar"/>
    <w:uiPriority w:val="99"/>
    <w:unhideWhenUsed/>
    <w:rsid w:val="00337062"/>
    <w:pPr>
      <w:spacing w:line="240" w:lineRule="auto"/>
    </w:pPr>
    <w:rPr>
      <w:sz w:val="20"/>
      <w:szCs w:val="20"/>
    </w:rPr>
  </w:style>
  <w:style w:type="character" w:customStyle="1" w:styleId="CommentTextChar">
    <w:name w:val="Comment Text Char"/>
    <w:basedOn w:val="DefaultParagraphFont"/>
    <w:link w:val="CommentText"/>
    <w:uiPriority w:val="99"/>
    <w:rsid w:val="00337062"/>
    <w:rPr>
      <w:rFonts w:ascii="CMU Concrete" w:hAnsi="CMU Concrete" w:cs="CMU Concrete"/>
      <w:sz w:val="20"/>
      <w:szCs w:val="20"/>
      <w:lang w:val="en-US"/>
    </w:rPr>
  </w:style>
  <w:style w:type="paragraph" w:styleId="CommentSubject">
    <w:name w:val="annotation subject"/>
    <w:basedOn w:val="CommentText"/>
    <w:next w:val="CommentText"/>
    <w:link w:val="CommentSubjectChar"/>
    <w:uiPriority w:val="99"/>
    <w:semiHidden/>
    <w:unhideWhenUsed/>
    <w:rsid w:val="00337062"/>
    <w:rPr>
      <w:b/>
      <w:bCs/>
    </w:rPr>
  </w:style>
  <w:style w:type="character" w:customStyle="1" w:styleId="CommentSubjectChar">
    <w:name w:val="Comment Subject Char"/>
    <w:basedOn w:val="CommentTextChar"/>
    <w:link w:val="CommentSubject"/>
    <w:uiPriority w:val="99"/>
    <w:semiHidden/>
    <w:rsid w:val="00337062"/>
    <w:rPr>
      <w:rFonts w:ascii="CMU Concrete" w:hAnsi="CMU Concrete" w:cs="CMU Concrete"/>
      <w:b/>
      <w:bCs/>
      <w:sz w:val="20"/>
      <w:szCs w:val="20"/>
      <w:lang w:val="en-US"/>
    </w:rPr>
  </w:style>
  <w:style w:type="character" w:customStyle="1" w:styleId="anchor-text">
    <w:name w:val="anchor-text"/>
    <w:basedOn w:val="DefaultParagraphFont"/>
    <w:rsid w:val="00B34F06"/>
  </w:style>
  <w:style w:type="character" w:styleId="Hyperlink">
    <w:name w:val="Hyperlink"/>
    <w:basedOn w:val="DefaultParagraphFont"/>
    <w:uiPriority w:val="99"/>
    <w:unhideWhenUsed/>
    <w:rsid w:val="00B34F06"/>
    <w:rPr>
      <w:color w:val="0563C1" w:themeColor="hyperlink"/>
      <w:u w:val="single"/>
    </w:rPr>
  </w:style>
  <w:style w:type="character" w:styleId="UnresolvedMention">
    <w:name w:val="Unresolved Mention"/>
    <w:basedOn w:val="DefaultParagraphFont"/>
    <w:uiPriority w:val="99"/>
    <w:semiHidden/>
    <w:unhideWhenUsed/>
    <w:rsid w:val="00B34F06"/>
    <w:rPr>
      <w:color w:val="605E5C"/>
      <w:shd w:val="clear" w:color="auto" w:fill="E1DFDD"/>
    </w:rPr>
  </w:style>
  <w:style w:type="character" w:styleId="PlaceholderText">
    <w:name w:val="Placeholder Text"/>
    <w:basedOn w:val="DefaultParagraphFont"/>
    <w:uiPriority w:val="99"/>
    <w:semiHidden/>
    <w:rsid w:val="005726B9"/>
    <w:rPr>
      <w:color w:val="808080"/>
    </w:rPr>
  </w:style>
  <w:style w:type="character" w:styleId="FollowedHyperlink">
    <w:name w:val="FollowedHyperlink"/>
    <w:basedOn w:val="DefaultParagraphFont"/>
    <w:uiPriority w:val="99"/>
    <w:semiHidden/>
    <w:unhideWhenUsed/>
    <w:rsid w:val="0011006A"/>
    <w:rPr>
      <w:color w:val="954F72" w:themeColor="followedHyperlink"/>
      <w:u w:val="single"/>
    </w:rPr>
  </w:style>
  <w:style w:type="table" w:styleId="TableGrid">
    <w:name w:val="Table Grid"/>
    <w:basedOn w:val="TableNormal"/>
    <w:uiPriority w:val="39"/>
    <w:rsid w:val="00F85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854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AE4E18"/>
    <w:pPr>
      <w:spacing w:after="0" w:line="240" w:lineRule="auto"/>
      <w:jc w:val="both"/>
    </w:pPr>
    <w:rPr>
      <w:rFonts w:ascii="CMU Concrete" w:hAnsi="CMU Concrete" w:cs="CMU Concret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5227">
      <w:bodyDiv w:val="1"/>
      <w:marLeft w:val="0"/>
      <w:marRight w:val="0"/>
      <w:marTop w:val="0"/>
      <w:marBottom w:val="0"/>
      <w:divBdr>
        <w:top w:val="none" w:sz="0" w:space="0" w:color="auto"/>
        <w:left w:val="none" w:sz="0" w:space="0" w:color="auto"/>
        <w:bottom w:val="none" w:sz="0" w:space="0" w:color="auto"/>
        <w:right w:val="none" w:sz="0" w:space="0" w:color="auto"/>
      </w:divBdr>
    </w:div>
    <w:div w:id="118112712">
      <w:bodyDiv w:val="1"/>
      <w:marLeft w:val="0"/>
      <w:marRight w:val="0"/>
      <w:marTop w:val="0"/>
      <w:marBottom w:val="0"/>
      <w:divBdr>
        <w:top w:val="none" w:sz="0" w:space="0" w:color="auto"/>
        <w:left w:val="none" w:sz="0" w:space="0" w:color="auto"/>
        <w:bottom w:val="none" w:sz="0" w:space="0" w:color="auto"/>
        <w:right w:val="none" w:sz="0" w:space="0" w:color="auto"/>
      </w:divBdr>
      <w:divsChild>
        <w:div w:id="287249910">
          <w:marLeft w:val="0"/>
          <w:marRight w:val="0"/>
          <w:marTop w:val="0"/>
          <w:marBottom w:val="0"/>
          <w:divBdr>
            <w:top w:val="none" w:sz="0" w:space="0" w:color="auto"/>
            <w:left w:val="none" w:sz="0" w:space="0" w:color="auto"/>
            <w:bottom w:val="none" w:sz="0" w:space="0" w:color="auto"/>
            <w:right w:val="none" w:sz="0" w:space="0" w:color="auto"/>
          </w:divBdr>
          <w:divsChild>
            <w:div w:id="14992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2390">
      <w:bodyDiv w:val="1"/>
      <w:marLeft w:val="0"/>
      <w:marRight w:val="0"/>
      <w:marTop w:val="0"/>
      <w:marBottom w:val="0"/>
      <w:divBdr>
        <w:top w:val="none" w:sz="0" w:space="0" w:color="auto"/>
        <w:left w:val="none" w:sz="0" w:space="0" w:color="auto"/>
        <w:bottom w:val="none" w:sz="0" w:space="0" w:color="auto"/>
        <w:right w:val="none" w:sz="0" w:space="0" w:color="auto"/>
      </w:divBdr>
    </w:div>
    <w:div w:id="613946501">
      <w:bodyDiv w:val="1"/>
      <w:marLeft w:val="0"/>
      <w:marRight w:val="0"/>
      <w:marTop w:val="0"/>
      <w:marBottom w:val="0"/>
      <w:divBdr>
        <w:top w:val="none" w:sz="0" w:space="0" w:color="auto"/>
        <w:left w:val="none" w:sz="0" w:space="0" w:color="auto"/>
        <w:bottom w:val="none" w:sz="0" w:space="0" w:color="auto"/>
        <w:right w:val="none" w:sz="0" w:space="0" w:color="auto"/>
      </w:divBdr>
    </w:div>
    <w:div w:id="1200359440">
      <w:bodyDiv w:val="1"/>
      <w:marLeft w:val="0"/>
      <w:marRight w:val="0"/>
      <w:marTop w:val="0"/>
      <w:marBottom w:val="0"/>
      <w:divBdr>
        <w:top w:val="none" w:sz="0" w:space="0" w:color="auto"/>
        <w:left w:val="none" w:sz="0" w:space="0" w:color="auto"/>
        <w:bottom w:val="none" w:sz="0" w:space="0" w:color="auto"/>
        <w:right w:val="none" w:sz="0" w:space="0" w:color="auto"/>
      </w:divBdr>
      <w:divsChild>
        <w:div w:id="1383095147">
          <w:marLeft w:val="0"/>
          <w:marRight w:val="0"/>
          <w:marTop w:val="0"/>
          <w:marBottom w:val="0"/>
          <w:divBdr>
            <w:top w:val="none" w:sz="0" w:space="0" w:color="auto"/>
            <w:left w:val="none" w:sz="0" w:space="0" w:color="auto"/>
            <w:bottom w:val="none" w:sz="0" w:space="0" w:color="auto"/>
            <w:right w:val="none" w:sz="0" w:space="0" w:color="auto"/>
          </w:divBdr>
          <w:divsChild>
            <w:div w:id="1611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71600">
      <w:bodyDiv w:val="1"/>
      <w:marLeft w:val="0"/>
      <w:marRight w:val="0"/>
      <w:marTop w:val="0"/>
      <w:marBottom w:val="0"/>
      <w:divBdr>
        <w:top w:val="none" w:sz="0" w:space="0" w:color="auto"/>
        <w:left w:val="none" w:sz="0" w:space="0" w:color="auto"/>
        <w:bottom w:val="none" w:sz="0" w:space="0" w:color="auto"/>
        <w:right w:val="none" w:sz="0" w:space="0" w:color="auto"/>
      </w:divBdr>
      <w:divsChild>
        <w:div w:id="187334141">
          <w:marLeft w:val="0"/>
          <w:marRight w:val="0"/>
          <w:marTop w:val="0"/>
          <w:marBottom w:val="0"/>
          <w:divBdr>
            <w:top w:val="none" w:sz="0" w:space="0" w:color="auto"/>
            <w:left w:val="none" w:sz="0" w:space="0" w:color="auto"/>
            <w:bottom w:val="none" w:sz="0" w:space="0" w:color="auto"/>
            <w:right w:val="none" w:sz="0" w:space="0" w:color="auto"/>
          </w:divBdr>
          <w:divsChild>
            <w:div w:id="429203605">
              <w:marLeft w:val="0"/>
              <w:marRight w:val="0"/>
              <w:marTop w:val="0"/>
              <w:marBottom w:val="0"/>
              <w:divBdr>
                <w:top w:val="none" w:sz="0" w:space="0" w:color="auto"/>
                <w:left w:val="none" w:sz="0" w:space="0" w:color="auto"/>
                <w:bottom w:val="none" w:sz="0" w:space="0" w:color="auto"/>
                <w:right w:val="none" w:sz="0" w:space="0" w:color="auto"/>
              </w:divBdr>
            </w:div>
            <w:div w:id="1215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pubs.usgs.gov/tm/2005/tm6A16/" TargetMode="External"/><Relationship Id="rId47"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justkrantz/msc-thesis"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reader.elsevier.com/reader/sd/pii/S1574101X08006029?token=7FD3E947C7D8A316F608519BBACD4CF3F76A93A173D219C5ED4AD4CB47A5996D4642ACC46A5F8AF7DB821107B8233116&amp;originRegion=eu-west-1&amp;originCreation=2023041313271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reader.elsevier.com/reader/sd/pii/S1574101X08006017?token=CA22B3771323F33509F5782EC8FABD58AC6E77A2701E3C70C8B32AFC43DBD638A9F47446619E502B76094EF8698F7708&amp;originRegion=eu-west-1&amp;originCreation=20230413134332"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1016/j.geoderma.2011.02.013"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{C94DF5DF-BB41-480E-B065-9F2CC1B8CA22}</b:Guid>
    <b:RefOrder>1</b:RefOrder>
  </b:Source>
  <b:Source>
    <b:Tag>PJS93</b:Tag>
    <b:SourceType>Book</b:SourceType>
    <b:Guid>{8CEB0BA6-12D3-4A9E-AF80-205356E5C809}</b:Guid>
    <b:Author>
      <b:Author>
        <b:NameList>
          <b:Person>
            <b:Last>Stuyfzand</b:Last>
            <b:First>P.J.</b:First>
          </b:Person>
        </b:NameList>
      </b:Author>
    </b:Author>
    <b:Title>Hydrochemistry and Hydrology of the Coastal Dune Area of the Western Netherlands</b:Title>
    <b:Year>1993</b:Year>
    <b:City>Amsterdam</b:City>
    <b:RefOrder>5</b:RefOrder>
  </b:Source>
</b:Sources>
</file>

<file path=customXml/itemProps1.xml><?xml version="1.0" encoding="utf-8"?>
<ds:datastoreItem xmlns:ds="http://schemas.openxmlformats.org/officeDocument/2006/customXml" ds:itemID="{F392B6D0-0AFF-48B5-80FE-4EE5AA70E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20327</TotalTime>
  <Pages>41</Pages>
  <Words>7910</Words>
  <Characters>43506</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Justus Krantz</dc:creator>
  <cp:keywords/>
  <dc:description/>
  <cp:lastModifiedBy>Justus Krantz</cp:lastModifiedBy>
  <cp:revision>53</cp:revision>
  <cp:lastPrinted>2023-04-11T15:51:00Z</cp:lastPrinted>
  <dcterms:created xsi:type="dcterms:W3CDTF">2023-03-15T15:22:00Z</dcterms:created>
  <dcterms:modified xsi:type="dcterms:W3CDTF">2023-05-17T14:43:00Z</dcterms:modified>
</cp:coreProperties>
</file>