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commentRangeStart w:id="2"/>
      <w:r>
        <w:t>Fresh-saline interface</w:t>
      </w:r>
      <w:commentRangeEnd w:id="2"/>
      <w:r w:rsidR="00842459">
        <w:rPr>
          <w:rStyle w:val="CommentReference"/>
          <w:rFonts w:ascii="CMU Concrete" w:eastAsiaTheme="minorHAnsi" w:hAnsi="CMU Concrete" w:cs="CMU Concrete"/>
        </w:rPr>
        <w:commentReference w:id="2"/>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757FD8C8"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A51FF0">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3"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4" w:name="_Hlk131680476"/>
      <w:bookmarkEnd w:id="3"/>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4"/>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07238EC7"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rsidR="00CB0F11">
        <w:t>through metamodeling is an iterative process where an underlying conceptual approach is applied in this study</w:t>
      </w:r>
      <w:r>
        <w:t xml:space="preserve">. </w:t>
      </w:r>
      <w:r w:rsidR="0009312B">
        <w:t xml:space="preserve">For this reason, it is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commentRangeStart w:id="5"/>
      <w:r>
        <w:t>Scientific</w:t>
      </w:r>
      <w:r w:rsidR="00BC4567">
        <w:t xml:space="preserve"> models are a simplified representation of physical processes that are widely used to gain insight and understanding of these physical processes. </w:t>
      </w:r>
      <w:r w:rsidR="00F76ABB">
        <w:t>At its most basic level, modeling is a process for thinking systematically about a problem (</w:t>
      </w:r>
      <w:proofErr w:type="spellStart"/>
      <w:r w:rsidR="00F76ABB">
        <w:t>Jakeman</w:t>
      </w:r>
      <w:proofErr w:type="spellEnd"/>
      <w:r w:rsidR="00F76ABB">
        <w:t xml:space="preserve">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commentRangeEnd w:id="5"/>
      <w:r w:rsidR="004940DD">
        <w:rPr>
          <w:rStyle w:val="CommentReference"/>
        </w:rPr>
        <w:commentReference w:id="5"/>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rsidRPr="006F3E2F">
        <w:t xml:space="preserve">Specifically for the aim of this research, </w:t>
      </w:r>
      <w:r w:rsidRPr="006F3E2F">
        <w:rPr>
          <w:i/>
          <w:iCs/>
        </w:rPr>
        <w:t>efficient modeling practices</w:t>
      </w:r>
      <w:r w:rsidRPr="006F3E2F">
        <w:t xml:space="preserve"> and model </w:t>
      </w:r>
      <w:r w:rsidRPr="006F3E2F">
        <w:rPr>
          <w:i/>
          <w:iCs/>
        </w:rPr>
        <w:t>validation</w:t>
      </w:r>
      <w:r w:rsidRPr="00F86157">
        <w:rPr>
          <w:i/>
          <w:iCs/>
        </w:rPr>
        <w:t xml:space="preserve">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7DD5D9F6" w:rsidR="00D021DA" w:rsidRDefault="00D021DA" w:rsidP="00D021DA">
      <w:pPr>
        <w:pStyle w:val="Caption"/>
        <w:jc w:val="center"/>
      </w:pPr>
      <w:r>
        <w:t xml:space="preserve">Figure </w:t>
      </w:r>
      <w:r>
        <w:fldChar w:fldCharType="begin"/>
      </w:r>
      <w:r>
        <w:instrText xml:space="preserve"> SEQ Figure \* ARABIC </w:instrText>
      </w:r>
      <w:r>
        <w:fldChar w:fldCharType="separate"/>
      </w:r>
      <w:r w:rsidR="00A51FF0">
        <w:rPr>
          <w:noProof/>
        </w:rPr>
        <w:t>5</w:t>
      </w:r>
      <w:r>
        <w:fldChar w:fldCharType="end"/>
      </w:r>
      <w:r>
        <w:t xml:space="preserve">: </w:t>
      </w:r>
      <w:commentRangeStart w:id="6"/>
      <w:r>
        <w:t xml:space="preserve">Conceptual modeling </w:t>
      </w:r>
      <w:r w:rsidRPr="00DF1A23">
        <w:rPr>
          <w:highlight w:val="lightGray"/>
        </w:rPr>
        <w:t>ap</w:t>
      </w:r>
      <w:commentRangeEnd w:id="6"/>
      <w:r w:rsidR="00302967">
        <w:rPr>
          <w:rStyle w:val="CommentReference"/>
          <w:i w:val="0"/>
          <w:iCs w:val="0"/>
          <w:color w:val="auto"/>
        </w:rPr>
        <w:commentReference w:id="6"/>
      </w:r>
      <w:r w:rsidRPr="00DF1A23">
        <w:rPr>
          <w:highlight w:val="lightGray"/>
        </w:rPr>
        <w:t>proach</w:t>
      </w:r>
      <w:r w:rsidR="00DF1A23" w:rsidRPr="00DF1A23">
        <w:rPr>
          <w:highlight w:val="lightGray"/>
        </w:rPr>
        <w:t xml:space="preserve"> (CHANGE FONT)</w:t>
      </w:r>
    </w:p>
    <w:p w14:paraId="56D099A5" w14:textId="6F89C250" w:rsidR="006F3E2F" w:rsidRDefault="006F3E2F">
      <w:pPr>
        <w:jc w:val="left"/>
        <w:rPr>
          <w:rFonts w:ascii="CMU Serif" w:eastAsiaTheme="majorEastAsia" w:hAnsi="CMU Serif" w:cs="CMU Serif"/>
          <w:sz w:val="26"/>
          <w:szCs w:val="26"/>
        </w:rPr>
      </w:pPr>
    </w:p>
    <w:p w14:paraId="4D9F952D" w14:textId="4D6C8253" w:rsidR="00B704E5" w:rsidRPr="00B704E5" w:rsidRDefault="00B704E5" w:rsidP="00B704E5">
      <w:pPr>
        <w:pStyle w:val="Heading3"/>
      </w:pPr>
      <w:r>
        <w:lastRenderedPageBreak/>
        <w:t>Metamodeling</w:t>
      </w:r>
      <w:r w:rsidR="00C03618">
        <w:t xml:space="preserve"> approach</w:t>
      </w:r>
    </w:p>
    <w:p w14:paraId="4D78CFFC" w14:textId="5010E620"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7A5D03">
        <w:t>In this study, a metamodel is created from the state-of-the-art groundwater flow model for the dune fresh groundwater reservoir near The Hague. This model is the “original model” whose input and output will be used as a starting point for the metamodel.</w:t>
      </w:r>
      <w:r w:rsidR="00481D7F">
        <w:t xml:space="preserve"> The metamodel’s purpose then, is to assess the</w:t>
      </w:r>
      <w:r w:rsidR="00CB0F11">
        <w:t xml:space="preserve"> original model’s</w:t>
      </w:r>
      <w:r w:rsidR="00481D7F">
        <w:t xml:space="preserve"> validation techniques and computational efficiency.</w:t>
      </w:r>
    </w:p>
    <w:p w14:paraId="46EF09A0" w14:textId="0AAC4B93" w:rsidR="00481D7F" w:rsidRDefault="006632D2" w:rsidP="006632D2">
      <w:r>
        <w:t xml:space="preserve">An iterative approach is required to </w:t>
      </w:r>
      <w:r w:rsidR="00842459">
        <w:t>ensure the</w:t>
      </w:r>
      <w:r>
        <w:t xml:space="preser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After this is justified, </w:t>
      </w:r>
      <w:r w:rsidR="008351B3">
        <w:t>new methods for model validation are presented, to add to conventional model validation techniques</w:t>
      </w:r>
      <w:r w:rsidR="009B6585">
        <w:t>.</w:t>
      </w:r>
      <w:r w:rsidR="00DE384A">
        <w:t xml:space="preserve"> </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w:t>
      </w:r>
      <w:r w:rsidR="00302967" w:rsidRPr="009B6585">
        <w:rPr>
          <w:highlight w:val="lightGray"/>
        </w:rPr>
        <w:t>This chapter will be referred to throughout the rest of this report.</w:t>
      </w:r>
      <w:r w:rsidR="00302967">
        <w:t xml:space="preserve">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5B8B7E78" w:rsidR="00AD5D1F" w:rsidRDefault="008D1206" w:rsidP="007A7ED9">
      <w:pPr>
        <w:pStyle w:val="Caption"/>
        <w:jc w:val="left"/>
      </w:pPr>
      <w:r>
        <w:t xml:space="preserve">Figure </w:t>
      </w:r>
      <w:commentRangeStart w:id="7"/>
      <w:r>
        <w:fldChar w:fldCharType="begin"/>
      </w:r>
      <w:r>
        <w:instrText xml:space="preserve"> SEQ Figure \* ARABIC </w:instrText>
      </w:r>
      <w:r>
        <w:fldChar w:fldCharType="separate"/>
      </w:r>
      <w:r w:rsidR="00A51FF0">
        <w:rPr>
          <w:noProof/>
        </w:rPr>
        <w:t>6</w:t>
      </w:r>
      <w:r>
        <w:fldChar w:fldCharType="end"/>
      </w:r>
      <w:commentRangeEnd w:id="7"/>
      <w:r w:rsidR="00683E61">
        <w:rPr>
          <w:rStyle w:val="CommentReference"/>
          <w:i w:val="0"/>
          <w:iCs w:val="0"/>
          <w:color w:val="auto"/>
        </w:rPr>
        <w:commentReference w:id="7"/>
      </w:r>
      <w:r>
        <w:t xml:space="preserve">: Model domain and </w:t>
      </w:r>
      <w:r w:rsidR="007A7ED9">
        <w:t xml:space="preserve">piezometric groundwater head. In the dunes, the infiltration ponds can be seen. </w:t>
      </w:r>
    </w:p>
    <w:p w14:paraId="6E584703" w14:textId="484FB42D"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8"/>
      <w:r w:rsidR="00AD7621">
        <w:t>(horizontal and vertical permeabilities, heads, salinity</w:t>
      </w:r>
      <w:commentRangeEnd w:id="8"/>
      <w:r w:rsidR="000E5583">
        <w:rPr>
          <w:rStyle w:val="CommentReference"/>
        </w:rPr>
        <w:commentReference w:id="8"/>
      </w:r>
      <w:r w:rsidR="00AD7621">
        <w:t>) per timestep</w:t>
      </w:r>
      <w:r w:rsidR="00194CA6" w:rsidRPr="00194CA6">
        <w:t>.</w:t>
      </w:r>
      <w:r w:rsidR="00FF1CD2">
        <w:t xml:space="preserve"> They represent a pore volume in a soil, saturated or unsaturated with water.</w:t>
      </w:r>
    </w:p>
    <w:p w14:paraId="0DD87050" w14:textId="224CACA7" w:rsidR="00886801" w:rsidRDefault="00683E61">
      <w:pPr>
        <w:jc w:val="left"/>
        <w:rPr>
          <w:rFonts w:ascii="CMU Serif" w:eastAsiaTheme="majorEastAsia" w:hAnsi="CMU Serif" w:cs="CMU Serif"/>
          <w:sz w:val="26"/>
          <w:szCs w:val="26"/>
        </w:rPr>
      </w:pPr>
      <w:r w:rsidRPr="00683E61">
        <w:rPr>
          <w:highlight w:val="lightGray"/>
        </w:rPr>
        <w:t>+ ADD Figure of model domain and study area (since the study area is often referred to throughout the report).</w:t>
      </w:r>
      <w:r w:rsidR="00886801">
        <w:br w:type="page"/>
      </w:r>
    </w:p>
    <w:p w14:paraId="34C0022F" w14:textId="40A9262F" w:rsidR="00886801" w:rsidRDefault="00886801" w:rsidP="00886801">
      <w:pPr>
        <w:pStyle w:val="Heading3"/>
      </w:pPr>
      <w:r>
        <w:lastRenderedPageBreak/>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6" w:history="1">
        <w:r w:rsidRPr="002D48F2">
          <w:rPr>
            <w:rStyle w:val="Hyperlink"/>
          </w:rPr>
          <w:t>https://github.com/justkrantz/msc-thesis</w:t>
        </w:r>
      </w:hyperlink>
      <w:r>
        <w:t xml:space="preserve">), where the project is organized as </w:t>
      </w:r>
      <w:commentRangeStart w:id="9"/>
      <w:r>
        <w:t>follows</w:t>
      </w:r>
      <w:r w:rsidR="007B78B2">
        <w:t xml:space="preserve"> (see </w:t>
      </w:r>
      <w:r w:rsidR="007B78B2" w:rsidRPr="007B78B2">
        <w:rPr>
          <w:highlight w:val="lightGray"/>
        </w:rPr>
        <w:t>Appendix C</w:t>
      </w:r>
      <w:r w:rsidR="007B78B2">
        <w:t xml:space="preserve"> for the detailed script structure)</w:t>
      </w:r>
      <w:r>
        <w:t xml:space="preserve">: </w:t>
      </w:r>
      <w:commentRangeEnd w:id="9"/>
      <w:r w:rsidR="00AE4E18">
        <w:rPr>
          <w:rStyle w:val="CommentReference"/>
        </w:rPr>
        <w:commentReference w:id="9"/>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525972F3" w14:textId="77777777" w:rsidR="007B78B2" w:rsidRDefault="007B78B2" w:rsidP="00D41B26"/>
    <w:p w14:paraId="46899375" w14:textId="0A31950F"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2.2.3</w:t>
      </w:r>
      <w:r w:rsidR="00D41B26">
        <w:t xml:space="preserve">. </w:t>
      </w:r>
    </w:p>
    <w:p w14:paraId="580AF9F0" w14:textId="1FF9A05B"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8287" cy="2159386"/>
                    </a:xfrm>
                    <a:prstGeom prst="rect">
                      <a:avLst/>
                    </a:prstGeom>
                  </pic:spPr>
                </pic:pic>
              </a:graphicData>
            </a:graphic>
          </wp:inline>
        </w:drawing>
      </w:r>
    </w:p>
    <w:p w14:paraId="716CA47E" w14:textId="66116F12" w:rsidR="00885B8C" w:rsidRDefault="00885B8C" w:rsidP="007A7ED9">
      <w:pPr>
        <w:pStyle w:val="Caption"/>
      </w:pPr>
      <w:r>
        <w:t xml:space="preserve">Figure </w:t>
      </w:r>
      <w:r>
        <w:fldChar w:fldCharType="begin"/>
      </w:r>
      <w:r>
        <w:instrText xml:space="preserve"> SEQ Figure \* ARABIC </w:instrText>
      </w:r>
      <w:r>
        <w:fldChar w:fldCharType="separate"/>
      </w:r>
      <w:r w:rsidR="00A51FF0">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3D6B859" w14:textId="3B8DD309" w:rsidR="00CF5ECF" w:rsidRPr="00D41B26" w:rsidRDefault="00591BCB" w:rsidP="00CF5ECF">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B75BB09" w14:textId="57B0FED2" w:rsidR="00635155" w:rsidRPr="00815A37" w:rsidRDefault="00635155" w:rsidP="000D7FDE">
      <w:pPr>
        <w:pStyle w:val="ListParagraph"/>
        <w:numPr>
          <w:ilvl w:val="3"/>
          <w:numId w:val="1"/>
        </w:numPr>
      </w:pPr>
      <w:r w:rsidRPr="00815A37">
        <w:t>Domain boundaries</w:t>
      </w:r>
    </w:p>
    <w:p w14:paraId="09232ACB" w14:textId="7D144F5A" w:rsidR="00F4662D" w:rsidRPr="00815A37" w:rsidRDefault="00635155" w:rsidP="00635155">
      <w:commentRangeStart w:id="10"/>
      <w:r w:rsidRPr="00815A37">
        <w:rPr>
          <w:highlight w:val="lightGray"/>
        </w:rPr>
        <w:t>Theory: the boundaries of a model domain are sufficiently far away when the conditions applied at the boundary do not influence the study area</w:t>
      </w:r>
      <w:r w:rsidR="00815A37" w:rsidRPr="00815A37">
        <w:rPr>
          <w:highlight w:val="lightGray"/>
        </w:rPr>
        <w:t xml:space="preserve">. </w:t>
      </w:r>
      <w:r w:rsidR="00F4662D" w:rsidRPr="00815A37">
        <w:rPr>
          <w:highlight w:val="lightGray"/>
        </w:rPr>
        <w:t xml:space="preserve">Hypothesis: changing the domain edges from </w:t>
      </w:r>
      <w:r w:rsidR="00B4160F" w:rsidRPr="00815A37">
        <w:rPr>
          <w:highlight w:val="lightGray"/>
        </w:rPr>
        <w:t>fixed head to no flow &amp; its expected influence on the conceptual f/s interface</w:t>
      </w:r>
      <w:r w:rsidR="00815A37" w:rsidRPr="00815A37">
        <w:rPr>
          <w:highlight w:val="lightGray"/>
        </w:rPr>
        <w:t>.</w:t>
      </w:r>
      <w:commentRangeEnd w:id="10"/>
      <w:r w:rsidR="00815A37">
        <w:rPr>
          <w:rStyle w:val="CommentReference"/>
        </w:rPr>
        <w:commentReference w:id="10"/>
      </w:r>
    </w:p>
    <w:p w14:paraId="395AE7D8" w14:textId="04991013" w:rsidR="00815A37" w:rsidRPr="00815A37" w:rsidRDefault="00815A37" w:rsidP="00635155">
      <w:r>
        <w:t xml:space="preserve">Two scenarios are run to investigate the influence of the conditions applied to the domain boundaries on model efficiency: A fixed head (GHB), and an impermeable no flow boundary. </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8"/>
                    <a:stretch>
                      <a:fillRect/>
                    </a:stretch>
                  </pic:blipFill>
                  <pic:spPr>
                    <a:xfrm>
                      <a:off x="0" y="0"/>
                      <a:ext cx="3334808" cy="2743662"/>
                    </a:xfrm>
                    <a:prstGeom prst="rect">
                      <a:avLst/>
                    </a:prstGeom>
                  </pic:spPr>
                </pic:pic>
              </a:graphicData>
            </a:graphic>
          </wp:inline>
        </w:drawing>
      </w:r>
    </w:p>
    <w:p w14:paraId="6D38BCE0" w14:textId="09E5105F" w:rsidR="000E0775" w:rsidRDefault="0097015B" w:rsidP="0097015B">
      <w:pPr>
        <w:pStyle w:val="Caption"/>
        <w:jc w:val="left"/>
      </w:pPr>
      <w:r>
        <w:t xml:space="preserve">Figure </w:t>
      </w:r>
      <w:r>
        <w:fldChar w:fldCharType="begin"/>
      </w:r>
      <w:r>
        <w:instrText xml:space="preserve"> SEQ Figure \* ARABIC </w:instrText>
      </w:r>
      <w:r>
        <w:fldChar w:fldCharType="separate"/>
      </w:r>
      <w:r w:rsidR="00A51FF0">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9"/>
                    <a:stretch>
                      <a:fillRect/>
                    </a:stretch>
                  </pic:blipFill>
                  <pic:spPr>
                    <a:xfrm>
                      <a:off x="0" y="0"/>
                      <a:ext cx="3498547" cy="2649686"/>
                    </a:xfrm>
                    <a:prstGeom prst="rect">
                      <a:avLst/>
                    </a:prstGeom>
                  </pic:spPr>
                </pic:pic>
              </a:graphicData>
            </a:graphic>
          </wp:inline>
        </w:drawing>
      </w:r>
    </w:p>
    <w:p w14:paraId="7134DA07" w14:textId="753D8657" w:rsidR="0097015B" w:rsidRDefault="0097015B" w:rsidP="00885B8C">
      <w:pPr>
        <w:pStyle w:val="Caption"/>
        <w:jc w:val="left"/>
      </w:pPr>
      <w:r>
        <w:t xml:space="preserve">Figure </w:t>
      </w:r>
      <w:r>
        <w:fldChar w:fldCharType="begin"/>
      </w:r>
      <w:r>
        <w:instrText xml:space="preserve"> SEQ Figure \* ARABIC </w:instrText>
      </w:r>
      <w:r>
        <w:fldChar w:fldCharType="separate"/>
      </w:r>
      <w:r w:rsidR="00A51FF0">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0"/>
                    <a:stretch>
                      <a:fillRect/>
                    </a:stretch>
                  </pic:blipFill>
                  <pic:spPr>
                    <a:xfrm>
                      <a:off x="0" y="0"/>
                      <a:ext cx="3277460" cy="2132324"/>
                    </a:xfrm>
                    <a:prstGeom prst="rect">
                      <a:avLst/>
                    </a:prstGeom>
                  </pic:spPr>
                </pic:pic>
              </a:graphicData>
            </a:graphic>
          </wp:inline>
        </w:drawing>
      </w:r>
    </w:p>
    <w:p w14:paraId="640546C7" w14:textId="2AB92520"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A51FF0">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11"/>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11"/>
      <w:r w:rsidR="00FC5ECD">
        <w:rPr>
          <w:rStyle w:val="CommentReference"/>
        </w:rPr>
        <w:commentReference w:id="11"/>
      </w:r>
    </w:p>
    <w:p w14:paraId="0D386C8A" w14:textId="0F0C87D1" w:rsidR="00F4662D" w:rsidRDefault="00F4662D">
      <w:pPr>
        <w:jc w:val="left"/>
        <w:rPr>
          <w:rFonts w:ascii="CMU Serif" w:eastAsiaTheme="majorEastAsia" w:hAnsi="CMU Serif" w:cs="CMU Serif"/>
          <w:sz w:val="26"/>
          <w:szCs w:val="26"/>
        </w:rPr>
      </w:pPr>
    </w:p>
    <w:p w14:paraId="052F25F9" w14:textId="0826EF96" w:rsidR="008D1206" w:rsidRDefault="002E00FB" w:rsidP="00462742">
      <w:pPr>
        <w:pStyle w:val="Heading3"/>
      </w:pPr>
      <w:r>
        <w:t>Input</w:t>
      </w:r>
    </w:p>
    <w:p w14:paraId="58C06F0A" w14:textId="25C84505" w:rsidR="00DE4FC2" w:rsidRDefault="002E5174" w:rsidP="00E40BF0">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proofErr w:type="spellStart"/>
      <w:r w:rsidR="00693538" w:rsidRPr="00693538">
        <w:rPr>
          <w:highlight w:val="lightGray"/>
        </w:rPr>
        <w:t>GeoTOP</w:t>
      </w:r>
      <w:proofErr w:type="spellEnd"/>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w:t>
      </w:r>
      <w:r w:rsidR="00244CCA">
        <w:t xml:space="preserve">is the regridded (see </w:t>
      </w:r>
      <w:r w:rsidR="00244CCA" w:rsidRPr="00244CCA">
        <w:rPr>
          <w:highlight w:val="lightGray"/>
        </w:rPr>
        <w:t>section 2.3</w:t>
      </w:r>
      <w:r w:rsidR="00244CCA">
        <w:t xml:space="preserve"> for regridding) output salinity of a</w:t>
      </w:r>
      <w:r w:rsidR="00693538">
        <w:t xml:space="preserve"> 100y simulation of the original model, which in turn used a starting </w:t>
      </w:r>
      <w:r w:rsidR="00244CCA">
        <w:t xml:space="preserve">groundwater </w:t>
      </w:r>
      <w:r w:rsidR="00693538">
        <w:t xml:space="preserve">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3B6B43" w:rsidRPr="003B6B43">
        <w:rPr>
          <w:highlight w:val="lightGray"/>
        </w:rPr>
        <w:t>sections 2.4</w:t>
      </w:r>
      <w:r w:rsidR="003B6B43">
        <w:t xml:space="preserve"> and </w:t>
      </w:r>
      <w:r w:rsidR="003B6B43" w:rsidRPr="003B6B43">
        <w:rPr>
          <w:highlight w:val="lightGray"/>
        </w:rPr>
        <w:t>2.5</w:t>
      </w:r>
      <w:r w:rsidR="003B6B43">
        <w:t>.</w:t>
      </w:r>
      <w:r w:rsidR="0063660E">
        <w:t xml:space="preserve"> </w:t>
      </w:r>
    </w:p>
    <w:p w14:paraId="4E363B9F" w14:textId="77777777" w:rsidR="003B6B43" w:rsidRDefault="003B6B43">
      <w:pPr>
        <w:jc w:val="left"/>
        <w:rPr>
          <w:rFonts w:ascii="CMU Serif" w:eastAsiaTheme="majorEastAsia" w:hAnsi="CMU Serif" w:cs="CMU Serif"/>
          <w:sz w:val="28"/>
          <w:szCs w:val="28"/>
        </w:rPr>
      </w:pPr>
      <w:r>
        <w:br w:type="page"/>
      </w:r>
    </w:p>
    <w:p w14:paraId="7DB39F50" w14:textId="6EC31CD6" w:rsidR="00E12AF8" w:rsidRDefault="00462742" w:rsidP="00E12AF8">
      <w:pPr>
        <w:pStyle w:val="Heading2"/>
      </w:pPr>
      <w:r>
        <w:lastRenderedPageBreak/>
        <w:t>Regridding</w:t>
      </w:r>
    </w:p>
    <w:p w14:paraId="059887FA" w14:textId="4F8AF093"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7C88C63" w:rsidR="00F727D7" w:rsidRDefault="00F727D7" w:rsidP="00F727D7">
      <w:pPr>
        <w:pStyle w:val="Caption"/>
        <w:jc w:val="center"/>
      </w:pPr>
      <w:r>
        <w:t xml:space="preserve">Figure </w:t>
      </w:r>
      <w:r>
        <w:fldChar w:fldCharType="begin"/>
      </w:r>
      <w:r>
        <w:instrText xml:space="preserve"> SEQ Figure \* ARABIC </w:instrText>
      </w:r>
      <w:r>
        <w:fldChar w:fldCharType="separate"/>
      </w:r>
      <w:r w:rsidR="00A51FF0">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A9B3508" w14:textId="7850D879" w:rsidR="00CA3C5A" w:rsidRDefault="00545E43" w:rsidP="00E40BF0">
      <w:pPr>
        <w:pStyle w:val="Heading2"/>
      </w:pPr>
      <w:commentRangeStart w:id="12"/>
      <w:r>
        <w:lastRenderedPageBreak/>
        <w:t>Model calibration</w:t>
      </w:r>
      <w:commentRangeEnd w:id="12"/>
      <w:r w:rsidR="00442414">
        <w:rPr>
          <w:rStyle w:val="CommentReference"/>
          <w:rFonts w:ascii="CMU Concrete" w:eastAsiaTheme="minorHAnsi" w:hAnsi="CMU Concrete" w:cs="CMU Concrete"/>
        </w:rPr>
        <w:commentReference w:id="12"/>
      </w:r>
    </w:p>
    <w:p w14:paraId="508D81F5" w14:textId="2690E6DB"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w:t>
      </w:r>
      <w:r w:rsidR="00CA4B64">
        <w:t xml:space="preserve">this </w:t>
      </w:r>
      <w:r w:rsidR="00862B55">
        <w:t xml:space="preserve">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2"/>
                    <a:stretch>
                      <a:fillRect/>
                    </a:stretch>
                  </pic:blipFill>
                  <pic:spPr>
                    <a:xfrm>
                      <a:off x="0" y="0"/>
                      <a:ext cx="2595666" cy="2898197"/>
                    </a:xfrm>
                    <a:prstGeom prst="rect">
                      <a:avLst/>
                    </a:prstGeom>
                  </pic:spPr>
                </pic:pic>
              </a:graphicData>
            </a:graphic>
          </wp:inline>
        </w:drawing>
      </w:r>
      <w:r>
        <w:rPr>
          <w:noProof/>
        </w:rPr>
        <w:t xml:space="preserve"> </w:t>
      </w:r>
    </w:p>
    <w:p w14:paraId="48663275" w14:textId="14AA062A" w:rsidR="00862B55" w:rsidRDefault="00862B55" w:rsidP="00862B55">
      <w:pPr>
        <w:pStyle w:val="Caption"/>
        <w:jc w:val="center"/>
      </w:pPr>
      <w:r>
        <w:t xml:space="preserve">Figure </w:t>
      </w:r>
      <w:r>
        <w:fldChar w:fldCharType="begin"/>
      </w:r>
      <w:r>
        <w:instrText xml:space="preserve"> SEQ Figure \* ARABIC </w:instrText>
      </w:r>
      <w:r>
        <w:fldChar w:fldCharType="separate"/>
      </w:r>
      <w:r w:rsidR="00A51FF0">
        <w:rPr>
          <w:noProof/>
        </w:rPr>
        <w:t>12</w:t>
      </w:r>
      <w:r>
        <w:fldChar w:fldCharType="end"/>
      </w:r>
      <w:r>
        <w:t>: Model calibration. MM = Metamodel, OM = Original model</w:t>
      </w:r>
    </w:p>
    <w:p w14:paraId="559FE783" w14:textId="5559A03E"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w:t>
      </w:r>
      <w:r w:rsidR="00CA4B64">
        <w:t xml:space="preserve">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w:t>
      </w:r>
      <w:r>
        <w:t xml:space="preserve">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lastRenderedPageBreak/>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3"/>
                    <a:stretch>
                      <a:fillRect/>
                    </a:stretch>
                  </pic:blipFill>
                  <pic:spPr>
                    <a:xfrm>
                      <a:off x="0" y="0"/>
                      <a:ext cx="2772060" cy="2552353"/>
                    </a:xfrm>
                    <a:prstGeom prst="rect">
                      <a:avLst/>
                    </a:prstGeom>
                  </pic:spPr>
                </pic:pic>
              </a:graphicData>
            </a:graphic>
          </wp:inline>
        </w:drawing>
      </w:r>
    </w:p>
    <w:p w14:paraId="58954405" w14:textId="4713C6D5"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A51FF0">
        <w:rPr>
          <w:noProof/>
        </w:rPr>
        <w:t>13</w:t>
      </w:r>
      <w:r>
        <w:fldChar w:fldCharType="end"/>
      </w:r>
      <w:r>
        <w:t xml:space="preserve">: Extent of cross sections over the </w:t>
      </w:r>
      <w:commentRangeStart w:id="13"/>
      <w:r>
        <w:t>study</w:t>
      </w:r>
      <w:commentRangeEnd w:id="13"/>
      <w:r w:rsidR="004D1D98">
        <w:rPr>
          <w:rStyle w:val="CommentReference"/>
          <w:i w:val="0"/>
          <w:iCs w:val="0"/>
          <w:color w:val="auto"/>
        </w:rPr>
        <w:commentReference w:id="13"/>
      </w:r>
      <w:r>
        <w:t xml:space="preserve"> area</w:t>
      </w:r>
    </w:p>
    <w:p w14:paraId="57281AC2" w14:textId="670561C2"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w:t>
      </w:r>
      <w:r w:rsidR="00244CCA">
        <w:t xml:space="preserve">Calibration on water balance is done by running steady state simulations in the metamodel and comparing to steady state outputs of the original state-of-the-art model. </w:t>
      </w:r>
      <w:r>
        <w:t>Another method used to compare modeled groundwater flow in the study area is the use of Flow Lower Face budgets</w:t>
      </w:r>
      <w:r w:rsidR="00C55F16">
        <w:t xml:space="preserve"> (see </w:t>
      </w:r>
      <w:r w:rsidR="00C55F16" w:rsidRPr="00C55F16">
        <w:rPr>
          <w:highlight w:val="lightGray"/>
        </w:rPr>
        <w:t>Figure 13</w:t>
      </w:r>
      <w:r w:rsidR="00C55F16">
        <w:t>)</w:t>
      </w:r>
      <w:r w:rsidR="00CF5ECF">
        <w:t xml:space="preserve">. In MODFLOW, these </w:t>
      </w:r>
      <w:r w:rsidR="002F219A">
        <w:t>define the vertical flow in or out of a cell through its lower face, where the convention is that upward flow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694B7608" w:rsidR="00CF5ECF" w:rsidRDefault="00C55F16" w:rsidP="00C55F16">
      <w:pPr>
        <w:pStyle w:val="Caption"/>
        <w:jc w:val="center"/>
      </w:pPr>
      <w:r>
        <w:t xml:space="preserve">Figure </w:t>
      </w:r>
      <w:r>
        <w:fldChar w:fldCharType="begin"/>
      </w:r>
      <w:r>
        <w:instrText xml:space="preserve"> SEQ Figure \* ARABIC </w:instrText>
      </w:r>
      <w:r>
        <w:fldChar w:fldCharType="separate"/>
      </w:r>
      <w:r w:rsidR="00A51FF0">
        <w:rPr>
          <w:noProof/>
        </w:rPr>
        <w:t>14</w:t>
      </w:r>
      <w:r>
        <w:fldChar w:fldCharType="end"/>
      </w:r>
      <w:r>
        <w:t>: Flow Lower Face</w:t>
      </w:r>
      <w:r w:rsidR="00DF6290">
        <w:t xml:space="preserve"> of a cell, side view. </w:t>
      </w:r>
    </w:p>
    <w:p w14:paraId="19434C9C" w14:textId="4CBEA4EF" w:rsidR="00FA1F9D" w:rsidRDefault="003B6B4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w:t>
      </w:r>
      <w:r w:rsidR="00FA1F9D">
        <w:br w:type="page"/>
      </w:r>
    </w:p>
    <w:p w14:paraId="7FB8C736" w14:textId="49171183" w:rsidR="00ED42A7" w:rsidRDefault="00ED42A7" w:rsidP="00E40BF0">
      <w:pPr>
        <w:pStyle w:val="Heading2"/>
      </w:pPr>
      <w:commentRangeStart w:id="14"/>
      <w:r>
        <w:lastRenderedPageBreak/>
        <w:t>Model validation</w:t>
      </w:r>
      <w:commentRangeEnd w:id="14"/>
      <w:r w:rsidR="00D91C8F">
        <w:rPr>
          <w:rStyle w:val="CommentReference"/>
          <w:rFonts w:ascii="CMU Concrete" w:eastAsiaTheme="minorHAnsi" w:hAnsi="CMU Concrete" w:cs="CMU Concrete"/>
        </w:rPr>
        <w:commentReference w:id="14"/>
      </w:r>
    </w:p>
    <w:p w14:paraId="6935EEAD" w14:textId="73052712" w:rsidR="00842459" w:rsidRPr="00842459" w:rsidRDefault="00D326E2" w:rsidP="00D326E2">
      <w:r>
        <w:t>Effective model use in the future will not only be to seek solutions but also to analyze data significance and guide further collection efforts towards minimizing uncertainty in predictions (Langevin and Panday, 2012). In this chapter, the use of HyFA and groundwater salinity as calibration data for model optimization will be introduced</w:t>
      </w:r>
      <w:r w:rsidRPr="00D326E2">
        <w:rPr>
          <w:highlight w:val="lightGray"/>
        </w:rPr>
        <w:t>, in accordance with this statement</w:t>
      </w:r>
      <w:r>
        <w:t xml:space="preserve">. </w:t>
      </w:r>
    </w:p>
    <w:p w14:paraId="1507A596" w14:textId="0D0F6044" w:rsidR="008B5AE6" w:rsidRPr="008B5AE6" w:rsidRDefault="008B5AE6" w:rsidP="008B5AE6">
      <w:pPr>
        <w:pStyle w:val="Heading3"/>
      </w:pPr>
      <w:r>
        <w:t>HyFA</w:t>
      </w:r>
    </w:p>
    <w:p w14:paraId="0557BDFB" w14:textId="35A53B51"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w:t>
      </w:r>
      <w:r w:rsidR="00683E61">
        <w:t>could visualize</w:t>
      </w:r>
      <w:r>
        <w:t xml:space="preserve"> the origin of various groundwater regions by their chemical composition</w:t>
      </w:r>
      <w:r w:rsidR="00CA4B64">
        <w:t>.</w:t>
      </w:r>
      <w:r>
        <w:t xml:space="preserve"> </w:t>
      </w:r>
    </w:p>
    <w:p w14:paraId="14609CAC" w14:textId="77777777" w:rsidR="00E332B5" w:rsidRDefault="00E332B5" w:rsidP="00E332B5">
      <w:pPr>
        <w:keepNext/>
        <w:jc w:val="center"/>
      </w:pPr>
      <w:r w:rsidRPr="00E332B5">
        <w:rPr>
          <w:noProof/>
        </w:rPr>
        <w:drawing>
          <wp:inline distT="0" distB="0" distL="0" distR="0" wp14:anchorId="0B82E552" wp14:editId="64443932">
            <wp:extent cx="5731510" cy="3738880"/>
            <wp:effectExtent l="0" t="0" r="254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5731510" cy="3738880"/>
                    </a:xfrm>
                    <a:prstGeom prst="rect">
                      <a:avLst/>
                    </a:prstGeom>
                  </pic:spPr>
                </pic:pic>
              </a:graphicData>
            </a:graphic>
          </wp:inline>
        </w:drawing>
      </w:r>
    </w:p>
    <w:p w14:paraId="12200CB2" w14:textId="2963EC5B" w:rsidR="00DE384A" w:rsidRDefault="00E332B5" w:rsidP="00683E61">
      <w:pPr>
        <w:pStyle w:val="Caption"/>
        <w:jc w:val="left"/>
      </w:pPr>
      <w:r>
        <w:t xml:space="preserve">Figure </w:t>
      </w:r>
      <w:r>
        <w:fldChar w:fldCharType="begin"/>
      </w:r>
      <w:r>
        <w:instrText xml:space="preserve"> SEQ Figure \* ARABIC </w:instrText>
      </w:r>
      <w:r>
        <w:fldChar w:fldCharType="separate"/>
      </w:r>
      <w:r w:rsidR="00A51FF0">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p>
    <w:p w14:paraId="4DCE4DA0" w14:textId="01DAF73C"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BD1EF8">
        <w:t xml:space="preserve">For clarity’s sake, the cross section by (Stuyfzand, 1993) was interpreted using different colors and showing relevant features only, see </w:t>
      </w:r>
      <w:r w:rsidR="00BD1EF8" w:rsidRPr="00BD1EF8">
        <w:rPr>
          <w:highlight w:val="lightGray"/>
        </w:rPr>
        <w:t>Appendix A</w:t>
      </w:r>
      <w:r w:rsidR="00BD1EF8">
        <w:t xml:space="preserve"> for the original and interpreted cross sections.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r w:rsidR="00BD1EF8">
        <w:t xml:space="preserve">. </w:t>
      </w:r>
      <w:r w:rsidR="003B6B43">
        <w:t xml:space="preserve">The </w:t>
      </w:r>
      <w:r w:rsidR="003B6B43">
        <w:lastRenderedPageBreak/>
        <w:t>model simulation time is set to 40 years, which is by approximation the relative time between commencing artificial infiltration (1950) to the time when (Stuyfzand, 1993) commenced data acquisition (1990).</w:t>
      </w:r>
    </w:p>
    <w:p w14:paraId="645333C1" w14:textId="53F55B99" w:rsidR="00E332B5" w:rsidRDefault="00E332B5">
      <w:pPr>
        <w:jc w:val="left"/>
        <w:rPr>
          <w:i/>
          <w:iCs/>
          <w:color w:val="44546A" w:themeColor="text2"/>
          <w:sz w:val="18"/>
          <w:szCs w:val="18"/>
        </w:rPr>
      </w:pPr>
    </w:p>
    <w:p w14:paraId="7749CAC8" w14:textId="0EFB936B" w:rsidR="00F85491" w:rsidRDefault="00F85491" w:rsidP="00F85491">
      <w:pPr>
        <w:pStyle w:val="Caption"/>
        <w:keepNext/>
      </w:pPr>
      <w:r>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16A5373F" w14:textId="77777777" w:rsidR="00E332B5" w:rsidRDefault="00E332B5">
      <w:pPr>
        <w:jc w:val="left"/>
        <w:rPr>
          <w:rFonts w:ascii="CMU Serif" w:eastAsiaTheme="majorEastAsia" w:hAnsi="CMU Serif" w:cs="CMU Serif"/>
          <w:sz w:val="26"/>
          <w:szCs w:val="26"/>
        </w:rPr>
      </w:pPr>
      <w:r>
        <w:br w:type="page"/>
      </w:r>
    </w:p>
    <w:p w14:paraId="78346E71" w14:textId="600E10BE" w:rsidR="008B5AE6" w:rsidRPr="008B5AE6" w:rsidRDefault="008B5AE6" w:rsidP="008B5AE6">
      <w:pPr>
        <w:pStyle w:val="Heading3"/>
        <w:rPr>
          <w:sz w:val="28"/>
          <w:szCs w:val="28"/>
        </w:rPr>
      </w:pPr>
      <w:r>
        <w:lastRenderedPageBreak/>
        <w:t>Fresh-saline interface</w:t>
      </w:r>
    </w:p>
    <w:p w14:paraId="62E12460" w14:textId="0AE9E243" w:rsidR="00DE4FC2" w:rsidRDefault="008B5AE6" w:rsidP="008B5AE6">
      <w:r>
        <w:t xml:space="preserve">In this study, the conceptual fresh saline interface introduced by (Oude </w:t>
      </w:r>
      <w:proofErr w:type="spellStart"/>
      <w:r>
        <w:t>Essink</w:t>
      </w:r>
      <w:proofErr w:type="spellEnd"/>
      <w:r>
        <w:t>, 2001) serves as a tool to investigate the rate of artificial infiltration, acknowledging that there is a brackish water zone between the fresh groundwater and the heavier saline groundwater</w:t>
      </w:r>
      <w:r w:rsidR="00A46154">
        <w:t xml:space="preserve"> due to transversal dispersion and multi-year precipitation fluctuations</w:t>
      </w:r>
      <w:r w:rsidR="008351B3">
        <w:t xml:space="preserve"> (Stuyfzand, 1993)</w:t>
      </w:r>
      <w:r>
        <w:t xml:space="preserve">. For model validation, this concept can be integrated to gain insight in the volume of fresh groundwater, as opposed to groundwater as a whole. </w:t>
      </w:r>
    </w:p>
    <w:p w14:paraId="50ED5F09" w14:textId="77777777" w:rsidR="008B5AE6" w:rsidRDefault="008B5AE6" w:rsidP="008B5AE6">
      <w:pPr>
        <w:keepNext/>
      </w:pPr>
      <w:r>
        <w:rPr>
          <w:noProof/>
        </w:rPr>
        <w:drawing>
          <wp:inline distT="0" distB="0" distL="0" distR="0" wp14:anchorId="529FB81E" wp14:editId="54674139">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1804D081" w14:textId="6510B9C9" w:rsidR="008B5AE6" w:rsidRDefault="008B5AE6" w:rsidP="008B5AE6">
      <w:pPr>
        <w:pStyle w:val="Caption"/>
      </w:pPr>
      <w:r>
        <w:t xml:space="preserve">Figure </w:t>
      </w:r>
      <w:r>
        <w:fldChar w:fldCharType="begin"/>
      </w:r>
      <w:r>
        <w:instrText xml:space="preserve"> SEQ Figure \* ARABIC </w:instrText>
      </w:r>
      <w:r>
        <w:fldChar w:fldCharType="separate"/>
      </w:r>
      <w:r w:rsidR="00A51FF0">
        <w:rPr>
          <w:noProof/>
        </w:rPr>
        <w:t>16</w:t>
      </w:r>
      <w:r>
        <w:fldChar w:fldCharType="end"/>
      </w:r>
      <w:r>
        <w:t>: Model validation on a fresh-saline interface (L) and on groundwater as a whole (R)</w:t>
      </w:r>
    </w:p>
    <w:p w14:paraId="0BBFA814" w14:textId="2C62A11A" w:rsidR="008B5AE6" w:rsidRDefault="008B5AE6" w:rsidP="008B5AE6">
      <w:r>
        <w:t xml:space="preserve">As discussed in </w:t>
      </w:r>
      <w:r w:rsidRPr="00C03618">
        <w:rPr>
          <w:highlight w:val="lightGray"/>
        </w:rPr>
        <w:t>section 1.1</w:t>
      </w:r>
      <w:r>
        <w:t>, the state-of-the-art fresh-saline groundwater model</w:t>
      </w:r>
      <w:r w:rsidR="00CE69B4">
        <w:t xml:space="preserve"> (the original model, OM)</w:t>
      </w:r>
      <w:r>
        <w:t xml:space="preserve"> used by Dunea for assessing the feasibility of brackish groundwater as a groundwater resource, has only been validated on hydraulic head data</w:t>
      </w:r>
      <w:r w:rsidR="0082426A">
        <w:t>. It is</w:t>
      </w:r>
      <w:r>
        <w:t xml:space="preserve"> not</w:t>
      </w:r>
      <w:r w:rsidR="0082426A">
        <w:t xml:space="preserve"> calibrated</w:t>
      </w:r>
      <w:r>
        <w:t xml:space="preserve"> on groundwater salinity and therefore neglecting validation on variable density flow</w:t>
      </w:r>
      <w:r w:rsidR="0082426A">
        <w:t>, even though</w:t>
      </w:r>
      <w:r w:rsidR="00CE69B4">
        <w:t xml:space="preserve"> the model does</w:t>
      </w:r>
      <w:r>
        <w:t xml:space="preserve"> incorporate </w:t>
      </w:r>
      <w:r w:rsidR="00CE69B4">
        <w:t xml:space="preserve">variable density flow </w:t>
      </w:r>
      <w:r>
        <w:t xml:space="preserve">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where there is only information on the phreatic groundwater surface level. Calibration of a fresh-saline groundwater flow model on</w:t>
      </w:r>
      <w:r w:rsidR="0082426A">
        <w:t>ly on</w:t>
      </w:r>
      <w:r>
        <w:t xml:space="preserve"> </w:t>
      </w:r>
      <w:r w:rsidR="0082426A">
        <w:t xml:space="preserve">hydraulic head data </w:t>
      </w:r>
      <w:r>
        <w:t xml:space="preserve">may be right for the wrong reasons, </w:t>
      </w:r>
      <w:r w:rsidR="0082426A">
        <w:t xml:space="preserve">as </w:t>
      </w:r>
      <w:r>
        <w:t xml:space="preserve">it doesn’t </w:t>
      </w:r>
      <w:r w:rsidR="0082426A">
        <w:t>address</w:t>
      </w:r>
      <w:r>
        <w:t xml:space="preserve"> fresh-saline groundwater </w:t>
      </w:r>
      <w:r w:rsidR="0082426A">
        <w:t>regions like the conceptual fresh-saline interface</w:t>
      </w:r>
      <w:r>
        <w:t xml:space="preserve"> shown in </w:t>
      </w:r>
      <w:r w:rsidRPr="008B5AE6">
        <w:rPr>
          <w:highlight w:val="lightGray"/>
        </w:rPr>
        <w:t xml:space="preserve">Figure </w:t>
      </w:r>
      <w:r>
        <w:rPr>
          <w:highlight w:val="lightGray"/>
        </w:rPr>
        <w:t>14</w:t>
      </w:r>
      <w:r w:rsidRPr="008B5AE6">
        <w:rPr>
          <w:highlight w:val="lightGray"/>
        </w:rPr>
        <w:t xml:space="preserve"> (L).</w:t>
      </w:r>
      <w:r w:rsidR="00CE69B4">
        <w:t xml:space="preserve"> </w:t>
      </w:r>
    </w:p>
    <w:p w14:paraId="5F7C9795" w14:textId="5570D30E" w:rsidR="00CE69B4" w:rsidRDefault="00DE4FC2" w:rsidP="008B5AE6">
      <w:r w:rsidRPr="00FA1F9D">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15"/>
      <w:commentRangeStart w:id="16"/>
      <w:commentRangeStart w:id="17"/>
      <w:commentRangeStart w:id="18"/>
      <w:commentRangeStart w:id="19"/>
      <w:r>
        <w:t>groundwater</w:t>
      </w:r>
      <w:r w:rsidR="00747FB3">
        <w:t xml:space="preserve"> is subdivided in terms of salinity</w:t>
      </w:r>
      <w:r w:rsidR="001A4276">
        <w:t xml:space="preserve">, corresponding to </w:t>
      </w:r>
      <w:r w:rsidR="00BC2A13">
        <w:t>(Stuyfzand, 1993)</w:t>
      </w:r>
      <w:r w:rsidR="00747FB3">
        <w:t>:</w:t>
      </w:r>
      <w:commentRangeEnd w:id="15"/>
      <w:r>
        <w:rPr>
          <w:rStyle w:val="CommentReference"/>
        </w:rPr>
        <w:commentReference w:id="15"/>
      </w:r>
      <w:commentRangeEnd w:id="16"/>
      <w:r w:rsidR="00747FB3">
        <w:rPr>
          <w:rStyle w:val="CommentReference"/>
        </w:rPr>
        <w:commentReference w:id="16"/>
      </w:r>
      <w:commentRangeEnd w:id="17"/>
      <w:r w:rsidR="00747FB3">
        <w:rPr>
          <w:rStyle w:val="CommentReference"/>
        </w:rPr>
        <w:commentReference w:id="17"/>
      </w:r>
      <w:commentRangeEnd w:id="18"/>
      <w:r w:rsidR="00747FB3">
        <w:rPr>
          <w:rStyle w:val="CommentReference"/>
        </w:rPr>
        <w:commentReference w:id="18"/>
      </w:r>
      <w:commentRangeEnd w:id="19"/>
      <w:r w:rsidR="00315B32">
        <w:rPr>
          <w:rStyle w:val="CommentReference"/>
        </w:rPr>
        <w:commentReference w:id="19"/>
      </w:r>
    </w:p>
    <w:p w14:paraId="45793C3C" w14:textId="02F1DE6E" w:rsidR="00DE4FC2" w:rsidRPr="00747FB3" w:rsidRDefault="003B6B43" w:rsidP="00747FB3">
      <w:pPr>
        <w:ind w:firstLine="708"/>
      </w:pPr>
      <w:commentRangeStart w:id="20"/>
      <m:oMath>
        <m:r>
          <w:rPr>
            <w:rFonts w:ascii="Cambria Math" w:eastAsiaTheme="minorEastAsia" w:hAnsi="Cambria Math"/>
          </w:rPr>
          <m:t>Fresh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w:r w:rsidR="000839B3">
        <w:rPr>
          <w:rFonts w:eastAsiaTheme="minorEastAsia"/>
        </w:rPr>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76400D0B" w14:textId="54C691C4" w:rsidR="00DE4FC2" w:rsidRPr="00747FB3" w:rsidRDefault="003B6B43" w:rsidP="00747FB3">
      <w:pPr>
        <w:ind w:firstLine="708"/>
      </w:pPr>
      <m:oMath>
        <m:r>
          <w:rPr>
            <w:rFonts w:ascii="Cambria Math" w:eastAsiaTheme="minorEastAsia" w:hAnsi="Cambria Math"/>
          </w:rPr>
          <m:t>Brackish groundwater</m:t>
        </m:r>
      </m:oMath>
      <w:r w:rsidR="00747FB3">
        <w:rPr>
          <w:rFonts w:eastAsiaTheme="minorEastAsia"/>
        </w:rPr>
        <w:t xml:space="preserve"> </w:t>
      </w:r>
      <w:r w:rsidR="00747FB3">
        <w:rPr>
          <w:rFonts w:eastAsiaTheme="minorEastAsia"/>
        </w:rPr>
        <w:tab/>
        <w:t xml:space="preserve">for </w:t>
      </w:r>
      <w:r w:rsidR="00747FB3">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58F7EF35" w14:textId="2706640E" w:rsidR="00DE4FC2" w:rsidRPr="00747FB3" w:rsidRDefault="003B6B43" w:rsidP="00747FB3">
      <w:pPr>
        <w:ind w:firstLine="708"/>
      </w:pPr>
      <m:oMath>
        <m:r>
          <w:rPr>
            <w:rFonts w:ascii="Cambria Math" w:eastAsiaTheme="minorEastAsia" w:hAnsi="Cambria Math"/>
          </w:rPr>
          <m:t>Saline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20"/>
        <m:r>
          <m:rPr>
            <m:sty m:val="p"/>
          </m:rPr>
          <w:rPr>
            <w:rStyle w:val="CommentReference"/>
          </w:rPr>
          <w:commentReference w:id="20"/>
        </m:r>
      </m:oMath>
    </w:p>
    <w:p w14:paraId="7432D671" w14:textId="26D66B94" w:rsidR="00886801" w:rsidRDefault="00DF6290" w:rsidP="00DF6290">
      <w:pPr>
        <w:rPr>
          <w:rFonts w:ascii="CMU Serif" w:eastAsiaTheme="majorEastAsia" w:hAnsi="CMU Serif" w:cs="CMU Serif"/>
          <w:sz w:val="28"/>
          <w:szCs w:val="28"/>
        </w:rPr>
      </w:pPr>
      <w:r>
        <w:t xml:space="preserve">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w:t>
      </w:r>
      <w:r>
        <w:lastRenderedPageBreak/>
        <w:t>using the HyFA. The discrepancies between the OM and MM f/s interface output may give insight in the effects of regridding</w:t>
      </w:r>
      <w:r w:rsidR="00905C2C">
        <w:t>, and the added value of a HyFA for model validation.</w:t>
      </w:r>
      <w:r w:rsidR="00886801">
        <w:br w:type="page"/>
      </w:r>
    </w:p>
    <w:p w14:paraId="2DF7F4F7" w14:textId="5A0A5952" w:rsidR="001A3923" w:rsidRDefault="00612948" w:rsidP="00612948">
      <w:pPr>
        <w:pStyle w:val="Heading1"/>
      </w:pPr>
      <w:r>
        <w:lastRenderedPageBreak/>
        <w:t>Results</w:t>
      </w:r>
    </w:p>
    <w:p w14:paraId="52DA0037" w14:textId="4999E17B"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2F6C0DEA" w14:textId="78A53447" w:rsidR="00905C2C" w:rsidRDefault="00905C2C" w:rsidP="00905C2C">
      <w:pPr>
        <w:pStyle w:val="Heading2"/>
      </w:pPr>
      <w:r>
        <w:t>Model efficiency</w:t>
      </w:r>
    </w:p>
    <w:p w14:paraId="7FECBB1A" w14:textId="1FB50F41" w:rsidR="00453E7C" w:rsidRPr="00905C2C" w:rsidRDefault="00905C2C" w:rsidP="00905C2C">
      <w:r>
        <w:t xml:space="preserve">By changing the cell size from 25x25m to 250x250m horizontally, and leaving the vertical cell size unchanged, the </w:t>
      </w:r>
      <w:r w:rsidR="00453E7C">
        <w:t>elapsed run</w:t>
      </w:r>
      <w:r>
        <w:t xml:space="preserve"> time for a </w:t>
      </w:r>
      <w:r w:rsidR="00453E7C">
        <w:t>100</w:t>
      </w:r>
      <w:r>
        <w:t xml:space="preserve">y simulation is </w:t>
      </w:r>
      <w:r w:rsidR="00815A37">
        <w:t>2h</w:t>
      </w:r>
      <w:r w:rsidR="00453E7C">
        <w:t>53min</w:t>
      </w:r>
      <w:r w:rsidR="00815A37">
        <w:t xml:space="preserve"> with an impermeable domain boundary, and 14</w:t>
      </w:r>
      <w:r w:rsidR="00453E7C">
        <w:t>h5min</w:t>
      </w:r>
      <w:r w:rsidR="00815A37">
        <w:t xml:space="preserve"> for a fixed head boundary</w:t>
      </w:r>
      <w:r w:rsidR="00453E7C">
        <w:t xml:space="preserve"> condition at the edges of the model domain</w:t>
      </w:r>
      <w:r w:rsidR="00815A37">
        <w:t>.</w:t>
      </w:r>
      <w:r w:rsidR="00453E7C">
        <w:t xml:space="preserve"> </w:t>
      </w:r>
      <w:commentRangeStart w:id="21"/>
      <w:r w:rsidR="00453E7C" w:rsidRPr="00453E7C">
        <w:rPr>
          <w:highlight w:val="lightGray"/>
        </w:rPr>
        <w:t>The hydraulic head errors in the study area remain unchanged, therefore the model domain edges are assumed to be placed sufficiently far away to have negligible effect on the accuracy of the model.</w:t>
      </w:r>
      <w:commentRangeEnd w:id="21"/>
      <w:r w:rsidR="001976F7">
        <w:rPr>
          <w:rStyle w:val="CommentReference"/>
        </w:rPr>
        <w:commentReference w:id="21"/>
      </w:r>
    </w:p>
    <w:p w14:paraId="0A166E13" w14:textId="77777777" w:rsidR="00453E7C" w:rsidRDefault="00453E7C">
      <w:pPr>
        <w:jc w:val="left"/>
        <w:rPr>
          <w:rFonts w:ascii="CMU Serif" w:eastAsiaTheme="majorEastAsia" w:hAnsi="CMU Serif" w:cs="CMU Serif"/>
          <w:sz w:val="28"/>
          <w:szCs w:val="28"/>
        </w:rPr>
      </w:pPr>
      <w:r>
        <w:br w:type="page"/>
      </w:r>
    </w:p>
    <w:p w14:paraId="7C55DB0E" w14:textId="0016E9DD" w:rsidR="00545E43" w:rsidRDefault="00545E43" w:rsidP="00545E43">
      <w:pPr>
        <w:pStyle w:val="Heading2"/>
      </w:pPr>
      <w:r>
        <w:lastRenderedPageBreak/>
        <w:t>Model calibration</w:t>
      </w:r>
    </w:p>
    <w:p w14:paraId="0305F6B0" w14:textId="0A8D1160" w:rsidR="00417D09" w:rsidRPr="00417D09" w:rsidRDefault="00417D09" w:rsidP="00417D09">
      <w:pPr>
        <w:pStyle w:val="Heading3"/>
      </w:pPr>
      <w:r>
        <w:t>Hydraulic head distribution</w:t>
      </w:r>
    </w:p>
    <w:p w14:paraId="4BA2DCC2" w14:textId="2150C496"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w:t>
      </w:r>
      <w:r w:rsidR="003A7D1B">
        <w:t xml:space="preserve">is represented in both </w:t>
      </w:r>
      <w:r>
        <w:t xml:space="preserve">the original model </w:t>
      </w:r>
      <w:r w:rsidR="003A7D1B">
        <w:t>and</w:t>
      </w:r>
      <w:r>
        <w:t xml:space="preserve"> metamodel</w:t>
      </w:r>
      <w:r w:rsidR="003A7D1B">
        <w:t xml:space="preserve"> output</w:t>
      </w:r>
      <w:r>
        <w:t xml:space="preserve">.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792297C" w:rsidR="00417D09" w:rsidRDefault="00417D09" w:rsidP="00417D09">
      <w:pPr>
        <w:pStyle w:val="Caption"/>
        <w:jc w:val="center"/>
      </w:pPr>
      <w:r>
        <w:t xml:space="preserve">Figure </w:t>
      </w:r>
      <w:r>
        <w:fldChar w:fldCharType="begin"/>
      </w:r>
      <w:r>
        <w:instrText xml:space="preserve"> SEQ Figure \* ARABIC </w:instrText>
      </w:r>
      <w:r>
        <w:fldChar w:fldCharType="separate"/>
      </w:r>
      <w:r w:rsidR="00A51FF0">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22"/>
      <w:r>
        <w:t xml:space="preserve">To investigate the discrepancy statistically, the output of the OM was regridded to the same cell size of the MM, after which an error could be calculated. </w:t>
      </w:r>
      <w:r w:rsidR="00417D09">
        <w:t xml:space="preserve">The global mean error on hydraulic </w:t>
      </w:r>
      <w:commentRangeEnd w:id="22"/>
      <w:r w:rsidR="00700EC2">
        <w:rPr>
          <w:rStyle w:val="CommentReference"/>
        </w:rPr>
        <w:commentReference w:id="22"/>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lastRenderedPageBreak/>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75CAA6E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A51FF0">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9"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2E29897E" w:rsidR="0009373C" w:rsidRDefault="0009373C" w:rsidP="0009373C">
      <w:pPr>
        <w:pStyle w:val="Caption"/>
        <w:jc w:val="center"/>
      </w:pPr>
      <w:r>
        <w:t xml:space="preserve">Figure </w:t>
      </w:r>
      <w:r>
        <w:fldChar w:fldCharType="begin"/>
      </w:r>
      <w:r>
        <w:instrText xml:space="preserve"> SEQ Figure \* ARABIC </w:instrText>
      </w:r>
      <w:r>
        <w:fldChar w:fldCharType="separate"/>
      </w:r>
      <w:r w:rsidR="00A51FF0">
        <w:rPr>
          <w:noProof/>
        </w:rPr>
        <w:t>19</w:t>
      </w:r>
      <w:r>
        <w:fldChar w:fldCharType="end"/>
      </w:r>
      <w:r>
        <w:t xml:space="preserve">: Histogram of </w:t>
      </w:r>
      <w:commentRangeStart w:id="23"/>
      <w:r>
        <w:t>steady</w:t>
      </w:r>
      <w:commentRangeEnd w:id="23"/>
      <w:r>
        <w:rPr>
          <w:rStyle w:val="CommentReference"/>
          <w:i w:val="0"/>
          <w:iCs w:val="0"/>
          <w:color w:val="auto"/>
        </w:rPr>
        <w:commentReference w:id="23"/>
      </w:r>
      <w:r>
        <w:t xml:space="preserve"> state hydraulic head error in the study area</w:t>
      </w:r>
    </w:p>
    <w:p w14:paraId="0AB31D51" w14:textId="55F9B17D" w:rsidR="00700EC2" w:rsidRDefault="00700EC2" w:rsidP="009249EA">
      <w:pPr>
        <w:keepNext/>
      </w:pPr>
      <w:r>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w:t>
      </w:r>
      <w:r w:rsidR="009249EA">
        <w:lastRenderedPageBreak/>
        <w:t>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rPr>
          <w:noProof/>
        </w:rPr>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30"/>
                    <a:stretch>
                      <a:fillRect/>
                    </a:stretch>
                  </pic:blipFill>
                  <pic:spPr>
                    <a:xfrm>
                      <a:off x="0" y="0"/>
                      <a:ext cx="5161224" cy="6195208"/>
                    </a:xfrm>
                    <a:prstGeom prst="rect">
                      <a:avLst/>
                    </a:prstGeom>
                  </pic:spPr>
                </pic:pic>
              </a:graphicData>
            </a:graphic>
          </wp:inline>
        </w:drawing>
      </w:r>
    </w:p>
    <w:p w14:paraId="37B0E601" w14:textId="1D1B463A" w:rsidR="00102B29" w:rsidRPr="00102B29" w:rsidRDefault="00700EC2" w:rsidP="009249EA">
      <w:pPr>
        <w:pStyle w:val="Caption"/>
      </w:pPr>
      <w:r>
        <w:t xml:space="preserve">Figure </w:t>
      </w:r>
      <w:r>
        <w:fldChar w:fldCharType="begin"/>
      </w:r>
      <w:r>
        <w:instrText xml:space="preserve"> SEQ Figure \* ARABIC </w:instrText>
      </w:r>
      <w:r>
        <w:fldChar w:fldCharType="separate"/>
      </w:r>
      <w:r w:rsidR="00A51FF0">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1CDB1997"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A51FF0">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1BFA6E48"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A51FF0">
        <w:rPr>
          <w:noProof/>
        </w:rPr>
        <w:t>22</w:t>
      </w:r>
      <w:r>
        <w:fldChar w:fldCharType="end"/>
      </w:r>
      <w:commentRangeStart w:id="24"/>
      <w:r>
        <w:t>: w</w:t>
      </w:r>
      <w:commentRangeEnd w:id="24"/>
      <w:r w:rsidR="00102B29">
        <w:rPr>
          <w:rStyle w:val="CommentReference"/>
          <w:i w:val="0"/>
          <w:iCs w:val="0"/>
          <w:color w:val="auto"/>
        </w:rPr>
        <w:commentReference w:id="24"/>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064BD5C" w:rsidR="00717BC3" w:rsidRDefault="00717BC3" w:rsidP="00717BC3">
      <w:pPr>
        <w:pStyle w:val="Caption"/>
        <w:jc w:val="center"/>
      </w:pPr>
      <w:r>
        <w:t xml:space="preserve">Figure </w:t>
      </w:r>
      <w:r>
        <w:fldChar w:fldCharType="begin"/>
      </w:r>
      <w:r>
        <w:instrText xml:space="preserve"> SEQ Figure \* ARABIC </w:instrText>
      </w:r>
      <w:r>
        <w:fldChar w:fldCharType="separate"/>
      </w:r>
      <w:r w:rsidR="00A51FF0">
        <w:rPr>
          <w:noProof/>
        </w:rPr>
        <w:t>23</w:t>
      </w:r>
      <w:r>
        <w:fldChar w:fldCharType="end"/>
      </w:r>
      <w:r>
        <w:t xml:space="preserve">: Steady state water balance for the study </w:t>
      </w:r>
      <w:commentRangeStart w:id="25"/>
      <w:r>
        <w:t>area</w:t>
      </w:r>
      <w:commentRangeEnd w:id="25"/>
      <w:r>
        <w:rPr>
          <w:rStyle w:val="CommentReference"/>
          <w:i w:val="0"/>
          <w:iCs w:val="0"/>
          <w:color w:val="auto"/>
        </w:rPr>
        <w:commentReference w:id="25"/>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7C31975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5863697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73543A42"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0E2F4DFF" w14:textId="55DFEE75" w:rsidR="005405B5" w:rsidRDefault="008B53D0" w:rsidP="005405B5">
      <w:pPr>
        <w:pStyle w:val="ListParagraph"/>
        <w:numPr>
          <w:ilvl w:val="3"/>
          <w:numId w:val="1"/>
        </w:numPr>
      </w:pP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6"/>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4883677" cy="3185807"/>
                    </a:xfrm>
                    <a:prstGeom prst="rect">
                      <a:avLst/>
                    </a:prstGeom>
                  </pic:spPr>
                </pic:pic>
              </a:graphicData>
            </a:graphic>
          </wp:inline>
        </w:drawing>
      </w:r>
      <w:commentRangeEnd w:id="26"/>
    </w:p>
    <w:p w14:paraId="21128A61" w14:textId="003EEC29" w:rsidR="00727F1A" w:rsidRDefault="00727F1A" w:rsidP="00727F1A">
      <w:pPr>
        <w:pStyle w:val="Caption"/>
        <w:jc w:val="center"/>
      </w:pPr>
      <w:r>
        <w:t xml:space="preserve">Figure </w:t>
      </w:r>
      <w:r>
        <w:fldChar w:fldCharType="begin"/>
      </w:r>
      <w:r>
        <w:instrText xml:space="preserve"> SEQ Figure \* ARABIC </w:instrText>
      </w:r>
      <w:r>
        <w:fldChar w:fldCharType="separate"/>
      </w:r>
      <w:r w:rsidR="00A51FF0">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6"/>
      </w:r>
      <w:r w:rsidR="001E7E38" w:rsidRPr="001E7E38">
        <w:rPr>
          <w:noProof/>
        </w:rPr>
        <w:drawing>
          <wp:inline distT="0" distB="0" distL="0" distR="0" wp14:anchorId="50303C90" wp14:editId="195607A7">
            <wp:extent cx="4650513" cy="3571173"/>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6"/>
                    <a:srcRect l="2882" b="6327"/>
                    <a:stretch/>
                  </pic:blipFill>
                  <pic:spPr bwMode="auto">
                    <a:xfrm>
                      <a:off x="0" y="0"/>
                      <a:ext cx="4651136" cy="357165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37C4D95F"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A51FF0">
        <w:rPr>
          <w:noProof/>
        </w:rPr>
        <w:t>27</w:t>
      </w:r>
      <w:r>
        <w:fldChar w:fldCharType="end"/>
      </w:r>
      <w:r>
        <w:t>: Metamodel output showing species after a 39y simulation</w:t>
      </w:r>
    </w:p>
    <w:p w14:paraId="4DC1C466" w14:textId="37E7CC42" w:rsidR="00234CEE" w:rsidRDefault="00234CEE">
      <w:pPr>
        <w:jc w:val="left"/>
      </w:pPr>
    </w:p>
    <w:p w14:paraId="328D7370" w14:textId="77777777" w:rsidR="003042D3" w:rsidRDefault="003042D3">
      <w:pPr>
        <w:jc w:val="left"/>
      </w:pPr>
      <w:r>
        <w:br w:type="page"/>
      </w:r>
    </w:p>
    <w:p w14:paraId="350C9ACD" w14:textId="77925CA3" w:rsidR="008B53D0" w:rsidRDefault="008B53D0" w:rsidP="008B53D0">
      <w:pPr>
        <w:pStyle w:val="ListParagraph"/>
        <w:numPr>
          <w:ilvl w:val="3"/>
          <w:numId w:val="1"/>
        </w:numPr>
      </w:pPr>
      <w:r>
        <w:lastRenderedPageBreak/>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rPr>
          <w:noProof/>
        </w:rPr>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3213AE60" w14:textId="047C7CA3" w:rsidR="00A82D6B" w:rsidRDefault="003042D3" w:rsidP="003042D3">
      <w:pPr>
        <w:pStyle w:val="Caption"/>
        <w:jc w:val="center"/>
      </w:pPr>
      <w:r>
        <w:t xml:space="preserve">Figure </w:t>
      </w:r>
      <w:r>
        <w:fldChar w:fldCharType="begin"/>
      </w:r>
      <w:r>
        <w:instrText xml:space="preserve"> SEQ Figure \* ARABIC </w:instrText>
      </w:r>
      <w:r>
        <w:fldChar w:fldCharType="separate"/>
      </w:r>
      <w:r w:rsidR="00A51FF0">
        <w:rPr>
          <w:noProof/>
        </w:rPr>
        <w:t>28</w:t>
      </w:r>
      <w:r>
        <w:fldChar w:fldCharType="end"/>
      </w:r>
      <w:r>
        <w:t>: Cross section perpendicular to coastline (Stuyfzand, 1993)</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8"/>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52C939C9"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A51FF0">
        <w:rPr>
          <w:noProof/>
        </w:rPr>
        <w:t>29</w:t>
      </w:r>
      <w:r>
        <w:fldChar w:fldCharType="end"/>
      </w:r>
      <w:r>
        <w:t xml:space="preserve">: Cross section </w:t>
      </w:r>
      <w:commentRangeStart w:id="27"/>
      <w:r>
        <w:t>perpendicular to coastline</w:t>
      </w:r>
      <w:commentRangeEnd w:id="27"/>
      <w:r>
        <w:rPr>
          <w:rStyle w:val="CommentReference"/>
          <w:i w:val="0"/>
          <w:iCs w:val="0"/>
          <w:color w:val="auto"/>
        </w:rPr>
        <w:commentReference w:id="27"/>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rPr>
          <w:noProof/>
        </w:rPr>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9"/>
                    <a:stretch>
                      <a:fillRect/>
                    </a:stretch>
                  </pic:blipFill>
                  <pic:spPr>
                    <a:xfrm>
                      <a:off x="0" y="0"/>
                      <a:ext cx="3839444" cy="6580585"/>
                    </a:xfrm>
                    <a:prstGeom prst="rect">
                      <a:avLst/>
                    </a:prstGeom>
                  </pic:spPr>
                </pic:pic>
              </a:graphicData>
            </a:graphic>
          </wp:inline>
        </w:drawing>
      </w:r>
    </w:p>
    <w:p w14:paraId="27A35F1D" w14:textId="322E7B3D" w:rsidR="00545E43" w:rsidRDefault="00A82D6B" w:rsidP="00BC2A13">
      <w:pPr>
        <w:pStyle w:val="Caption"/>
        <w:jc w:val="left"/>
      </w:pPr>
      <w:r>
        <w:t xml:space="preserve">Figure </w:t>
      </w:r>
      <w:r>
        <w:fldChar w:fldCharType="begin"/>
      </w:r>
      <w:r>
        <w:instrText xml:space="preserve"> SEQ Figure \* ARABIC </w:instrText>
      </w:r>
      <w:r>
        <w:fldChar w:fldCharType="separate"/>
      </w:r>
      <w:r w:rsidR="00A51FF0">
        <w:rPr>
          <w:noProof/>
        </w:rPr>
        <w:t>30</w:t>
      </w:r>
      <w:r>
        <w:fldChar w:fldCharType="end"/>
      </w:r>
      <w:r>
        <w:t xml:space="preserve">: </w:t>
      </w:r>
      <w:commentRangeStart w:id="28"/>
      <w:r>
        <w:t>Fresh</w:t>
      </w:r>
      <w:commentRangeEnd w:id="28"/>
      <w:r w:rsidR="00D01EBB">
        <w:rPr>
          <w:rStyle w:val="CommentReference"/>
          <w:i w:val="0"/>
          <w:iCs w:val="0"/>
          <w:color w:val="auto"/>
        </w:rPr>
        <w:commentReference w:id="28"/>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rPr>
          <w:noProof/>
        </w:rPr>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40"/>
                    <a:stretch>
                      <a:fillRect/>
                    </a:stretch>
                  </pic:blipFill>
                  <pic:spPr>
                    <a:xfrm>
                      <a:off x="0" y="0"/>
                      <a:ext cx="3724275" cy="2533650"/>
                    </a:xfrm>
                    <a:prstGeom prst="rect">
                      <a:avLst/>
                    </a:prstGeom>
                  </pic:spPr>
                </pic:pic>
              </a:graphicData>
            </a:graphic>
          </wp:inline>
        </w:drawing>
      </w:r>
    </w:p>
    <w:p w14:paraId="0EB7EA07" w14:textId="1F06C789" w:rsidR="00012AC3" w:rsidRDefault="00012AC3" w:rsidP="00D91C8F">
      <w:pPr>
        <w:pStyle w:val="Caption"/>
        <w:jc w:val="left"/>
      </w:pPr>
      <w:r>
        <w:t xml:space="preserve">Figure </w:t>
      </w:r>
      <w:r>
        <w:fldChar w:fldCharType="begin"/>
      </w:r>
      <w:r>
        <w:instrText xml:space="preserve"> SEQ Figure \* ARABIC </w:instrText>
      </w:r>
      <w:r>
        <w:fldChar w:fldCharType="separate"/>
      </w:r>
      <w:r w:rsidR="00A51FF0">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44895FFF" w:rsidR="00D91C8F" w:rsidRDefault="00D91C8F" w:rsidP="0004563A">
      <w:pPr>
        <w:rPr>
          <w:rFonts w:ascii="CMU Serif" w:eastAsiaTheme="majorEastAsia" w:hAnsi="CMU Serif" w:cs="CMU Serif"/>
          <w:sz w:val="36"/>
          <w:szCs w:val="36"/>
        </w:rPr>
      </w:pPr>
      <w:r>
        <w:br w:type="page"/>
      </w:r>
    </w:p>
    <w:p w14:paraId="4DB86DC0" w14:textId="2988D9BC"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3DFF6548" w:rsidR="0035577F" w:rsidRDefault="004940DD" w:rsidP="00234094">
      <w:pPr>
        <w:pStyle w:val="Heading2"/>
      </w:pPr>
      <w:r>
        <w:t>Variable groundwater flow in the study area</w:t>
      </w:r>
    </w:p>
    <w:p w14:paraId="4CFF1507" w14:textId="5A62EE99" w:rsidR="004940DD" w:rsidRPr="004940DD" w:rsidRDefault="004940DD" w:rsidP="004940DD">
      <w:pPr>
        <w:pStyle w:val="Heading3"/>
      </w:pPr>
      <w:r>
        <w:t>Flow lower face (FLF)</w:t>
      </w:r>
    </w:p>
    <w:p w14:paraId="01436523" w14:textId="31A59639"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32</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drawing>
          <wp:inline distT="0" distB="0" distL="0" distR="0" wp14:anchorId="2E33FE4B" wp14:editId="1BAF4449">
            <wp:extent cx="3248025" cy="3533775"/>
            <wp:effectExtent l="0" t="0" r="9525" b="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1"/>
                    <a:stretch>
                      <a:fillRect/>
                    </a:stretch>
                  </pic:blipFill>
                  <pic:spPr>
                    <a:xfrm>
                      <a:off x="0" y="0"/>
                      <a:ext cx="3248025" cy="3533775"/>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29"/>
      <w:r>
        <w:t>FLF</w:t>
      </w:r>
      <w:commentRangeEnd w:id="29"/>
      <w:r w:rsidR="00FF6FAC">
        <w:rPr>
          <w:rStyle w:val="CommentReference"/>
          <w:i w:val="0"/>
          <w:iCs w:val="0"/>
          <w:color w:val="auto"/>
        </w:rPr>
        <w:commentReference w:id="29"/>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lastRenderedPageBreak/>
        <w:drawing>
          <wp:inline distT="0" distB="0" distL="0" distR="0" wp14:anchorId="7C6FD90B" wp14:editId="69E66CCF">
            <wp:extent cx="3248025" cy="3533775"/>
            <wp:effectExtent l="0" t="0" r="9525"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1"/>
                    <a:stretch>
                      <a:fillRect/>
                    </a:stretch>
                  </pic:blipFill>
                  <pic:spPr>
                    <a:xfrm>
                      <a:off x="0" y="0"/>
                      <a:ext cx="3248025" cy="3533775"/>
                    </a:xfrm>
                    <a:prstGeom prst="rect">
                      <a:avLst/>
                    </a:prstGeom>
                  </pic:spPr>
                </pic:pic>
              </a:graphicData>
            </a:graphic>
          </wp:inline>
        </w:drawing>
      </w:r>
    </w:p>
    <w:p w14:paraId="67D3EB85" w14:textId="18ADF6B8" w:rsidR="000A4F8F" w:rsidRDefault="004B357C" w:rsidP="004B35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590C3549" w14:textId="18A40E61" w:rsidR="004940DD" w:rsidRDefault="004940DD" w:rsidP="004940DD">
      <w:pPr>
        <w:pStyle w:val="Heading3"/>
      </w:pPr>
      <w:r>
        <w:t>Fresh-saline interface and groundwater salinity</w:t>
      </w:r>
    </w:p>
    <w:p w14:paraId="4AB990F8" w14:textId="206836D4" w:rsidR="00177D78" w:rsidRDefault="004B357C" w:rsidP="00177D78">
      <w:r>
        <w:t xml:space="preserve">The higher downward flow of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A possible reason could be the boundary conditions applied at the edges of the domain. In the OM, the edges of the domain are set as a constant head boundary. This could lead to an underestimation of the depth of the f/s interface (</w:t>
      </w:r>
      <w:r w:rsidR="001976F7" w:rsidRPr="001976F7">
        <w:rPr>
          <w:highlight w:val="lightGray"/>
        </w:rPr>
        <w:t>WHY?</w:t>
      </w:r>
      <w:r w:rsidR="001976F7">
        <w:t>). On the other hand, an impermeable boundary at the edges of the domain could lead to an overestimation of the f/s interface.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1BF63D79" w14:textId="77777777" w:rsidR="00A51FF0" w:rsidRDefault="00A51FF0" w:rsidP="00A51FF0">
      <w:pPr>
        <w:keepNext/>
        <w:jc w:val="center"/>
      </w:pPr>
      <w:r w:rsidRPr="00A51FF0">
        <w:lastRenderedPageBreak/>
        <w:drawing>
          <wp:inline distT="0" distB="0" distL="0" distR="0" wp14:anchorId="7C11194B" wp14:editId="2A8C7097">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42"/>
                    <a:stretch>
                      <a:fillRect/>
                    </a:stretch>
                  </pic:blipFill>
                  <pic:spPr>
                    <a:xfrm>
                      <a:off x="0" y="0"/>
                      <a:ext cx="3992839" cy="3178876"/>
                    </a:xfrm>
                    <a:prstGeom prst="rect">
                      <a:avLst/>
                    </a:prstGeom>
                  </pic:spPr>
                </pic:pic>
              </a:graphicData>
            </a:graphic>
          </wp:inline>
        </w:drawing>
      </w:r>
    </w:p>
    <w:p w14:paraId="15D4AAE4" w14:textId="1367784D" w:rsidR="00175CE1" w:rsidRPr="00175CE1" w:rsidRDefault="00A51FF0" w:rsidP="003A7D1B">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100y MM simulation showing origins of groundwater, CS along coastline</w:t>
      </w:r>
    </w:p>
    <w:p w14:paraId="2D0ED084" w14:textId="77777777" w:rsidR="00A51FF0" w:rsidRDefault="00A51FF0" w:rsidP="00A51FF0">
      <w:pPr>
        <w:keepNext/>
        <w:jc w:val="center"/>
      </w:pPr>
      <w:r w:rsidRPr="00A51FF0">
        <w:drawing>
          <wp:inline distT="0" distB="0" distL="0" distR="0" wp14:anchorId="5B32A726" wp14:editId="4F9D72DD">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43"/>
                    <a:stretch>
                      <a:fillRect/>
                    </a:stretch>
                  </pic:blipFill>
                  <pic:spPr>
                    <a:xfrm>
                      <a:off x="0" y="0"/>
                      <a:ext cx="4015527" cy="3118195"/>
                    </a:xfrm>
                    <a:prstGeom prst="rect">
                      <a:avLst/>
                    </a:prstGeom>
                  </pic:spPr>
                </pic:pic>
              </a:graphicData>
            </a:graphic>
          </wp:inline>
        </w:drawing>
      </w:r>
    </w:p>
    <w:p w14:paraId="60D9BD6B" w14:textId="69D678A2" w:rsidR="00A51FF0" w:rsidRDefault="00A51FF0" w:rsidP="00A51FF0">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100y MM simulation showing origins of groundwater, CS perpendicular to coastline</w:t>
      </w:r>
    </w:p>
    <w:p w14:paraId="4C36EA8D" w14:textId="376D04CF" w:rsidR="00175CE1" w:rsidRDefault="003A7D1B" w:rsidP="003A7D1B">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shows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w:t>
      </w:r>
      <w:commentRangeStart w:id="30"/>
      <w:r>
        <w:t>The f/s interface</w:t>
      </w:r>
      <w:commentRangeEnd w:id="30"/>
      <w:r>
        <w:rPr>
          <w:rStyle w:val="CommentReference"/>
        </w:rPr>
        <w:commentReference w:id="30"/>
      </w:r>
      <w:r>
        <w:t xml:space="preserve"> also appears steady over time in the presented cross sections in </w:t>
      </w:r>
      <w:r w:rsidRPr="003A7D1B">
        <w:rPr>
          <w:highlight w:val="lightGray"/>
        </w:rPr>
        <w:t>Figures 35 and 36.</w:t>
      </w:r>
      <w:r>
        <w:t xml:space="preserve"> </w:t>
      </w:r>
    </w:p>
    <w:p w14:paraId="0A6CD161" w14:textId="0BA92F30" w:rsidR="004940DD" w:rsidRPr="004940DD" w:rsidRDefault="00794F98" w:rsidP="00A51FF0">
      <w:r>
        <w:lastRenderedPageBreak/>
        <w:t xml:space="preserve">In this study, the fresh-saline interface is calculated as the minimum depth at which the groundwater salinity becomes brackish (see </w:t>
      </w:r>
      <w:r w:rsidRPr="00794F98">
        <w:rPr>
          <w:highlight w:val="lightGray"/>
        </w:rPr>
        <w:t>Section 2.5.2</w:t>
      </w:r>
      <w:r>
        <w:t xml:space="preserve">). As seen from the CS3 and CS4 from the groundwater salinity cross sections perpendicular to the coastline presented in </w:t>
      </w:r>
      <w:r w:rsidRPr="00794F98">
        <w:rPr>
          <w:highlight w:val="lightGray"/>
        </w:rPr>
        <w:t>Figure 21</w:t>
      </w:r>
      <w:r>
        <w:t>, in the OM, the saline groundwater intrusion occurs at a shallow depth, below which there is more fresh groundwater. Calculating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t xml:space="preserve">A shallow intrusion zone near the coastline also recognizable in the cross section of (Stuyfzand, 1993) in </w:t>
      </w:r>
      <w:r w:rsidR="00056D3B" w:rsidRPr="00056D3B">
        <w:rPr>
          <w:highlight w:val="lightGray"/>
        </w:rPr>
        <w:t>Figure 27</w:t>
      </w:r>
      <w:r w:rsidR="00056D3B">
        <w:t xml:space="preserve">, with similar extent (100s of m) but is unrepresented in the calculated metamodel groundwater salinity. </w:t>
      </w:r>
    </w:p>
    <w:p w14:paraId="3439ACDA" w14:textId="0029513A"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 xml:space="preserve">he general form of Darcy’s law for variable density conditions </w:t>
      </w:r>
      <w:r w:rsidR="00175CE1" w:rsidRPr="00175CE1">
        <w:rPr>
          <w:highlight w:val="lightGray"/>
        </w:rPr>
        <w:t>(Bear, 1979)</w:t>
      </w:r>
      <w:r w:rsidR="00B27F76">
        <w:t>, may be rewritten as (</w:t>
      </w:r>
      <w:proofErr w:type="spellStart"/>
      <w:r w:rsidR="00B27F76" w:rsidRPr="00193733">
        <w:rPr>
          <w:highlight w:val="lightGray"/>
        </w:rPr>
        <w:t>Senger</w:t>
      </w:r>
      <w:proofErr w:type="spellEnd"/>
      <w:r w:rsidR="00B27F76" w:rsidRPr="00193733">
        <w:rPr>
          <w:highlight w:val="lightGray"/>
        </w:rPr>
        <w:t xml:space="preserve"> and Fogg, 1990</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r>
                    <w:rPr>
                      <w:rFonts w:ascii="Cambria Math" w:hAnsi="Cambria Math"/>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77777777" w:rsidR="00193733" w:rsidRDefault="00175CE1" w:rsidP="00894ADE">
      <w:r w:rsidRPr="00175CE1">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proofErr w:type="spellStart"/>
      <w:r w:rsidR="00894ADE" w:rsidRPr="00193733">
        <w:rPr>
          <w:rFonts w:eastAsiaTheme="minorEastAsia"/>
          <w:highlight w:val="lightGray"/>
        </w:rPr>
        <w:t>Holtzberger</w:t>
      </w:r>
      <w:proofErr w:type="spellEnd"/>
      <w:r w:rsidR="00894ADE" w:rsidRPr="00193733">
        <w:rPr>
          <w:rFonts w:eastAsiaTheme="minorEastAsia"/>
          <w:highlight w:val="lightGray"/>
        </w:rPr>
        <w:t xml:space="preserve"> 1998, Oude </w:t>
      </w:r>
      <w:proofErr w:type="spellStart"/>
      <w:r w:rsidR="00894ADE" w:rsidRPr="00193733">
        <w:rPr>
          <w:rFonts w:eastAsiaTheme="minorEastAsia"/>
          <w:highlight w:val="lightGray"/>
        </w:rPr>
        <w:t>Essink</w:t>
      </w:r>
      <w:proofErr w:type="spellEnd"/>
      <w:r w:rsidR="00894ADE" w:rsidRPr="00193733">
        <w:rPr>
          <w:rFonts w:eastAsiaTheme="minorEastAsia"/>
          <w:highlight w:val="lightGray"/>
        </w:rPr>
        <w:t>, 1998</w:t>
      </w:r>
      <w:r w:rsidR="00894ADE">
        <w:rPr>
          <w:rFonts w:eastAsiaTheme="minorEastAsia"/>
        </w:rPr>
        <w:t xml:space="preserve">). The vertical buoyancy term can be of similar magnitude as the horizontal component, 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898BF08" w14:textId="7E61F429" w:rsidR="0004563A" w:rsidRDefault="00193733" w:rsidP="00894ADE">
      <w:r>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may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5D50DB47" w14:textId="77777777" w:rsidR="004940DD" w:rsidRDefault="004940DD" w:rsidP="00894ADE"/>
    <w:p w14:paraId="5B9ADCF2" w14:textId="77777777" w:rsidR="0004563A" w:rsidRDefault="0004563A">
      <w:pPr>
        <w:jc w:val="left"/>
      </w:pPr>
      <w:r>
        <w:br w:type="page"/>
      </w:r>
    </w:p>
    <w:p w14:paraId="5F1B0CE6" w14:textId="77777777" w:rsidR="0004563A" w:rsidRDefault="0004563A" w:rsidP="0004563A">
      <w:pPr>
        <w:jc w:val="left"/>
      </w:pPr>
      <w:r>
        <w:lastRenderedPageBreak/>
        <w:t xml:space="preserve">Extending the metamodel’s simulation time to 200y gives the following development of the f/s interface shown in </w:t>
      </w:r>
      <w:r w:rsidRPr="00453E7C">
        <w:rPr>
          <w:highlight w:val="lightGray"/>
        </w:rPr>
        <w:t>Figure 32</w:t>
      </w:r>
    </w:p>
    <w:p w14:paraId="2BCABD5B" w14:textId="3B770873" w:rsidR="0004563A" w:rsidRDefault="00C8006B" w:rsidP="0004563A">
      <w:pPr>
        <w:keepNext/>
        <w:jc w:val="center"/>
      </w:pPr>
      <w:r w:rsidRPr="00C8006B">
        <w:drawing>
          <wp:inline distT="0" distB="0" distL="0" distR="0" wp14:anchorId="608BEF61" wp14:editId="736B40A4">
            <wp:extent cx="3724275" cy="2533650"/>
            <wp:effectExtent l="0" t="0" r="9525" b="0"/>
            <wp:docPr id="35" name="Picture 35"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44"/>
                    <a:stretch>
                      <a:fillRect/>
                    </a:stretch>
                  </pic:blipFill>
                  <pic:spPr>
                    <a:xfrm>
                      <a:off x="0" y="0"/>
                      <a:ext cx="3724275" cy="2533650"/>
                    </a:xfrm>
                    <a:prstGeom prst="rect">
                      <a:avLst/>
                    </a:prstGeom>
                  </pic:spPr>
                </pic:pic>
              </a:graphicData>
            </a:graphic>
          </wp:inline>
        </w:drawing>
      </w:r>
    </w:p>
    <w:p w14:paraId="1BCF11D2" w14:textId="102C9F29" w:rsidR="0004563A" w:rsidRDefault="0004563A" w:rsidP="0004563A">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Development of fresh-saline interface over </w:t>
      </w:r>
      <w:r w:rsidR="00C8006B">
        <w:t>2</w:t>
      </w:r>
      <w:r>
        <w:t>00 y simulation</w:t>
      </w:r>
    </w:p>
    <w:p w14:paraId="389F2C68" w14:textId="7E9FEEF9" w:rsidR="003A7D1B" w:rsidRDefault="004940DD" w:rsidP="004940DD">
      <w:pPr>
        <w:pStyle w:val="Heading3"/>
      </w:pPr>
      <w:r>
        <w:t>Effects of regridding</w:t>
      </w:r>
    </w:p>
    <w:p w14:paraId="083E2CE7" w14:textId="67A06382" w:rsidR="004940DD" w:rsidRPr="004940DD" w:rsidRDefault="004940DD" w:rsidP="004940DD">
      <w:r>
        <w:t xml:space="preserve">In the context of this study, it could be stated that a model’s empiricism is inversely proportional to its scale, as discussed in </w:t>
      </w:r>
      <w:r w:rsidRPr="004940DD">
        <w:rPr>
          <w:highlight w:val="lightGray"/>
        </w:rPr>
        <w:t>Section 2.1</w:t>
      </w:r>
      <w:r>
        <w:t xml:space="preserve">. By increasing a model’s scale,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p>
    <w:p w14:paraId="43C9F767" w14:textId="3DBD40B7" w:rsidR="00823CB5" w:rsidRPr="00823CB5" w:rsidRDefault="00823CB5" w:rsidP="00823CB5">
      <w:pPr>
        <w:pStyle w:val="Heading2"/>
        <w:rPr>
          <w:sz w:val="36"/>
          <w:szCs w:val="36"/>
        </w:rPr>
      </w:pPr>
      <w:r>
        <w:t>Model optimization</w:t>
      </w:r>
    </w:p>
    <w:p w14:paraId="1160C17C" w14:textId="77777777" w:rsidR="002772CD" w:rsidRDefault="00823CB5" w:rsidP="00823CB5">
      <w:r>
        <w:t>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w:t>
      </w:r>
      <w:r>
        <w:t>. A better investment for site specific models for groundwater management support may</w:t>
      </w:r>
      <w:r w:rsidR="002772CD">
        <w:t xml:space="preserve"> therefore</w:t>
      </w:r>
      <w:r>
        <w:t xml:space="preserve"> be </w:t>
      </w:r>
      <w:r w:rsidR="002772CD">
        <w:t xml:space="preserve">the acquisition of quality data. In this research, the HyFA has proven to be a valuable tool for model validation when compared with modeled origin species. </w:t>
      </w:r>
    </w:p>
    <w:p w14:paraId="5E039E2F" w14:textId="77777777" w:rsidR="00D326E2" w:rsidRDefault="002772CD" w:rsidP="00823CB5">
      <w:r>
        <w:t xml:space="preserve">When considering model efficiency, the effort in creating the model should also be incorporated. Models that have high predictive capabilities may be unvaluable for groundwater management when their underlying approach cannot be translated to other sites because it requires too much time. A balance between efficiency and accuracy may be easier obtained when introducing data to the model like the HyFA. For the aim of the original model (investigating the feasibility of brackish groundwater as a source of drinking water), early incorporation of the HyFA data to the model may have inferred the use of an even larger horizontal cell size. </w:t>
      </w:r>
      <w:r w:rsidRPr="00842459">
        <w:rPr>
          <w:highlight w:val="lightGray"/>
        </w:rPr>
        <w:t>The metamodel</w:t>
      </w:r>
      <w:r w:rsidR="00842459" w:rsidRPr="00842459">
        <w:rPr>
          <w:highlight w:val="lightGray"/>
        </w:rPr>
        <w:t>’s predictive capabilities have shown to be valid with the HyFA</w:t>
      </w:r>
      <w:r w:rsidR="00842459">
        <w:t>.</w:t>
      </w:r>
    </w:p>
    <w:p w14:paraId="72C34B41" w14:textId="77777777" w:rsidR="00D326E2" w:rsidRDefault="00D326E2" w:rsidP="00823CB5"/>
    <w:p w14:paraId="6B5615F3" w14:textId="449FA7DD" w:rsidR="00823CB5" w:rsidRDefault="00D326E2" w:rsidP="00823CB5">
      <w:pPr>
        <w:rPr>
          <w:rFonts w:ascii="CMU Serif" w:eastAsiaTheme="majorEastAsia" w:hAnsi="CMU Serif" w:cs="CMU Serif"/>
          <w:sz w:val="28"/>
          <w:szCs w:val="28"/>
        </w:rPr>
      </w:pPr>
      <w:r>
        <w:lastRenderedPageBreak/>
        <w:t>Coming back to the statement by (Langevin and Panday, 2012)</w:t>
      </w:r>
      <w:r w:rsidR="004C4391">
        <w:t xml:space="preserve"> on the future of groundwater modeling</w:t>
      </w:r>
      <w:r>
        <w:t>: “[In the future] w</w:t>
      </w:r>
      <w:r>
        <w:t>e will use models more effectively to not only seek solutions but also analyze data significance and guide further collection efforts toward minimizing uncertainty in predictions</w:t>
      </w:r>
      <w:r>
        <w:t xml:space="preserve">”, the significance of groundwater salinity data and HyFA have proven to be insightful for investigating a coastal fresh groundwater reservoir. When incorporated from the start of the project, together with collection of hydraulic head data, they may be feasible to incorporate in groundwater modeling practice. </w:t>
      </w:r>
    </w:p>
    <w:p w14:paraId="34E5D075" w14:textId="0F167368" w:rsidR="00CB5920" w:rsidRPr="00CB5920" w:rsidRDefault="007A2812" w:rsidP="007A2812">
      <w:pPr>
        <w:pStyle w:val="Heading2"/>
      </w:pPr>
      <w:r>
        <w:t>Discussion 2</w:t>
      </w:r>
    </w:p>
    <w:p w14:paraId="24A25246" w14:textId="77C0B183" w:rsidR="00FD25C1" w:rsidRDefault="007F6C07" w:rsidP="007F6C07">
      <w:pPr>
        <w:pStyle w:val="ListParagraph"/>
        <w:numPr>
          <w:ilvl w:val="0"/>
          <w:numId w:val="38"/>
        </w:numPr>
        <w:rPr>
          <w:i/>
          <w:iCs/>
        </w:rPr>
      </w:pPr>
      <w:r>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 xml:space="preserve">study. Can provide an extra argument, combining with </w:t>
      </w:r>
      <w:proofErr w:type="spellStart"/>
      <w:r>
        <w:t>Gualbert</w:t>
      </w:r>
      <w:proofErr w:type="spellEnd"/>
      <w:r>
        <w: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 xml:space="preserve">Introduce the contradiction of these two arguments by </w:t>
      </w:r>
      <w:proofErr w:type="spellStart"/>
      <w:r>
        <w:t>Delsman’s</w:t>
      </w:r>
      <w:proofErr w:type="spellEnd"/>
      <w:r>
        <w:t xml:space="preserve">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53ED24FF" w:rsidR="007F6C07" w:rsidRDefault="007F6C07" w:rsidP="00AD7621">
      <w:pPr>
        <w:pStyle w:val="ListParagraph"/>
        <w:numPr>
          <w:ilvl w:val="1"/>
          <w:numId w:val="38"/>
        </w:numPr>
      </w:pPr>
      <w:r>
        <w:t xml:space="preserve">Discuss, </w:t>
      </w:r>
      <w:r w:rsidR="00AD7621">
        <w:t xml:space="preserve">discuss </w:t>
      </w:r>
      <w:proofErr w:type="spellStart"/>
      <w:r w:rsidR="00AD7621">
        <w:t>discuss</w:t>
      </w:r>
      <w:proofErr w:type="spellEnd"/>
      <w:r>
        <w:t xml:space="preserve"> </w:t>
      </w:r>
    </w:p>
    <w:p w14:paraId="4BB12D8B" w14:textId="672CFE57" w:rsidR="000D78AD" w:rsidRPr="007F6C07" w:rsidRDefault="000D78AD" w:rsidP="000D78AD">
      <w:pPr>
        <w:pStyle w:val="ListParagraph"/>
        <w:numPr>
          <w:ilvl w:val="0"/>
          <w:numId w:val="38"/>
        </w:numPr>
      </w:pPr>
      <w:r w:rsidRPr="00E12AF8">
        <w:rPr>
          <w:highlight w:val="lightGray"/>
        </w:rPr>
        <w:t>Page 32 Delsman – boundary conditions and initial salinity, False SS assumptions</w:t>
      </w:r>
    </w:p>
    <w:p w14:paraId="0CC22A85" w14:textId="0FAEE669" w:rsidR="000D78AD" w:rsidRPr="00823CB5" w:rsidRDefault="000D78AD" w:rsidP="00823CB5">
      <w:pPr>
        <w:rPr>
          <w:sz w:val="36"/>
          <w:szCs w:val="36"/>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5"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6"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7"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8"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proofErr w:type="spellStart"/>
      <w:r w:rsidRPr="00E6661D">
        <w:lastRenderedPageBreak/>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F5824AE" w14:textId="012BE964" w:rsidR="0063660E" w:rsidRPr="00823CB5" w:rsidRDefault="00823CB5">
      <w:pPr>
        <w:jc w:val="left"/>
      </w:pPr>
      <w:r w:rsidRPr="00823CB5">
        <w:t>Langevin C. D., Panday, S. (2012) Futu</w:t>
      </w:r>
      <w:r>
        <w:t xml:space="preserve">re of Groundwater Modeling , USGS., </w:t>
      </w:r>
      <w:r>
        <w:t>Vol. 50, No. 3–GROUND WATER–May-June 2012</w:t>
      </w:r>
      <w:r>
        <w:t xml:space="preserve">. </w:t>
      </w:r>
      <w:proofErr w:type="spellStart"/>
      <w:r>
        <w:t>doi</w:t>
      </w:r>
      <w:proofErr w:type="spellEnd"/>
      <w:r>
        <w:t>: 10.1111/j.1745-6584.2012.00937.x</w:t>
      </w:r>
      <w:r w:rsidR="0063660E" w:rsidRPr="00823CB5">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7"/>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4AA3F4D8" w:rsidR="00102B29" w:rsidRPr="00E332B5" w:rsidRDefault="00102B29" w:rsidP="00102B29">
      <w:pPr>
        <w:pStyle w:val="Heading1"/>
      </w:pPr>
      <w:r>
        <w:lastRenderedPageBreak/>
        <w:t>Appendix C: detailed script structure</w:t>
      </w:r>
    </w:p>
    <w:sectPr w:rsidR="00102B29" w:rsidRPr="00E332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2" w:author="Justus Krantz" w:date="2023-05-18T16:22:00Z" w:initials="JK">
    <w:p w14:paraId="25EDC58D" w14:textId="77777777" w:rsidR="00842459" w:rsidRDefault="00842459" w:rsidP="0018572B">
      <w:pPr>
        <w:pStyle w:val="CommentText"/>
        <w:jc w:val="left"/>
      </w:pPr>
      <w:r>
        <w:rPr>
          <w:rStyle w:val="CommentReference"/>
        </w:rPr>
        <w:annotationRef/>
      </w:r>
      <w:r>
        <w:t>Move to 2.2.1 Domain and discretization?</w:t>
      </w:r>
    </w:p>
  </w:comment>
  <w:comment w:id="5" w:author="Justus Krantz" w:date="2023-05-18T15:41:00Z" w:initials="JK">
    <w:p w14:paraId="46B24B42" w14:textId="716EC0E9" w:rsidR="004940DD" w:rsidRDefault="004940DD" w:rsidP="000A078B">
      <w:pPr>
        <w:pStyle w:val="CommentText"/>
        <w:jc w:val="left"/>
      </w:pPr>
      <w:r>
        <w:rPr>
          <w:rStyle w:val="CommentReference"/>
        </w:rPr>
        <w:annotationRef/>
      </w:r>
      <w:r>
        <w:t>Needs references</w:t>
      </w:r>
    </w:p>
  </w:comment>
  <w:comment w:id="6" w:author="Justus Krantz" w:date="2023-05-10T11:25:00Z" w:initials="JK">
    <w:p w14:paraId="6E4A5114" w14:textId="5D832671" w:rsidR="00302967" w:rsidRDefault="00302967" w:rsidP="00103C48">
      <w:pPr>
        <w:pStyle w:val="CommentText"/>
        <w:jc w:val="left"/>
      </w:pPr>
      <w:r>
        <w:rPr>
          <w:rStyle w:val="CommentReference"/>
        </w:rPr>
        <w:annotationRef/>
      </w:r>
      <w:r>
        <w:t>Change validation to validation/calibration</w:t>
      </w:r>
    </w:p>
  </w:comment>
  <w:comment w:id="7"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8"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9"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10" w:author="Justus Krantz" w:date="2023-05-17T12:05:00Z" w:initials="JK">
    <w:p w14:paraId="3CED3780" w14:textId="77777777" w:rsidR="00815A37" w:rsidRDefault="00815A37" w:rsidP="007E5982">
      <w:pPr>
        <w:pStyle w:val="CommentText"/>
        <w:jc w:val="left"/>
      </w:pPr>
      <w:r>
        <w:rPr>
          <w:rStyle w:val="CommentReference"/>
        </w:rPr>
        <w:annotationRef/>
      </w:r>
      <w:r>
        <w:t>Add literature</w:t>
      </w:r>
    </w:p>
  </w:comment>
  <w:comment w:id="11" w:author="Justus Krantz" w:date="2023-05-11T10:12:00Z" w:initials="JK">
    <w:p w14:paraId="724461C5" w14:textId="5AB1FF15" w:rsidR="00FC5ECD" w:rsidRDefault="00FC5ECD" w:rsidP="00794C0F">
      <w:pPr>
        <w:pStyle w:val="CommentText"/>
        <w:jc w:val="left"/>
      </w:pPr>
      <w:r>
        <w:rPr>
          <w:rStyle w:val="CommentReference"/>
        </w:rPr>
        <w:annotationRef/>
      </w:r>
      <w:r>
        <w:t>Go into this after regridding?</w:t>
      </w:r>
    </w:p>
  </w:comment>
  <w:comment w:id="12"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13"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4" w:author="Justus Krantz" w:date="2023-05-17T14:42:00Z" w:initials="JK">
    <w:p w14:paraId="59ADCC1B" w14:textId="77777777" w:rsidR="00D91C8F" w:rsidRDefault="00D91C8F" w:rsidP="00191E1E">
      <w:pPr>
        <w:pStyle w:val="CommentText"/>
        <w:jc w:val="left"/>
      </w:pPr>
      <w:r>
        <w:rPr>
          <w:rStyle w:val="CommentReference"/>
        </w:rPr>
        <w:annotationRef/>
      </w:r>
      <w:r>
        <w:t>HyFA en F/S interface omdraaien?</w:t>
      </w:r>
    </w:p>
  </w:comment>
  <w:comment w:id="15" w:author="Justus Krantz" w:date="2023-05-11T12:10:00Z" w:initials="JK">
    <w:p w14:paraId="664A478E" w14:textId="410507C2" w:rsidR="00747FB3" w:rsidRDefault="00DE4FC2" w:rsidP="007354D9">
      <w:pPr>
        <w:pStyle w:val="CommentText"/>
        <w:jc w:val="left"/>
      </w:pPr>
      <w:r>
        <w:rPr>
          <w:rStyle w:val="CommentReference"/>
        </w:rPr>
        <w:annotationRef/>
      </w:r>
      <w:r w:rsidR="00747FB3">
        <w:t>What does this mean for the calculated fresh-saline interface, is this really the fresh-brackish interface? Look to Oude Essink</w:t>
      </w:r>
    </w:p>
  </w:comment>
  <w:comment w:id="16" w:author="Justus Krantz" w:date="2023-05-11T13:50:00Z" w:initials="JK">
    <w:p w14:paraId="508B6119" w14:textId="51FC92D0" w:rsidR="00747FB3" w:rsidRDefault="00747FB3" w:rsidP="00AF2933">
      <w:pPr>
        <w:pStyle w:val="CommentText"/>
        <w:jc w:val="left"/>
      </w:pPr>
      <w:r>
        <w:rPr>
          <w:rStyle w:val="CommentReference"/>
        </w:rPr>
        <w:annotationRef/>
      </w:r>
      <w:r>
        <w:t>In the presented plots in the results, the fresh-saline interface is really the fresh-brackish grounwdwater interface</w:t>
      </w:r>
    </w:p>
  </w:comment>
  <w:comment w:id="17" w:author="Justus Krantz" w:date="2023-05-11T13:58:00Z" w:initials="JK">
    <w:p w14:paraId="7A729A4B" w14:textId="77777777" w:rsidR="00747FB3" w:rsidRDefault="00747FB3" w:rsidP="006C1C08">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18" w:author="Justus Krantz" w:date="2023-05-11T14:00:00Z" w:initials="JK">
    <w:p w14:paraId="2ACCAB35" w14:textId="77777777" w:rsidR="00747FB3" w:rsidRDefault="00747FB3" w:rsidP="00B94188">
      <w:pPr>
        <w:pStyle w:val="CommentText"/>
        <w:jc w:val="left"/>
      </w:pPr>
      <w:r>
        <w:rPr>
          <w:rStyle w:val="CommentReference"/>
        </w:rPr>
        <w:annotationRef/>
      </w:r>
      <w:r>
        <w:t>Discuss with Huite?</w:t>
      </w:r>
    </w:p>
  </w:comment>
  <w:comment w:id="19" w:author="Justus Krantz" w:date="2023-05-11T14:54:00Z" w:initials="JK">
    <w:p w14:paraId="5145E210" w14:textId="77777777" w:rsidR="00315B32" w:rsidRDefault="00315B32" w:rsidP="00266DD4">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20" w:author="Justus Krantz" w:date="2023-05-17T14:29:00Z" w:initials="JK">
    <w:p w14:paraId="3E27F07D" w14:textId="77777777" w:rsidR="00BC2A13" w:rsidRDefault="00BC2A13" w:rsidP="00D75DFB">
      <w:pPr>
        <w:pStyle w:val="CommentText"/>
        <w:jc w:val="left"/>
      </w:pPr>
      <w:r>
        <w:rPr>
          <w:rStyle w:val="CommentReference"/>
        </w:rPr>
        <w:annotationRef/>
      </w:r>
      <w:r>
        <w:t>So where is the fresh-saline interface? Or name it a fresh-brackish groundwater interface</w:t>
      </w:r>
    </w:p>
  </w:comment>
  <w:comment w:id="21" w:author="Justus Krantz" w:date="2023-05-18T10:02:00Z" w:initials="JK">
    <w:p w14:paraId="24BBC4AB" w14:textId="77777777" w:rsidR="001976F7" w:rsidRDefault="001976F7" w:rsidP="00CF6154">
      <w:pPr>
        <w:pStyle w:val="CommentText"/>
        <w:jc w:val="left"/>
      </w:pPr>
      <w:r>
        <w:rPr>
          <w:rStyle w:val="CommentReference"/>
        </w:rPr>
        <w:annotationRef/>
      </w:r>
      <w:r>
        <w:t>Move to discussion? Of importance for the f/s interface development, or also mention here?</w:t>
      </w:r>
    </w:p>
  </w:comment>
  <w:comment w:id="22" w:author="Justus Krantz" w:date="2023-05-17T16:28:00Z" w:initials="JK">
    <w:p w14:paraId="3A38BF8C" w14:textId="51676A84"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23"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24"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25"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6"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7" w:author="Justus Krantz" w:date="2023-05-16T16:39:00Z" w:initials="JK">
    <w:p w14:paraId="4D5FE564" w14:textId="77777777"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8"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9" w:author="Justus Krantz" w:date="2023-05-17T17:58:00Z" w:initials="JK">
    <w:p w14:paraId="101C3EA5" w14:textId="77777777" w:rsidR="00FF6FAC" w:rsidRDefault="00FF6FAC" w:rsidP="006B1B89">
      <w:pPr>
        <w:pStyle w:val="CommentText"/>
        <w:jc w:val="left"/>
      </w:pPr>
      <w:r>
        <w:rPr>
          <w:rStyle w:val="CommentReference"/>
        </w:rPr>
        <w:annotationRef/>
      </w:r>
      <w:r>
        <w:t>Do the same for hydraulic heads?</w:t>
      </w:r>
    </w:p>
  </w:comment>
  <w:comment w:id="30" w:author="Justus Krantz" w:date="2023-05-18T10:52:00Z" w:initials="JK">
    <w:p w14:paraId="59EF6B5A" w14:textId="77777777" w:rsidR="003A7D1B" w:rsidRDefault="003A7D1B" w:rsidP="003A7D1B">
      <w:pPr>
        <w:pStyle w:val="CommentText"/>
        <w:jc w:val="left"/>
      </w:pPr>
      <w:r>
        <w:rPr>
          <w:rStyle w:val="CommentReference"/>
        </w:rPr>
        <w:annotationRef/>
      </w:r>
      <w:r>
        <w:t>Mention before, during methods that the f/s interface is interpreted as the f/b interface in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25EDC58D" w15:done="0"/>
  <w15:commentEx w15:paraId="46B24B42" w15:done="0"/>
  <w15:commentEx w15:paraId="6E4A5114" w15:done="0"/>
  <w15:commentEx w15:paraId="134DFE62" w15:done="0"/>
  <w15:commentEx w15:paraId="6AC915DD" w15:done="0"/>
  <w15:commentEx w15:paraId="351776B9" w15:done="0"/>
  <w15:commentEx w15:paraId="3CED3780" w15:done="0"/>
  <w15:commentEx w15:paraId="724461C5" w15:done="0"/>
  <w15:commentEx w15:paraId="66C293B1" w15:done="0"/>
  <w15:commentEx w15:paraId="1CAC7B2C" w15:done="0"/>
  <w15:commentEx w15:paraId="59ADCC1B" w15:done="0"/>
  <w15:commentEx w15:paraId="664A478E" w15:done="1"/>
  <w15:commentEx w15:paraId="508B6119" w15:paraIdParent="664A478E" w15:done="1"/>
  <w15:commentEx w15:paraId="7A729A4B" w15:paraIdParent="664A478E" w15:done="1"/>
  <w15:commentEx w15:paraId="2ACCAB35" w15:paraIdParent="664A478E" w15:done="1"/>
  <w15:commentEx w15:paraId="5145E210" w15:paraIdParent="664A478E" w15:done="1"/>
  <w15:commentEx w15:paraId="3E27F07D" w15:done="0"/>
  <w15:commentEx w15:paraId="24BBC4AB" w15:done="0"/>
  <w15:commentEx w15:paraId="3A38BF8C" w15:done="0"/>
  <w15:commentEx w15:paraId="3CC9B36D" w15:done="1"/>
  <w15:commentEx w15:paraId="5693C3EB" w15:done="0"/>
  <w15:commentEx w15:paraId="3E59D9F8" w15:done="0"/>
  <w15:commentEx w15:paraId="7B361D30" w15:done="0"/>
  <w15:commentEx w15:paraId="4D5FE564" w15:done="0"/>
  <w15:commentEx w15:paraId="0DF4BF80" w15:done="1"/>
  <w15:commentEx w15:paraId="101C3EA5" w15:done="0"/>
  <w15:commentEx w15:paraId="59EF6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10CF49" w16cex:dateUtc="2023-05-18T14:22:00Z"/>
  <w16cex:commentExtensible w16cex:durableId="2810C58E" w16cex:dateUtc="2023-05-18T13:41:00Z"/>
  <w16cex:commentExtensible w16cex:durableId="2805FDAB" w16cex:dateUtc="2023-05-10T09:25:00Z"/>
  <w16cex:commentExtensible w16cex:durableId="280F5952" w16cex:dateUtc="2023-05-17T11:46:00Z"/>
  <w16cex:commentExtensible w16cex:durableId="27FF7A1B" w16cex:dateUtc="2023-05-05T10:50:00Z"/>
  <w16cex:commentExtensible w16cex:durableId="280F3012" w16cex:dateUtc="2023-05-17T08:50:00Z"/>
  <w16cex:commentExtensible w16cex:durableId="280F419C" w16cex:dateUtc="2023-05-17T10:05:00Z"/>
  <w16cex:commentExtensible w16cex:durableId="28073E10" w16cex:dateUtc="2023-05-11T08:12:00Z"/>
  <w16cex:commentExtensible w16cex:durableId="2806093D" w16cex:dateUtc="2023-05-10T10:14:00Z"/>
  <w16cex:commentExtensible w16cex:durableId="280607B4" w16cex:dateUtc="2023-05-10T10:08:00Z"/>
  <w16cex:commentExtensible w16cex:durableId="280F666C" w16cex:dateUtc="2023-05-17T12:42:00Z"/>
  <w16cex:commentExtensible w16cex:durableId="2807599A" w16cex:dateUtc="2023-05-11T10:10:00Z"/>
  <w16cex:commentExtensible w16cex:durableId="28077115" w16cex:dateUtc="2023-05-11T11:50:00Z"/>
  <w16cex:commentExtensible w16cex:durableId="280772F2" w16cex:dateUtc="2023-05-11T11:58:00Z"/>
  <w16cex:commentExtensible w16cex:durableId="2807736B" w16cex:dateUtc="2023-05-11T12:00:00Z"/>
  <w16cex:commentExtensible w16cex:durableId="2807801A" w16cex:dateUtc="2023-05-11T12:54:00Z"/>
  <w16cex:commentExtensible w16cex:durableId="280F634F" w16cex:dateUtc="2023-05-17T12:29:00Z"/>
  <w16cex:commentExtensible w16cex:durableId="28107649" w16cex:dateUtc="2023-05-18T08:02: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0E3041" w16cex:dateUtc="2023-05-16T14:39:00Z"/>
  <w16cex:commentExtensible w16cex:durableId="280F533C" w16cex:dateUtc="2023-05-17T11:21:00Z"/>
  <w16cex:commentExtensible w16cex:durableId="280F9451" w16cex:dateUtc="2023-05-17T15:58:00Z"/>
  <w16cex:commentExtensible w16cex:durableId="28108206" w16cex:dateUtc="2023-05-18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25EDC58D" w16cid:durableId="2810CF49"/>
  <w16cid:commentId w16cid:paraId="46B24B42" w16cid:durableId="2810C58E"/>
  <w16cid:commentId w16cid:paraId="6E4A5114" w16cid:durableId="2805FDAB"/>
  <w16cid:commentId w16cid:paraId="134DFE62" w16cid:durableId="280F5952"/>
  <w16cid:commentId w16cid:paraId="6AC915DD" w16cid:durableId="27FF7A1B"/>
  <w16cid:commentId w16cid:paraId="351776B9" w16cid:durableId="280F3012"/>
  <w16cid:commentId w16cid:paraId="3CED3780" w16cid:durableId="280F419C"/>
  <w16cid:commentId w16cid:paraId="724461C5" w16cid:durableId="28073E10"/>
  <w16cid:commentId w16cid:paraId="66C293B1" w16cid:durableId="2806093D"/>
  <w16cid:commentId w16cid:paraId="1CAC7B2C" w16cid:durableId="280607B4"/>
  <w16cid:commentId w16cid:paraId="59ADCC1B" w16cid:durableId="280F666C"/>
  <w16cid:commentId w16cid:paraId="664A478E" w16cid:durableId="2807599A"/>
  <w16cid:commentId w16cid:paraId="508B6119" w16cid:durableId="28077115"/>
  <w16cid:commentId w16cid:paraId="7A729A4B" w16cid:durableId="280772F2"/>
  <w16cid:commentId w16cid:paraId="2ACCAB35" w16cid:durableId="2807736B"/>
  <w16cid:commentId w16cid:paraId="5145E210" w16cid:durableId="2807801A"/>
  <w16cid:commentId w16cid:paraId="3E27F07D" w16cid:durableId="280F634F"/>
  <w16cid:commentId w16cid:paraId="24BBC4AB" w16cid:durableId="28107649"/>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4D5FE564" w16cid:durableId="280E3041"/>
  <w16cid:commentId w16cid:paraId="0DF4BF80" w16cid:durableId="280F533C"/>
  <w16cid:commentId w16cid:paraId="101C3EA5" w16cid:durableId="280F9451"/>
  <w16cid:commentId w16cid:paraId="59EF6B5A" w16cid:durableId="281082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9"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3"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2"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1"/>
  </w:num>
  <w:num w:numId="2" w16cid:durableId="2011827998">
    <w:abstractNumId w:val="19"/>
  </w:num>
  <w:num w:numId="3" w16cid:durableId="1854681226">
    <w:abstractNumId w:val="17"/>
  </w:num>
  <w:num w:numId="4" w16cid:durableId="670838836">
    <w:abstractNumId w:val="6"/>
  </w:num>
  <w:num w:numId="5" w16cid:durableId="525825036">
    <w:abstractNumId w:val="27"/>
  </w:num>
  <w:num w:numId="6" w16cid:durableId="139924316">
    <w:abstractNumId w:val="33"/>
  </w:num>
  <w:num w:numId="7" w16cid:durableId="1427187074">
    <w:abstractNumId w:val="12"/>
  </w:num>
  <w:num w:numId="8" w16cid:durableId="125240728">
    <w:abstractNumId w:val="22"/>
  </w:num>
  <w:num w:numId="9" w16cid:durableId="1822692343">
    <w:abstractNumId w:val="9"/>
  </w:num>
  <w:num w:numId="10" w16cid:durableId="1311666632">
    <w:abstractNumId w:val="23"/>
  </w:num>
  <w:num w:numId="11" w16cid:durableId="1372026003">
    <w:abstractNumId w:val="0"/>
  </w:num>
  <w:num w:numId="12" w16cid:durableId="256600107">
    <w:abstractNumId w:val="4"/>
  </w:num>
  <w:num w:numId="13" w16cid:durableId="950625001">
    <w:abstractNumId w:val="26"/>
  </w:num>
  <w:num w:numId="14" w16cid:durableId="290088445">
    <w:abstractNumId w:val="20"/>
  </w:num>
  <w:num w:numId="15" w16cid:durableId="209463986">
    <w:abstractNumId w:val="15"/>
  </w:num>
  <w:num w:numId="16" w16cid:durableId="1013915286">
    <w:abstractNumId w:val="16"/>
  </w:num>
  <w:num w:numId="17" w16cid:durableId="1774855946">
    <w:abstractNumId w:val="29"/>
  </w:num>
  <w:num w:numId="18" w16cid:durableId="167646411">
    <w:abstractNumId w:val="39"/>
  </w:num>
  <w:num w:numId="19" w16cid:durableId="539515243">
    <w:abstractNumId w:val="18"/>
  </w:num>
  <w:num w:numId="20" w16cid:durableId="611061643">
    <w:abstractNumId w:val="2"/>
  </w:num>
  <w:num w:numId="21" w16cid:durableId="1514875862">
    <w:abstractNumId w:val="28"/>
  </w:num>
  <w:num w:numId="22" w16cid:durableId="863129258">
    <w:abstractNumId w:val="25"/>
  </w:num>
  <w:num w:numId="23" w16cid:durableId="375392447">
    <w:abstractNumId w:val="3"/>
  </w:num>
  <w:num w:numId="24" w16cid:durableId="1280643771">
    <w:abstractNumId w:val="32"/>
  </w:num>
  <w:num w:numId="25" w16cid:durableId="1717974353">
    <w:abstractNumId w:val="7"/>
  </w:num>
  <w:num w:numId="26" w16cid:durableId="269361750">
    <w:abstractNumId w:val="38"/>
  </w:num>
  <w:num w:numId="27" w16cid:durableId="1404060248">
    <w:abstractNumId w:val="44"/>
  </w:num>
  <w:num w:numId="28" w16cid:durableId="1344631944">
    <w:abstractNumId w:val="21"/>
  </w:num>
  <w:num w:numId="29" w16cid:durableId="1062753364">
    <w:abstractNumId w:val="35"/>
  </w:num>
  <w:num w:numId="30" w16cid:durableId="58791576">
    <w:abstractNumId w:val="1"/>
  </w:num>
  <w:num w:numId="31" w16cid:durableId="351346041">
    <w:abstractNumId w:val="34"/>
  </w:num>
  <w:num w:numId="32" w16cid:durableId="585190354">
    <w:abstractNumId w:val="47"/>
  </w:num>
  <w:num w:numId="33" w16cid:durableId="1132483616">
    <w:abstractNumId w:val="10"/>
  </w:num>
  <w:num w:numId="34" w16cid:durableId="1427270104">
    <w:abstractNumId w:val="11"/>
  </w:num>
  <w:num w:numId="35" w16cid:durableId="1213154812">
    <w:abstractNumId w:val="13"/>
  </w:num>
  <w:num w:numId="36" w16cid:durableId="727533634">
    <w:abstractNumId w:val="31"/>
  </w:num>
  <w:num w:numId="37" w16cid:durableId="885601541">
    <w:abstractNumId w:val="36"/>
  </w:num>
  <w:num w:numId="38" w16cid:durableId="1885560626">
    <w:abstractNumId w:val="24"/>
  </w:num>
  <w:num w:numId="39" w16cid:durableId="2053647365">
    <w:abstractNumId w:val="41"/>
  </w:num>
  <w:num w:numId="40" w16cid:durableId="1738281035">
    <w:abstractNumId w:val="37"/>
  </w:num>
  <w:num w:numId="41" w16cid:durableId="532766937">
    <w:abstractNumId w:val="14"/>
  </w:num>
  <w:num w:numId="42" w16cid:durableId="1661272179">
    <w:abstractNumId w:val="43"/>
  </w:num>
  <w:num w:numId="43" w16cid:durableId="52705418">
    <w:abstractNumId w:val="30"/>
  </w:num>
  <w:num w:numId="44" w16cid:durableId="828207606">
    <w:abstractNumId w:val="41"/>
  </w:num>
  <w:num w:numId="45" w16cid:durableId="1191798173">
    <w:abstractNumId w:val="42"/>
  </w:num>
  <w:num w:numId="46" w16cid:durableId="539172124">
    <w:abstractNumId w:val="5"/>
  </w:num>
  <w:num w:numId="47" w16cid:durableId="1734501579">
    <w:abstractNumId w:val="45"/>
  </w:num>
  <w:num w:numId="48" w16cid:durableId="1852141221">
    <w:abstractNumId w:val="40"/>
  </w:num>
  <w:num w:numId="49" w16cid:durableId="1356079956">
    <w:abstractNumId w:val="46"/>
  </w:num>
  <w:num w:numId="50" w16cid:durableId="933318898">
    <w:abstractNumId w:val="8"/>
  </w:num>
  <w:num w:numId="51" w16cid:durableId="1027609557">
    <w:abstractNumId w:val="4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1018F"/>
    <w:rsid w:val="00012AC3"/>
    <w:rsid w:val="00032356"/>
    <w:rsid w:val="00035ED7"/>
    <w:rsid w:val="00035F95"/>
    <w:rsid w:val="00036C08"/>
    <w:rsid w:val="0004563A"/>
    <w:rsid w:val="00056D3B"/>
    <w:rsid w:val="00064DCE"/>
    <w:rsid w:val="000767F3"/>
    <w:rsid w:val="000839B3"/>
    <w:rsid w:val="0008456A"/>
    <w:rsid w:val="0008799B"/>
    <w:rsid w:val="00087A03"/>
    <w:rsid w:val="00090494"/>
    <w:rsid w:val="0009312B"/>
    <w:rsid w:val="0009373C"/>
    <w:rsid w:val="000A4F8F"/>
    <w:rsid w:val="000B54F2"/>
    <w:rsid w:val="000B5C85"/>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52E26"/>
    <w:rsid w:val="00164214"/>
    <w:rsid w:val="00175CE1"/>
    <w:rsid w:val="00177D78"/>
    <w:rsid w:val="00193733"/>
    <w:rsid w:val="00194CA6"/>
    <w:rsid w:val="001976F7"/>
    <w:rsid w:val="001A3923"/>
    <w:rsid w:val="001A4276"/>
    <w:rsid w:val="001A6960"/>
    <w:rsid w:val="001E239C"/>
    <w:rsid w:val="001E39D2"/>
    <w:rsid w:val="001E7E38"/>
    <w:rsid w:val="001F13A4"/>
    <w:rsid w:val="001F2722"/>
    <w:rsid w:val="002025C2"/>
    <w:rsid w:val="00215F41"/>
    <w:rsid w:val="00224E03"/>
    <w:rsid w:val="00233360"/>
    <w:rsid w:val="00234094"/>
    <w:rsid w:val="00234CEE"/>
    <w:rsid w:val="00244CCA"/>
    <w:rsid w:val="0025477F"/>
    <w:rsid w:val="002603A4"/>
    <w:rsid w:val="002619D8"/>
    <w:rsid w:val="00262389"/>
    <w:rsid w:val="00263A3C"/>
    <w:rsid w:val="00272D84"/>
    <w:rsid w:val="002766A4"/>
    <w:rsid w:val="002772CD"/>
    <w:rsid w:val="00277AF7"/>
    <w:rsid w:val="0028068A"/>
    <w:rsid w:val="002833BC"/>
    <w:rsid w:val="002A24D3"/>
    <w:rsid w:val="002B4581"/>
    <w:rsid w:val="002C42FD"/>
    <w:rsid w:val="002C4A43"/>
    <w:rsid w:val="002C4E57"/>
    <w:rsid w:val="002E00FB"/>
    <w:rsid w:val="002E5174"/>
    <w:rsid w:val="002F219A"/>
    <w:rsid w:val="00302967"/>
    <w:rsid w:val="00303025"/>
    <w:rsid w:val="003042D3"/>
    <w:rsid w:val="0031265E"/>
    <w:rsid w:val="003146E9"/>
    <w:rsid w:val="00315B32"/>
    <w:rsid w:val="00320A69"/>
    <w:rsid w:val="00337062"/>
    <w:rsid w:val="00337517"/>
    <w:rsid w:val="00342D4C"/>
    <w:rsid w:val="00352309"/>
    <w:rsid w:val="0035577F"/>
    <w:rsid w:val="00393B5F"/>
    <w:rsid w:val="00397F72"/>
    <w:rsid w:val="003A7D1B"/>
    <w:rsid w:val="003B6A32"/>
    <w:rsid w:val="003B6B43"/>
    <w:rsid w:val="003C452B"/>
    <w:rsid w:val="003D48ED"/>
    <w:rsid w:val="003E7DBB"/>
    <w:rsid w:val="003F1802"/>
    <w:rsid w:val="003F4F98"/>
    <w:rsid w:val="00404043"/>
    <w:rsid w:val="00417D09"/>
    <w:rsid w:val="00426A26"/>
    <w:rsid w:val="0042733A"/>
    <w:rsid w:val="00442414"/>
    <w:rsid w:val="00450864"/>
    <w:rsid w:val="00453E7C"/>
    <w:rsid w:val="004552EF"/>
    <w:rsid w:val="00462742"/>
    <w:rsid w:val="00481D7F"/>
    <w:rsid w:val="00484B96"/>
    <w:rsid w:val="004940DD"/>
    <w:rsid w:val="004B04CC"/>
    <w:rsid w:val="004B357C"/>
    <w:rsid w:val="004B501A"/>
    <w:rsid w:val="004C4391"/>
    <w:rsid w:val="004C5DE1"/>
    <w:rsid w:val="004D1D98"/>
    <w:rsid w:val="004E682D"/>
    <w:rsid w:val="00500D00"/>
    <w:rsid w:val="00500DDE"/>
    <w:rsid w:val="00511A6A"/>
    <w:rsid w:val="00512990"/>
    <w:rsid w:val="005405B5"/>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05196"/>
    <w:rsid w:val="00612948"/>
    <w:rsid w:val="00634B21"/>
    <w:rsid w:val="00634F71"/>
    <w:rsid w:val="00635155"/>
    <w:rsid w:val="0063660E"/>
    <w:rsid w:val="00636D30"/>
    <w:rsid w:val="006377EF"/>
    <w:rsid w:val="006404E8"/>
    <w:rsid w:val="00643BF3"/>
    <w:rsid w:val="00663247"/>
    <w:rsid w:val="006632D2"/>
    <w:rsid w:val="00683E61"/>
    <w:rsid w:val="0068591D"/>
    <w:rsid w:val="00691D0B"/>
    <w:rsid w:val="00693538"/>
    <w:rsid w:val="006B5449"/>
    <w:rsid w:val="006F3E2F"/>
    <w:rsid w:val="006F79B3"/>
    <w:rsid w:val="00700EC2"/>
    <w:rsid w:val="00712873"/>
    <w:rsid w:val="00717BC3"/>
    <w:rsid w:val="00720425"/>
    <w:rsid w:val="00725966"/>
    <w:rsid w:val="00727F1A"/>
    <w:rsid w:val="00741060"/>
    <w:rsid w:val="00745BC5"/>
    <w:rsid w:val="00747FB3"/>
    <w:rsid w:val="0075451D"/>
    <w:rsid w:val="00763232"/>
    <w:rsid w:val="00764AC6"/>
    <w:rsid w:val="00770E05"/>
    <w:rsid w:val="00771493"/>
    <w:rsid w:val="007718EB"/>
    <w:rsid w:val="007809F8"/>
    <w:rsid w:val="00781CB9"/>
    <w:rsid w:val="00786BE9"/>
    <w:rsid w:val="00792877"/>
    <w:rsid w:val="00794F98"/>
    <w:rsid w:val="007A2812"/>
    <w:rsid w:val="007A5D03"/>
    <w:rsid w:val="007A7ED9"/>
    <w:rsid w:val="007B78B2"/>
    <w:rsid w:val="007D2E32"/>
    <w:rsid w:val="007D4093"/>
    <w:rsid w:val="007D6498"/>
    <w:rsid w:val="007E3B2A"/>
    <w:rsid w:val="007E6226"/>
    <w:rsid w:val="007E7FA0"/>
    <w:rsid w:val="007F5423"/>
    <w:rsid w:val="007F6C07"/>
    <w:rsid w:val="0080105E"/>
    <w:rsid w:val="00807DDC"/>
    <w:rsid w:val="00815A37"/>
    <w:rsid w:val="00820AD1"/>
    <w:rsid w:val="0082155B"/>
    <w:rsid w:val="00823B6C"/>
    <w:rsid w:val="00823CB5"/>
    <w:rsid w:val="0082426A"/>
    <w:rsid w:val="00825FC0"/>
    <w:rsid w:val="00826926"/>
    <w:rsid w:val="00831EB4"/>
    <w:rsid w:val="008351B3"/>
    <w:rsid w:val="00836957"/>
    <w:rsid w:val="00840A02"/>
    <w:rsid w:val="00842459"/>
    <w:rsid w:val="008540FC"/>
    <w:rsid w:val="008558DE"/>
    <w:rsid w:val="00860F81"/>
    <w:rsid w:val="00861B41"/>
    <w:rsid w:val="00862B55"/>
    <w:rsid w:val="0086486C"/>
    <w:rsid w:val="00874E49"/>
    <w:rsid w:val="00885B8C"/>
    <w:rsid w:val="00886801"/>
    <w:rsid w:val="00894ADE"/>
    <w:rsid w:val="008A18DC"/>
    <w:rsid w:val="008A6FBC"/>
    <w:rsid w:val="008B53D0"/>
    <w:rsid w:val="008B5AE6"/>
    <w:rsid w:val="008C248D"/>
    <w:rsid w:val="008C269B"/>
    <w:rsid w:val="008D1206"/>
    <w:rsid w:val="008F2483"/>
    <w:rsid w:val="008F5D58"/>
    <w:rsid w:val="00902978"/>
    <w:rsid w:val="00905C2C"/>
    <w:rsid w:val="009150F8"/>
    <w:rsid w:val="009249EA"/>
    <w:rsid w:val="00926CD5"/>
    <w:rsid w:val="00930AE0"/>
    <w:rsid w:val="00936F53"/>
    <w:rsid w:val="00943B98"/>
    <w:rsid w:val="00952C43"/>
    <w:rsid w:val="0095601F"/>
    <w:rsid w:val="0096690B"/>
    <w:rsid w:val="0097015B"/>
    <w:rsid w:val="0097148D"/>
    <w:rsid w:val="00971EF3"/>
    <w:rsid w:val="00976CC8"/>
    <w:rsid w:val="00983E22"/>
    <w:rsid w:val="00987D9A"/>
    <w:rsid w:val="009A019C"/>
    <w:rsid w:val="009B6585"/>
    <w:rsid w:val="009C78F9"/>
    <w:rsid w:val="009D4A4A"/>
    <w:rsid w:val="009E3820"/>
    <w:rsid w:val="009F110F"/>
    <w:rsid w:val="009F272A"/>
    <w:rsid w:val="009F71AE"/>
    <w:rsid w:val="00A01014"/>
    <w:rsid w:val="00A046E1"/>
    <w:rsid w:val="00A04E69"/>
    <w:rsid w:val="00A221D2"/>
    <w:rsid w:val="00A340F6"/>
    <w:rsid w:val="00A454C6"/>
    <w:rsid w:val="00A45610"/>
    <w:rsid w:val="00A46154"/>
    <w:rsid w:val="00A516DA"/>
    <w:rsid w:val="00A51FF0"/>
    <w:rsid w:val="00A57B9D"/>
    <w:rsid w:val="00A71B21"/>
    <w:rsid w:val="00A82D6B"/>
    <w:rsid w:val="00A91C12"/>
    <w:rsid w:val="00AD4897"/>
    <w:rsid w:val="00AD4A35"/>
    <w:rsid w:val="00AD5D1F"/>
    <w:rsid w:val="00AD6DB6"/>
    <w:rsid w:val="00AD7621"/>
    <w:rsid w:val="00AE4E18"/>
    <w:rsid w:val="00B16342"/>
    <w:rsid w:val="00B214E2"/>
    <w:rsid w:val="00B24DC9"/>
    <w:rsid w:val="00B27F76"/>
    <w:rsid w:val="00B34F06"/>
    <w:rsid w:val="00B4160F"/>
    <w:rsid w:val="00B57CC0"/>
    <w:rsid w:val="00B6077E"/>
    <w:rsid w:val="00B61601"/>
    <w:rsid w:val="00B704E5"/>
    <w:rsid w:val="00B769D0"/>
    <w:rsid w:val="00B82082"/>
    <w:rsid w:val="00B82325"/>
    <w:rsid w:val="00B900BF"/>
    <w:rsid w:val="00B9063E"/>
    <w:rsid w:val="00BC2A13"/>
    <w:rsid w:val="00BC4567"/>
    <w:rsid w:val="00BD1EF8"/>
    <w:rsid w:val="00BD4FA5"/>
    <w:rsid w:val="00BE07EE"/>
    <w:rsid w:val="00BE4E94"/>
    <w:rsid w:val="00C032D7"/>
    <w:rsid w:val="00C03618"/>
    <w:rsid w:val="00C107FF"/>
    <w:rsid w:val="00C3378E"/>
    <w:rsid w:val="00C33F05"/>
    <w:rsid w:val="00C3700F"/>
    <w:rsid w:val="00C4425A"/>
    <w:rsid w:val="00C55F16"/>
    <w:rsid w:val="00C634BE"/>
    <w:rsid w:val="00C704BC"/>
    <w:rsid w:val="00C759BE"/>
    <w:rsid w:val="00C76DCA"/>
    <w:rsid w:val="00C8006B"/>
    <w:rsid w:val="00C87414"/>
    <w:rsid w:val="00C926C6"/>
    <w:rsid w:val="00CA1211"/>
    <w:rsid w:val="00CA3C5A"/>
    <w:rsid w:val="00CA4B64"/>
    <w:rsid w:val="00CB0F11"/>
    <w:rsid w:val="00CB35F7"/>
    <w:rsid w:val="00CB5692"/>
    <w:rsid w:val="00CB5920"/>
    <w:rsid w:val="00CC1074"/>
    <w:rsid w:val="00CC4270"/>
    <w:rsid w:val="00CC7002"/>
    <w:rsid w:val="00CD0010"/>
    <w:rsid w:val="00CD1BC9"/>
    <w:rsid w:val="00CE69B4"/>
    <w:rsid w:val="00CF5ECF"/>
    <w:rsid w:val="00D01EBB"/>
    <w:rsid w:val="00D021DA"/>
    <w:rsid w:val="00D14C77"/>
    <w:rsid w:val="00D264F3"/>
    <w:rsid w:val="00D305CF"/>
    <w:rsid w:val="00D326E2"/>
    <w:rsid w:val="00D41B26"/>
    <w:rsid w:val="00D604B1"/>
    <w:rsid w:val="00D645A6"/>
    <w:rsid w:val="00D76D90"/>
    <w:rsid w:val="00D91C8F"/>
    <w:rsid w:val="00DA5359"/>
    <w:rsid w:val="00DA5F88"/>
    <w:rsid w:val="00DC7443"/>
    <w:rsid w:val="00DD4332"/>
    <w:rsid w:val="00DE384A"/>
    <w:rsid w:val="00DE4A2E"/>
    <w:rsid w:val="00DE4FC2"/>
    <w:rsid w:val="00DF1A23"/>
    <w:rsid w:val="00DF2BDC"/>
    <w:rsid w:val="00DF3224"/>
    <w:rsid w:val="00DF6290"/>
    <w:rsid w:val="00E12AF8"/>
    <w:rsid w:val="00E332B5"/>
    <w:rsid w:val="00E34FDD"/>
    <w:rsid w:val="00E40BF0"/>
    <w:rsid w:val="00E4103F"/>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A1F9D"/>
    <w:rsid w:val="00FB2749"/>
    <w:rsid w:val="00FC159F"/>
    <w:rsid w:val="00FC5ECD"/>
    <w:rsid w:val="00FD25C1"/>
    <w:rsid w:val="00FE2FA9"/>
    <w:rsid w:val="00FE4E89"/>
    <w:rsid w:val="00FF0A79"/>
    <w:rsid w:val="00FF1CD2"/>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1016/j.geoderma.2011.02.013" TargetMode="External"/><Relationship Id="rId2" Type="http://schemas.openxmlformats.org/officeDocument/2006/relationships/numbering" Target="numbering.xml"/><Relationship Id="rId16" Type="http://schemas.openxmlformats.org/officeDocument/2006/relationships/hyperlink" Target="https://github.com/justkrantz/msc-thesi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ubs.usgs.gov/tm/2005/tm6A1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27699</TotalTime>
  <Pages>46</Pages>
  <Words>9324</Words>
  <Characters>51283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61</cp:revision>
  <cp:lastPrinted>2023-04-11T15:51:00Z</cp:lastPrinted>
  <dcterms:created xsi:type="dcterms:W3CDTF">2023-03-15T15:22:00Z</dcterms:created>
  <dcterms:modified xsi:type="dcterms:W3CDTF">2023-05-23T07:52:00Z</dcterms:modified>
</cp:coreProperties>
</file>