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jc w:val="center"/>
      </w:pPr>
      <w:r>
        <w:t xml:space="preserve">LEAD GENERATION SERVICES AGREEMENT</w:t>
      </w:r>
    </w:p>
    <w:p>
      <w:pPr>
        <w:spacing w:after="120"/>
      </w:pPr>
      <w:r>
        <w:t xml:space="preserve">Version: LGSA-v0.3 (10 October 2026) · Replaces LGSA-v0.2 (7 October 2026) and LGSA-v0.1 (5 October 2026) · Template for any authorised FSP client · Client-specific details appear only in the Parties block and Schedule 1.</w:t>
      </w:r>
    </w:p>
    <w:p>
      <w:pPr>
        <w:pBdr>
          <w:left w:val="single" w:color="A6A6A6" w:sz="18" w:space="6"/>
        </w:pBdr>
        <w:shd w:fill="F2F2F2" w:color="auto" w:val="clear"/>
        <w:spacing w:after="160" w:before="60"/>
        <w:ind w:left="720" w:right="0"/>
      </w:pPr>
      <w:r>
        <w:rPr>
          <w:b/>
          <w:bCs/>
          <w:i/>
          <w:iCs/>
          <w:color w:val="595959"/>
          <w:sz w:val="18"/>
          <w:szCs w:val="18"/>
        </w:rPr>
        <w:t xml:space="preserve">Change note (v0.3, 10 October 2026).</w:t>
      </w:r>
      <w:r>
        <w:rPr>
          <w:i/>
          <w:iCs/>
          <w:color w:val="595959"/>
          <w:sz w:val="18"/>
          <w:szCs w:val="18"/>
        </w:rPr>
        <w:t xml:space="preserve"> The Pilot Plan is offered again (R8,500, 10 Qualified Leads, R850 each); replacements are capped at 3 per Calendar Week for every Plan and an Uncontactable Lead can now earn one, inside the same 3; refunds of undelivered leads, Top-Up Leads included, are at the Effective Lead Price of the Client's Plan; cancellation notice stays 7 days.</w:t>
      </w:r>
    </w:p>
    <w:p>
      <w:pPr>
        <w:pStyle w:val="Heading1"/>
        <w:keepNext/>
      </w:pPr>
      <w:r>
        <w:t xml:space="preserve">Parties</w:t>
      </w:r>
    </w:p>
    <w:p>
      <w:pPr>
        <w:spacing w:after="120"/>
      </w:pPr>
      <w:r>
        <w:t xml:space="preserve">This Agreement is made between:</w:t>
      </w:r>
    </w:p>
    <w:p>
      <w:pPr>
        <w:spacing w:after="120"/>
      </w:pPr>
      <w:r>
        <w:rPr>
          <w:b/>
          <w:bCs/>
        </w:rPr>
        <w:t xml:space="preserve">LEAD VELOCITY (PTY) LTD</w:t>
      </w:r>
      <w:r>
        <w:t xml:space="preserve">, registration number 2025/637858/07, of 210 Amarand Avenue, Pegasus Building 1, Menlyn Maine, Pretoria, 0184, telephone +27 10 976 5618, email howzit@leadvelocity.co.za, website www.leadvelocity.co.za, which trades to consumers under the brand </w:t>
      </w:r>
      <w:r>
        <w:rPr>
          <w:b/>
          <w:bCs/>
        </w:rPr>
        <w:t xml:space="preserve">SortMyCover</w:t>
      </w:r>
      <w:r>
        <w:t xml:space="preserve"> ("</w:t>
      </w:r>
      <w:r>
        <w:rPr>
          <w:b/>
          <w:bCs/>
        </w:rPr>
        <w:t xml:space="preserve">Lead Velocity</w:t>
      </w:r>
      <w:r>
        <w:t xml:space="preserve">"), represented by Kgomotso Pule, Director, who is authorised to sign;</w:t>
      </w:r>
    </w:p>
    <w:p>
      <w:pPr>
        <w:spacing w:after="120"/>
      </w:pPr>
      <w:r>
        <w:t xml:space="preserve">and</w:t>
      </w:r>
    </w:p>
    <w:p>
      <w:pPr>
        <w:spacing w:after="120"/>
      </w:pPr>
      <w:r>
        <w:rPr>
          <w:b/>
          <w:bCs/>
          <w:highlight w:val="yellow"/>
          <w:highlightCs w:val="yellow"/>
        </w:rPr>
        <w:t xml:space="preserve">[CLIENT FULL NAME]</w:t>
      </w:r>
      <w:r>
        <w:t xml:space="preserve">, </w:t>
      </w:r>
      <w:r>
        <w:rPr>
          <w:highlight w:val="yellow"/>
          <w:highlightCs w:val="yellow"/>
        </w:rPr>
        <w:t xml:space="preserve">[CLIENT DESCRIPTION — e.g. a natural person contracting in his or her personal capacity / a company, registration number …, trading as …]</w:t>
      </w:r>
      <w:r>
        <w:t xml:space="preserve">, who renders financial services under FSP number </w:t>
      </w:r>
      <w:r>
        <w:rPr>
          <w:b/>
          <w:bCs/>
          <w:highlight w:val="yellow"/>
          <w:highlightCs w:val="yellow"/>
        </w:rPr>
        <w:t xml:space="preserve">[FSP NUMBER]</w:t>
      </w:r>
      <w:r>
        <w:t xml:space="preserve">, of </w:t>
      </w:r>
      <w:r>
        <w:rPr>
          <w:highlight w:val="yellow"/>
          <w:highlightCs w:val="yellow"/>
        </w:rPr>
        <w:t xml:space="preserve">[CLIENT PHYSICAL ADDRESS]</w:t>
      </w:r>
      <w:r>
        <w:t xml:space="preserve">, email </w:t>
      </w:r>
      <w:r>
        <w:rPr>
          <w:highlight w:val="yellow"/>
          <w:highlightCs w:val="yellow"/>
        </w:rPr>
        <w:t xml:space="preserve">[CLIENT EMAIL]</w:t>
      </w:r>
      <w:r>
        <w:t xml:space="preserve"> (the "</w:t>
      </w:r>
      <w:r>
        <w:rPr>
          <w:b/>
          <w:bCs/>
        </w:rPr>
        <w:t xml:space="preserve">Client</w:t>
      </w:r>
      <w:r>
        <w:t xml:space="preserve">"), </w:t>
      </w:r>
      <w:r>
        <w:rPr>
          <w:highlight w:val="yellow"/>
          <w:highlightCs w:val="yellow"/>
        </w:rPr>
        <w:t xml:space="preserve">[CLIENT SIGNING CAPACITY — e.g. who signs in his or her personal capacity / represented by NAME, ROLE, who is authorised to sign]</w:t>
      </w:r>
      <w:r>
        <w:t xml:space="preserve">.</w:t>
      </w:r>
    </w:p>
    <w:p>
      <w:pPr>
        <w:pStyle w:val="Heading1"/>
        <w:keepNext/>
      </w:pPr>
      <w:r>
        <w:t xml:space="preserve">Background</w:t>
      </w:r>
    </w:p>
    <w:p>
      <w:pPr>
        <w:tabs>
          <w:tab w:val="left" w:pos="720"/>
        </w:tabs>
        <w:spacing w:after="120"/>
        <w:ind w:left="720" w:hanging="720"/>
      </w:pPr>
      <w:r>
        <w:t xml:space="preserve">A.	</w:t>
      </w:r>
      <w:r>
        <w:t xml:space="preserve">Lead Velocity is a marketing and lead-generation agency acting for its own account. It markets its own lead-generation service and the SortMyCover brand, not any financial product. It runs broker-neutral advertising under the SortMyCover brand, captures consumer interest and consent, pre-qualifies consumers on objective criteria and books introductory appointments.</w:t>
      </w:r>
    </w:p>
    <w:p>
      <w:pPr>
        <w:tabs>
          <w:tab w:val="left" w:pos="720"/>
        </w:tabs>
        <w:spacing w:after="120"/>
        <w:ind w:left="720" w:hanging="720"/>
      </w:pPr>
      <w:r>
        <w:t xml:space="preserve">B.	</w:t>
      </w:r>
      <w:r>
        <w:t xml:space="preserve">The Client renders financial services under a licence issued under the FAIS Act and advises consumers on insurance and financial planning within the categories of its licence.</w:t>
      </w:r>
    </w:p>
    <w:p>
      <w:pPr>
        <w:tabs>
          <w:tab w:val="left" w:pos="720"/>
        </w:tabs>
        <w:spacing w:after="120"/>
        <w:ind w:left="720" w:hanging="720"/>
      </w:pPr>
      <w:r>
        <w:t xml:space="preserve">C.	</w:t>
      </w:r>
      <w:r>
        <w:t xml:space="preserve">The Client wishes to buy marketing and lead-delivery services from Lead Velocity for a flat fee per Billing Cycle that does not depend on any financial product being sold. Lead Velocity does not render financial services and the Parties intend this Agreement to operate, in substance and in form, as a marketing services contract.</w:t>
      </w:r>
    </w:p>
    <w:p>
      <w:pPr>
        <w:pStyle w:val="Heading1"/>
        <w:keepNext/>
      </w:pPr>
      <w:r>
        <w:t xml:space="preserve">1. Definitions and interpretation</w:t>
      </w:r>
    </w:p>
    <w:p>
      <w:pPr>
        <w:tabs>
          <w:tab w:val="left" w:pos="720"/>
        </w:tabs>
        <w:spacing w:after="120"/>
        <w:ind w:left="720" w:hanging="720"/>
      </w:pPr>
      <w:r>
        <w:t xml:space="preserve">1.1	</w:t>
      </w:r>
      <w:r>
        <w:t xml:space="preserve">In this Agreement the following words have the meanings below:</w:t>
      </w:r>
    </w:p>
    <w:p>
      <w:pPr>
        <w:tabs>
          <w:tab w:val="left" w:pos="1440"/>
        </w:tabs>
        <w:spacing w:after="120"/>
        <w:ind w:left="1440" w:hanging="720"/>
      </w:pPr>
      <w:r>
        <w:t xml:space="preserve">1.1.1	</w:t>
      </w:r>
      <w:r>
        <w:t xml:space="preserve">"</w:t>
      </w:r>
      <w:r>
        <w:rPr>
          <w:b/>
          <w:bCs/>
        </w:rPr>
        <w:t xml:space="preserve">Advice</w:t>
      </w:r>
      <w:r>
        <w:t xml:space="preserve">", "</w:t>
      </w:r>
      <w:r>
        <w:rPr>
          <w:b/>
          <w:bCs/>
        </w:rPr>
        <w:t xml:space="preserve">Financial Product</w:t>
      </w:r>
      <w:r>
        <w:t xml:space="preserve">", "</w:t>
      </w:r>
      <w:r>
        <w:rPr>
          <w:b/>
          <w:bCs/>
        </w:rPr>
        <w:t xml:space="preserve">Financial Services</w:t>
      </w:r>
      <w:r>
        <w:t xml:space="preserve">", "</w:t>
      </w:r>
      <w:r>
        <w:rPr>
          <w:b/>
          <w:bCs/>
        </w:rPr>
        <w:t xml:space="preserve">Intermediary Services</w:t>
      </w:r>
      <w:r>
        <w:t xml:space="preserve">" and "</w:t>
      </w:r>
      <w:r>
        <w:rPr>
          <w:b/>
          <w:bCs/>
        </w:rPr>
        <w:t xml:space="preserve">Representative</w:t>
      </w:r>
      <w:r>
        <w:t xml:space="preserve">" have the meanings given in the FAIS Act;</w:t>
      </w:r>
    </w:p>
    <w:p>
      <w:pPr>
        <w:tabs>
          <w:tab w:val="left" w:pos="1440"/>
        </w:tabs>
        <w:spacing w:after="120"/>
        <w:ind w:left="1440" w:hanging="720"/>
      </w:pPr>
      <w:r>
        <w:t xml:space="preserve">1.1.2	</w:t>
      </w:r>
      <w:r>
        <w:t xml:space="preserve">"</w:t>
      </w:r>
      <w:r>
        <w:rPr>
          <w:b/>
          <w:bCs/>
        </w:rPr>
        <w:t xml:space="preserve">Agreement</w:t>
      </w:r>
      <w:r>
        <w:t xml:space="preserve">" means this agreement, including its Schedules;</w:t>
      </w:r>
    </w:p>
    <w:p>
      <w:pPr>
        <w:tabs>
          <w:tab w:val="left" w:pos="1440"/>
        </w:tabs>
        <w:spacing w:after="120"/>
        <w:ind w:left="1440" w:hanging="720"/>
      </w:pPr>
      <w:r>
        <w:t xml:space="preserve">1.1.3	</w:t>
      </w:r>
      <w:r>
        <w:t xml:space="preserve">"</w:t>
      </w:r>
      <w:r>
        <w:rPr>
          <w:b/>
          <w:bCs/>
        </w:rPr>
        <w:t xml:space="preserve">Applicable Law</w:t>
      </w:r>
      <w:r>
        <w:t xml:space="preserve">" means all laws that apply to a Party or to the Services, including the FAIS Act, the General Code of Conduct, POPIA, the ECT Act, the Consumer Protection Act 68 of 2008 and the Financial Intelligence Centre Act 38 of 2001, and all regulations, codes and conduct standards made under them;</w:t>
      </w:r>
    </w:p>
    <w:p>
      <w:pPr>
        <w:tabs>
          <w:tab w:val="left" w:pos="1440"/>
        </w:tabs>
        <w:spacing w:after="120"/>
        <w:ind w:left="1440" w:hanging="720"/>
      </w:pPr>
      <w:r>
        <w:t xml:space="preserve">1.1.3A	</w:t>
      </w:r>
      <w:r>
        <w:t xml:space="preserve">"</w:t>
      </w:r>
      <w:r>
        <w:rPr>
          <w:b/>
          <w:bCs/>
        </w:rPr>
        <w:t xml:space="preserve">A-Tier Lead</w:t>
      </w:r>
      <w:r>
        <w:t xml:space="preserve">" means a Qualified Lead whose self-declared monthly premium budget is R1,500 or more, and "</w:t>
      </w:r>
      <w:r>
        <w:rPr>
          <w:b/>
          <w:bCs/>
        </w:rPr>
        <w:t xml:space="preserve">B-Tier Lead</w:t>
      </w:r>
      <w:r>
        <w:t xml:space="preserve">" means a Qualified Lead whose self-declared monthly premium budget is R750 to R1,499 and whom the Client has accepted under clause 5.7;</w:t>
      </w:r>
    </w:p>
    <w:p>
      <w:pPr>
        <w:tabs>
          <w:tab w:val="left" w:pos="1440"/>
        </w:tabs>
        <w:spacing w:after="120"/>
        <w:ind w:left="1440" w:hanging="720"/>
      </w:pPr>
      <w:r>
        <w:t xml:space="preserve">1.1.4	</w:t>
      </w:r>
      <w:r>
        <w:t xml:space="preserve">"</w:t>
      </w:r>
      <w:r>
        <w:rPr>
          <w:b/>
          <w:bCs/>
        </w:rPr>
        <w:t xml:space="preserve">Billing Cycle</w:t>
      </w:r>
      <w:r>
        <w:t xml:space="preserve">" means the period of 30 days starting on the Cycle Start Date, and each following period of 30 days for which the Client has paid the Fee;</w:t>
      </w:r>
    </w:p>
    <w:p>
      <w:pPr>
        <w:tabs>
          <w:tab w:val="left" w:pos="1440"/>
        </w:tabs>
        <w:spacing w:after="120"/>
        <w:ind w:left="1440" w:hanging="720"/>
      </w:pPr>
      <w:r>
        <w:t xml:space="preserve">1.1.5	</w:t>
      </w:r>
      <w:r>
        <w:t xml:space="preserve">"</w:t>
      </w:r>
      <w:r>
        <w:rPr>
          <w:b/>
          <w:bCs/>
        </w:rPr>
        <w:t xml:space="preserve">Business Day</w:t>
      </w:r>
      <w:r>
        <w:t xml:space="preserve">" means any day other than a Saturday, Sunday or South African public holiday, and "</w:t>
      </w:r>
      <w:r>
        <w:rPr>
          <w:b/>
          <w:bCs/>
        </w:rPr>
        <w:t xml:space="preserve">working day</w:t>
      </w:r>
      <w:r>
        <w:t xml:space="preserve">" has the same meaning;</w:t>
      </w:r>
    </w:p>
    <w:p>
      <w:pPr>
        <w:tabs>
          <w:tab w:val="left" w:pos="1440"/>
        </w:tabs>
        <w:spacing w:after="120"/>
        <w:ind w:left="1440" w:hanging="720"/>
      </w:pPr>
      <w:r>
        <w:t xml:space="preserve">1.1.6	</w:t>
      </w:r>
      <w:r>
        <w:t xml:space="preserve">"</w:t>
      </w:r>
      <w:r>
        <w:rPr>
          <w:b/>
          <w:bCs/>
        </w:rPr>
        <w:t xml:space="preserve">Calendar Week</w:t>
      </w:r>
      <w:r>
        <w:t xml:space="preserve">" means the period from 00:00 on Monday to 23:59 on the following Sunday, South African Standard Time;</w:t>
      </w:r>
    </w:p>
    <w:p>
      <w:pPr>
        <w:tabs>
          <w:tab w:val="left" w:pos="1440"/>
        </w:tabs>
        <w:spacing w:after="120"/>
        <w:ind w:left="1440" w:hanging="720"/>
      </w:pPr>
      <w:r>
        <w:t xml:space="preserve">1.1.7	</w:t>
      </w:r>
      <w:r>
        <w:t xml:space="preserve">"</w:t>
      </w:r>
      <w:r>
        <w:rPr>
          <w:b/>
          <w:bCs/>
        </w:rPr>
        <w:t xml:space="preserve">Campaign</w:t>
      </w:r>
      <w:r>
        <w:t xml:space="preserve">" means any advertising, landing page, form, WhatsApp flow or other activity that Lead Velocity runs, under the SortMyCover brand or otherwise, to attract and qualify Consumers;</w:t>
      </w:r>
    </w:p>
    <w:p>
      <w:pPr>
        <w:tabs>
          <w:tab w:val="left" w:pos="1440"/>
        </w:tabs>
        <w:spacing w:after="120"/>
        <w:ind w:left="1440" w:hanging="720"/>
      </w:pPr>
      <w:r>
        <w:t xml:space="preserve">1.1.8	</w:t>
      </w:r>
      <w:r>
        <w:t xml:space="preserve">"</w:t>
      </w:r>
      <w:r>
        <w:rPr>
          <w:b/>
          <w:bCs/>
        </w:rPr>
        <w:t xml:space="preserve">Client Materials</w:t>
      </w:r>
      <w:r>
        <w:t xml:space="preserve">" means the Client's name, photograph, practice name, FSP number, short biography, calendar availability and any other material the Client gives Lead Velocity for the Intro Card and Consumer messages;</w:t>
      </w:r>
    </w:p>
    <w:p>
      <w:pPr>
        <w:tabs>
          <w:tab w:val="left" w:pos="1440"/>
        </w:tabs>
        <w:spacing w:after="120"/>
        <w:ind w:left="1440" w:hanging="720"/>
      </w:pPr>
      <w:r>
        <w:t xml:space="preserve">1.1.9	</w:t>
      </w:r>
      <w:r>
        <w:t xml:space="preserve">"</w:t>
      </w:r>
      <w:r>
        <w:rPr>
          <w:b/>
          <w:bCs/>
        </w:rPr>
        <w:t xml:space="preserve">Committed Leads</w:t>
      </w:r>
      <w:r>
        <w:t xml:space="preserve">" means the number of Qualified Leads that Lead Velocity commits to deliver in each Billing Cycle for the Client's Plan, as set out in Schedule 1;</w:t>
      </w:r>
    </w:p>
    <w:p>
      <w:pPr>
        <w:tabs>
          <w:tab w:val="left" w:pos="1440"/>
        </w:tabs>
        <w:spacing w:after="120"/>
        <w:ind w:left="1440" w:hanging="720"/>
      </w:pPr>
      <w:r>
        <w:t xml:space="preserve">1.1.10	</w:t>
      </w:r>
      <w:r>
        <w:t xml:space="preserve">"</w:t>
      </w:r>
      <w:r>
        <w:rPr>
          <w:b/>
          <w:bCs/>
        </w:rPr>
        <w:t xml:space="preserve">Consumer</w:t>
      </w:r>
      <w:r>
        <w:t xml:space="preserve">" means a natural person in South Africa who responds to a Campaign;</w:t>
      </w:r>
    </w:p>
    <w:p>
      <w:pPr>
        <w:tabs>
          <w:tab w:val="left" w:pos="1440"/>
        </w:tabs>
        <w:spacing w:after="120"/>
        <w:ind w:left="1440" w:hanging="720"/>
      </w:pPr>
      <w:r>
        <w:t xml:space="preserve">1.1.11	</w:t>
      </w:r>
      <w:r>
        <w:t xml:space="preserve">"</w:t>
      </w:r>
      <w:r>
        <w:rPr>
          <w:b/>
          <w:bCs/>
        </w:rPr>
        <w:t xml:space="preserve">Cycle Start Date</w:t>
      </w:r>
      <w:r>
        <w:t xml:space="preserve">" means the date on which Lead Velocity starts delivery under clause 2.2;</w:t>
      </w:r>
    </w:p>
    <w:p>
      <w:pPr>
        <w:tabs>
          <w:tab w:val="left" w:pos="1440"/>
        </w:tabs>
        <w:spacing w:after="120"/>
        <w:ind w:left="1440" w:hanging="720"/>
      </w:pPr>
      <w:r>
        <w:t xml:space="preserve">1.1.12	</w:t>
      </w:r>
      <w:r>
        <w:t xml:space="preserve">"</w:t>
      </w:r>
      <w:r>
        <w:rPr>
          <w:b/>
          <w:bCs/>
        </w:rPr>
        <w:t xml:space="preserve">Delivered</w:t>
      </w:r>
      <w:r>
        <w:t xml:space="preserve">" means, for a Qualified Lead, that the delivery point in clause 5.2 has been reached, and "</w:t>
      </w:r>
      <w:r>
        <w:rPr>
          <w:b/>
          <w:bCs/>
        </w:rPr>
        <w:t xml:space="preserve">Deliver</w:t>
      </w:r>
      <w:r>
        <w:t xml:space="preserve">" and "</w:t>
      </w:r>
      <w:r>
        <w:rPr>
          <w:b/>
          <w:bCs/>
        </w:rPr>
        <w:t xml:space="preserve">Delivery</w:t>
      </w:r>
      <w:r>
        <w:t xml:space="preserve">" have matching meanings;</w:t>
      </w:r>
    </w:p>
    <w:p>
      <w:pPr>
        <w:tabs>
          <w:tab w:val="left" w:pos="1440"/>
        </w:tabs>
        <w:spacing w:after="120"/>
        <w:ind w:left="1440" w:hanging="720"/>
      </w:pPr>
      <w:r>
        <w:t xml:space="preserve">1.1.12A	</w:t>
      </w:r>
      <w:r>
        <w:t xml:space="preserve">"</w:t>
      </w:r>
      <w:r>
        <w:rPr>
          <w:b/>
          <w:bCs/>
        </w:rPr>
        <w:t xml:space="preserve">Dispute Evidence</w:t>
      </w:r>
      <w:r>
        <w:t xml:space="preserve">" means, for a Delivered Qualified Lead, the Consumer's consent record (consent text version, time stamp and source), the booking confirmation, and the Consumer's own answers to the qualification questions in Schedule 2;</w:t>
      </w:r>
    </w:p>
    <w:p>
      <w:pPr>
        <w:tabs>
          <w:tab w:val="left" w:pos="1440"/>
        </w:tabs>
        <w:spacing w:after="120"/>
        <w:ind w:left="1440" w:hanging="720"/>
      </w:pPr>
      <w:r>
        <w:t xml:space="preserve">1.1.13	</w:t>
      </w:r>
      <w:r>
        <w:t xml:space="preserve">"</w:t>
      </w:r>
      <w:r>
        <w:rPr>
          <w:b/>
          <w:bCs/>
        </w:rPr>
        <w:t xml:space="preserve">ECT Act</w:t>
      </w:r>
      <w:r>
        <w:t xml:space="preserve">" means the Electronic Communications and Transactions Act 25 of 2002;</w:t>
      </w:r>
    </w:p>
    <w:p>
      <w:pPr>
        <w:tabs>
          <w:tab w:val="left" w:pos="1440"/>
        </w:tabs>
        <w:spacing w:after="120"/>
        <w:ind w:left="1440" w:hanging="720"/>
      </w:pPr>
      <w:r>
        <w:t xml:space="preserve">1.1.14	</w:t>
      </w:r>
      <w:r>
        <w:t xml:space="preserve">"</w:t>
      </w:r>
      <w:r>
        <w:rPr>
          <w:b/>
          <w:bCs/>
        </w:rPr>
        <w:t xml:space="preserve">Effective Lead Price</w:t>
      </w:r>
      <w:r>
        <w:t xml:space="preserve">" means the Fee divided by the Committed Leads for the Client's Plan, rounded to the nearest rand, as shown in Schedule 1 (at the Fees shown there on the Signature Date: R850 for the Pilot Plan, R825 for Bronze, R817 for Silver and R789 for Gold);</w:t>
      </w:r>
    </w:p>
    <w:p>
      <w:pPr>
        <w:tabs>
          <w:tab w:val="left" w:pos="1440"/>
        </w:tabs>
        <w:spacing w:after="120"/>
        <w:ind w:left="1440" w:hanging="720"/>
      </w:pPr>
      <w:r>
        <w:t xml:space="preserve">1.1.15	</w:t>
      </w:r>
      <w:r>
        <w:t xml:space="preserve">"</w:t>
      </w:r>
      <w:r>
        <w:rPr>
          <w:b/>
          <w:bCs/>
        </w:rPr>
        <w:t xml:space="preserve">FAIS Act</w:t>
      </w:r>
      <w:r>
        <w:t xml:space="preserve">" means the Financial Advisory and Intermediary Services Act 37 of 2002;</w:t>
      </w:r>
    </w:p>
    <w:p>
      <w:pPr>
        <w:tabs>
          <w:tab w:val="left" w:pos="1440"/>
        </w:tabs>
        <w:spacing w:after="120"/>
        <w:ind w:left="1440" w:hanging="720"/>
      </w:pPr>
      <w:r>
        <w:t xml:space="preserve">1.1.16	</w:t>
      </w:r>
      <w:r>
        <w:t xml:space="preserve">"</w:t>
      </w:r>
      <w:r>
        <w:rPr>
          <w:b/>
          <w:bCs/>
        </w:rPr>
        <w:t xml:space="preserve">Fee</w:t>
      </w:r>
      <w:r>
        <w:t xml:space="preserve">" means the fee per Billing Cycle for the Client's Plan, as set out in Schedule 1;</w:t>
      </w:r>
    </w:p>
    <w:p>
      <w:pPr>
        <w:tabs>
          <w:tab w:val="left" w:pos="1440"/>
        </w:tabs>
        <w:spacing w:after="120"/>
        <w:ind w:left="1440" w:hanging="720"/>
      </w:pPr>
      <w:r>
        <w:t xml:space="preserve">1.1.17	</w:t>
      </w:r>
      <w:r>
        <w:t xml:space="preserve">"</w:t>
      </w:r>
      <w:r>
        <w:rPr>
          <w:b/>
          <w:bCs/>
        </w:rPr>
        <w:t xml:space="preserve">FSP Licence</w:t>
      </w:r>
      <w:r>
        <w:t xml:space="preserve">" means the Client's licence as an authorised financial services provider under section 8 of the FAIS Act, including the categories and subcategories it holds;</w:t>
      </w:r>
    </w:p>
    <w:p>
      <w:pPr>
        <w:tabs>
          <w:tab w:val="left" w:pos="1440"/>
        </w:tabs>
        <w:spacing w:after="120"/>
        <w:ind w:left="1440" w:hanging="720"/>
      </w:pPr>
      <w:r>
        <w:t xml:space="preserve">1.1.18	</w:t>
      </w:r>
      <w:r>
        <w:t xml:space="preserve">"</w:t>
      </w:r>
      <w:r>
        <w:rPr>
          <w:b/>
          <w:bCs/>
        </w:rPr>
        <w:t xml:space="preserve">General Code of Conduct</w:t>
      </w:r>
      <w:r>
        <w:t xml:space="preserve">" means the General Code of Conduct for Authorised Financial Services Providers and Representatives made under the FAIS Act;</w:t>
      </w:r>
    </w:p>
    <w:p>
      <w:pPr>
        <w:tabs>
          <w:tab w:val="left" w:pos="1440"/>
        </w:tabs>
        <w:spacing w:after="120"/>
        <w:ind w:left="1440" w:hanging="720"/>
      </w:pPr>
      <w:r>
        <w:t xml:space="preserve">1.1.19	</w:t>
      </w:r>
      <w:r>
        <w:t xml:space="preserve">"</w:t>
      </w:r>
      <w:r>
        <w:rPr>
          <w:b/>
          <w:bCs/>
        </w:rPr>
        <w:t xml:space="preserve">Intro Card</w:t>
      </w:r>
      <w:r>
        <w:t xml:space="preserve">" means the broker welcome card (message, image or card) that Lead Velocity sends to a Consumer on WhatsApp to introduce the Client, as described in Schedule 4;</w:t>
      </w:r>
    </w:p>
    <w:p>
      <w:pPr>
        <w:tabs>
          <w:tab w:val="left" w:pos="1440"/>
        </w:tabs>
        <w:spacing w:after="120"/>
        <w:ind w:left="1440" w:hanging="720"/>
      </w:pPr>
      <w:r>
        <w:t xml:space="preserve">1.1.20	</w:t>
      </w:r>
      <w:r>
        <w:t xml:space="preserve">"</w:t>
      </w:r>
      <w:r>
        <w:rPr>
          <w:b/>
          <w:bCs/>
        </w:rPr>
        <w:t xml:space="preserve">Lead Data</w:t>
      </w:r>
      <w:r>
        <w:t xml:space="preserve">" means the personal information about a Consumer that Lead Velocity collects through a Campaign;</w:t>
      </w:r>
    </w:p>
    <w:p>
      <w:pPr>
        <w:tabs>
          <w:tab w:val="left" w:pos="1440"/>
        </w:tabs>
        <w:spacing w:after="120"/>
        <w:ind w:left="1440" w:hanging="720"/>
      </w:pPr>
      <w:r>
        <w:t xml:space="preserve">1.1.21	</w:t>
      </w:r>
      <w:r>
        <w:t xml:space="preserve">"</w:t>
      </w:r>
      <w:r>
        <w:rPr>
          <w:b/>
          <w:bCs/>
        </w:rPr>
        <w:t xml:space="preserve">No-Show Lead</w:t>
      </w:r>
      <w:r>
        <w:t xml:space="preserve">" means a Qualified Lead who does not attend the booked appointment, as established under Schedule 3;</w:t>
      </w:r>
    </w:p>
    <w:p>
      <w:pPr>
        <w:tabs>
          <w:tab w:val="left" w:pos="1440"/>
        </w:tabs>
        <w:spacing w:after="120"/>
        <w:ind w:left="1440" w:hanging="720"/>
      </w:pPr>
      <w:r>
        <w:t xml:space="preserve">1.1.22	</w:t>
      </w:r>
      <w:r>
        <w:t xml:space="preserve">"</w:t>
      </w:r>
      <w:r>
        <w:rPr>
          <w:b/>
          <w:bCs/>
        </w:rPr>
        <w:t xml:space="preserve">Origin Records</w:t>
      </w:r>
      <w:r>
        <w:t xml:space="preserve">" means the records that show how and when a Consumer's consent and enquiry were obtained, including the consent text shown, the time stamp, the advertisement or Campaign clicked, UTM and similar tracking data, the submission record and the WhatsApp message log;</w:t>
      </w:r>
    </w:p>
    <w:p>
      <w:pPr>
        <w:tabs>
          <w:tab w:val="left" w:pos="1440"/>
        </w:tabs>
        <w:spacing w:after="120"/>
        <w:ind w:left="1440" w:hanging="720"/>
      </w:pPr>
      <w:r>
        <w:t xml:space="preserve">1.1.23	</w:t>
      </w:r>
      <w:r>
        <w:t xml:space="preserve">"</w:t>
      </w:r>
      <w:r>
        <w:rPr>
          <w:b/>
          <w:bCs/>
        </w:rPr>
        <w:t xml:space="preserve">Party</w:t>
      </w:r>
      <w:r>
        <w:t xml:space="preserve">" means Lead Velocity or the Client, and "</w:t>
      </w:r>
      <w:r>
        <w:rPr>
          <w:b/>
          <w:bCs/>
        </w:rPr>
        <w:t xml:space="preserve">Parties</w:t>
      </w:r>
      <w:r>
        <w:t xml:space="preserve">" means both of them;</w:t>
      </w:r>
    </w:p>
    <w:p>
      <w:pPr>
        <w:tabs>
          <w:tab w:val="left" w:pos="1440"/>
        </w:tabs>
        <w:spacing w:after="120"/>
        <w:ind w:left="1440" w:hanging="720"/>
      </w:pPr>
      <w:r>
        <w:t xml:space="preserve">1.1.24	</w:t>
      </w:r>
      <w:r>
        <w:t xml:space="preserve">"</w:t>
      </w:r>
      <w:r>
        <w:rPr>
          <w:b/>
          <w:bCs/>
        </w:rPr>
        <w:t xml:space="preserve">Plan</w:t>
      </w:r>
      <w:r>
        <w:t xml:space="preserve">" means the plan the Client has chosen (Pilot, Bronze, Silver or Gold), as set out in Schedule 1, and "</w:t>
      </w:r>
      <w:r>
        <w:rPr>
          <w:b/>
          <w:bCs/>
        </w:rPr>
        <w:t xml:space="preserve">Pilot Plan</w:t>
      </w:r>
      <w:r>
        <w:t xml:space="preserve">" means the once-off introductory Plan described in clause 9.7;</w:t>
      </w:r>
    </w:p>
    <w:p>
      <w:pPr>
        <w:tabs>
          <w:tab w:val="left" w:pos="1440"/>
        </w:tabs>
        <w:spacing w:after="120"/>
        <w:ind w:left="1440" w:hanging="720"/>
      </w:pPr>
      <w:r>
        <w:t xml:space="preserve">1.1.25	</w:t>
      </w:r>
      <w:r>
        <w:t xml:space="preserve">"</w:t>
      </w:r>
      <w:r>
        <w:rPr>
          <w:b/>
          <w:bCs/>
        </w:rPr>
        <w:t xml:space="preserve">POPIA</w:t>
      </w:r>
      <w:r>
        <w:t xml:space="preserve">" means the Protection of Personal Information Act 4 of 2013, and "</w:t>
      </w:r>
      <w:r>
        <w:rPr>
          <w:b/>
          <w:bCs/>
        </w:rPr>
        <w:t xml:space="preserve">personal information</w:t>
      </w:r>
      <w:r>
        <w:t xml:space="preserve">", "</w:t>
      </w:r>
      <w:r>
        <w:rPr>
          <w:b/>
          <w:bCs/>
        </w:rPr>
        <w:t xml:space="preserve">special personal information</w:t>
      </w:r>
      <w:r>
        <w:t xml:space="preserve">", "</w:t>
      </w:r>
      <w:r>
        <w:rPr>
          <w:b/>
          <w:bCs/>
        </w:rPr>
        <w:t xml:space="preserve">processing</w:t>
      </w:r>
      <w:r>
        <w:t xml:space="preserve">", "</w:t>
      </w:r>
      <w:r>
        <w:rPr>
          <w:b/>
          <w:bCs/>
        </w:rPr>
        <w:t xml:space="preserve">responsible party</w:t>
      </w:r>
      <w:r>
        <w:t xml:space="preserve">", "</w:t>
      </w:r>
      <w:r>
        <w:rPr>
          <w:b/>
          <w:bCs/>
        </w:rPr>
        <w:t xml:space="preserve">operator</w:t>
      </w:r>
      <w:r>
        <w:t xml:space="preserve">", "</w:t>
      </w:r>
      <w:r>
        <w:rPr>
          <w:b/>
          <w:bCs/>
        </w:rPr>
        <w:t xml:space="preserve">data subject</w:t>
      </w:r>
      <w:r>
        <w:t xml:space="preserve">" and "</w:t>
      </w:r>
      <w:r>
        <w:rPr>
          <w:b/>
          <w:bCs/>
        </w:rPr>
        <w:t xml:space="preserve">direct marketing</w:t>
      </w:r>
      <w:r>
        <w:t xml:space="preserve">" have the meanings given in POPIA;</w:t>
      </w:r>
    </w:p>
    <w:p>
      <w:pPr>
        <w:tabs>
          <w:tab w:val="left" w:pos="1440"/>
        </w:tabs>
        <w:spacing w:after="120"/>
        <w:ind w:left="1440" w:hanging="720"/>
      </w:pPr>
      <w:r>
        <w:t xml:space="preserve">1.1.26	</w:t>
      </w:r>
      <w:r>
        <w:t xml:space="preserve">"</w:t>
      </w:r>
      <w:r>
        <w:rPr>
          <w:b/>
          <w:bCs/>
        </w:rPr>
        <w:t xml:space="preserve">Pricing Page</w:t>
      </w:r>
      <w:r>
        <w:t xml:space="preserve">" means the page at www.leadvelocity.co.za/pricing, as updated from time to time;</w:t>
      </w:r>
    </w:p>
    <w:p>
      <w:pPr>
        <w:tabs>
          <w:tab w:val="left" w:pos="1440"/>
        </w:tabs>
        <w:spacing w:after="120"/>
        <w:ind w:left="1440" w:hanging="720"/>
      </w:pPr>
      <w:r>
        <w:t xml:space="preserve">1.1.27	</w:t>
      </w:r>
      <w:r>
        <w:t xml:space="preserve">"</w:t>
      </w:r>
      <w:r>
        <w:rPr>
          <w:b/>
          <w:bCs/>
        </w:rPr>
        <w:t xml:space="preserve">Qualified Lead</w:t>
      </w:r>
      <w:r>
        <w:t xml:space="preserve">" means a Consumer who meets every criterion in clause 5.1 and Schedule 2;</w:t>
      </w:r>
    </w:p>
    <w:p>
      <w:pPr>
        <w:tabs>
          <w:tab w:val="left" w:pos="1440"/>
        </w:tabs>
        <w:spacing w:after="120"/>
        <w:ind w:left="1440" w:hanging="720"/>
      </w:pPr>
      <w:r>
        <w:t xml:space="preserve">1.1.28	</w:t>
      </w:r>
      <w:r>
        <w:t xml:space="preserve">"</w:t>
      </w:r>
      <w:r>
        <w:rPr>
          <w:b/>
          <w:bCs/>
        </w:rPr>
        <w:t xml:space="preserve">Replacement Lead</w:t>
      </w:r>
      <w:r>
        <w:t xml:space="preserve">" means a Qualified Lead that Lead Velocity chooses to supply under clause 7 in place of a No-Show Lead or an Uncontactable Lead, within the maximum of 3 replacement requests per Calendar Week in clause 7.2;</w:t>
      </w:r>
    </w:p>
    <w:p>
      <w:pPr>
        <w:tabs>
          <w:tab w:val="left" w:pos="1440"/>
        </w:tabs>
        <w:spacing w:after="120"/>
        <w:ind w:left="1440" w:hanging="720"/>
      </w:pPr>
      <w:r>
        <w:t xml:space="preserve">1.1.29	</w:t>
      </w:r>
      <w:r>
        <w:t xml:space="preserve">"</w:t>
      </w:r>
      <w:r>
        <w:rPr>
          <w:b/>
          <w:bCs/>
        </w:rPr>
        <w:t xml:space="preserve">Rollover Period</w:t>
      </w:r>
      <w:r>
        <w:t xml:space="preserve">" means the period of up to 14 days immediately after the end of a Billing Cycle (ending on day 44 counted from the start of that Billing Cycle), and never longer;</w:t>
      </w:r>
    </w:p>
    <w:p>
      <w:pPr>
        <w:tabs>
          <w:tab w:val="left" w:pos="1440"/>
        </w:tabs>
        <w:spacing w:after="120"/>
        <w:ind w:left="1440" w:hanging="720"/>
      </w:pPr>
      <w:r>
        <w:t xml:space="preserve">1.1.30	</w:t>
      </w:r>
      <w:r>
        <w:t xml:space="preserve">"</w:t>
      </w:r>
      <w:r>
        <w:rPr>
          <w:b/>
          <w:bCs/>
        </w:rPr>
        <w:t xml:space="preserve">Services</w:t>
      </w:r>
      <w:r>
        <w:t xml:space="preserve">" means the services described in clause 4;</w:t>
      </w:r>
    </w:p>
    <w:p>
      <w:pPr>
        <w:tabs>
          <w:tab w:val="left" w:pos="1440"/>
        </w:tabs>
        <w:spacing w:after="120"/>
        <w:ind w:left="1440" w:hanging="720"/>
      </w:pPr>
      <w:r>
        <w:t xml:space="preserve">1.1.31	</w:t>
      </w:r>
      <w:r>
        <w:t xml:space="preserve">"</w:t>
      </w:r>
      <w:r>
        <w:rPr>
          <w:b/>
          <w:bCs/>
        </w:rPr>
        <w:t xml:space="preserve">Shortfall</w:t>
      </w:r>
      <w:r>
        <w:t xml:space="preserve">" means the number of Committed Leads (or Top-Up Leads) not Delivered by the end of the relevant Billing Cycle;</w:t>
      </w:r>
    </w:p>
    <w:p>
      <w:pPr>
        <w:tabs>
          <w:tab w:val="left" w:pos="1440"/>
        </w:tabs>
        <w:spacing w:after="120"/>
        <w:ind w:left="1440" w:hanging="720"/>
      </w:pPr>
      <w:r>
        <w:t xml:space="preserve">1.1.32	</w:t>
      </w:r>
      <w:r>
        <w:t xml:space="preserve">"</w:t>
      </w:r>
      <w:r>
        <w:rPr>
          <w:b/>
          <w:bCs/>
        </w:rPr>
        <w:t xml:space="preserve">SortMyCover</w:t>
      </w:r>
      <w:r>
        <w:t xml:space="preserve">" means the consumer-facing brand and trading name of Lead Velocity;</w:t>
      </w:r>
    </w:p>
    <w:p>
      <w:pPr>
        <w:tabs>
          <w:tab w:val="left" w:pos="1440"/>
        </w:tabs>
        <w:spacing w:after="120"/>
        <w:ind w:left="1440" w:hanging="720"/>
      </w:pPr>
      <w:r>
        <w:t xml:space="preserve">1.1.33	</w:t>
      </w:r>
      <w:r>
        <w:t xml:space="preserve">"</w:t>
      </w:r>
      <w:r>
        <w:rPr>
          <w:b/>
          <w:bCs/>
        </w:rPr>
        <w:t xml:space="preserve">Top-Up</w:t>
      </w:r>
      <w:r>
        <w:t xml:space="preserve">" means an order for additional Qualified Leads under clause 9.1, and "</w:t>
      </w:r>
      <w:r>
        <w:rPr>
          <w:b/>
          <w:bCs/>
        </w:rPr>
        <w:t xml:space="preserve">Top-Up Leads</w:t>
      </w:r>
      <w:r>
        <w:t xml:space="preserve">" means the Qualified Leads ordered in a Top-Up;</w:t>
      </w:r>
    </w:p>
    <w:p>
      <w:pPr>
        <w:tabs>
          <w:tab w:val="left" w:pos="1440"/>
        </w:tabs>
        <w:spacing w:after="120"/>
        <w:ind w:left="1440" w:hanging="720"/>
      </w:pPr>
      <w:r>
        <w:t xml:space="preserve">1.1.34	</w:t>
      </w:r>
      <w:r>
        <w:t xml:space="preserve">"</w:t>
      </w:r>
      <w:r>
        <w:rPr>
          <w:b/>
          <w:bCs/>
        </w:rPr>
        <w:t xml:space="preserve">Top-Up Price</w:t>
      </w:r>
      <w:r>
        <w:t xml:space="preserve">" means the price per Top-Up Lead set out in Schedule 1;</w:t>
      </w:r>
    </w:p>
    <w:p>
      <w:pPr>
        <w:tabs>
          <w:tab w:val="left" w:pos="1440"/>
        </w:tabs>
        <w:spacing w:after="120"/>
        <w:ind w:left="1440" w:hanging="720"/>
      </w:pPr>
      <w:r>
        <w:t xml:space="preserve">1.1.35	</w:t>
      </w:r>
      <w:r>
        <w:t xml:space="preserve">"</w:t>
      </w:r>
      <w:r>
        <w:rPr>
          <w:b/>
          <w:bCs/>
        </w:rPr>
        <w:t xml:space="preserve">Uncontactable Lead</w:t>
      </w:r>
      <w:r>
        <w:t xml:space="preserve">" means a Qualified Lead whom the Client could not reach after Delivery and before the Consumer attended any appointment with the Client, either because, for an appointment held by phone or WhatsApp call, the Consumer answered neither of the Client's calls (made at the booked start time and again at least 10 minutes later, on every phone number in the Lead Data), or because, in any other case, the Consumer did not answer or reply to at least 3 attempts by the Client to reach the Consumer over at least 72 hours, in each case as established under Schedule 3 (S3.4). A lead whose contact details are shown to be wrong, disconnected or someone else's is not an Uncontactable Lead; clause 5.8(d) applies to it;</w:t>
      </w:r>
    </w:p>
    <w:p>
      <w:pPr>
        <w:tabs>
          <w:tab w:val="left" w:pos="1440"/>
        </w:tabs>
        <w:spacing w:after="120"/>
        <w:ind w:left="1440" w:hanging="720"/>
      </w:pPr>
      <w:r>
        <w:t xml:space="preserve">1.1.36	</w:t>
      </w:r>
      <w:r>
        <w:t xml:space="preserve">"</w:t>
      </w:r>
      <w:r>
        <w:rPr>
          <w:b/>
          <w:bCs/>
        </w:rPr>
        <w:t xml:space="preserve">VAT</w:t>
      </w:r>
      <w:r>
        <w:t xml:space="preserve">" means value-added tax under the Value-Added Tax Act 89 of 1991; and</w:t>
      </w:r>
    </w:p>
    <w:p>
      <w:pPr>
        <w:tabs>
          <w:tab w:val="left" w:pos="1440"/>
        </w:tabs>
        <w:spacing w:after="120"/>
        <w:ind w:left="1440" w:hanging="720"/>
      </w:pPr>
      <w:r>
        <w:t xml:space="preserve">1.1.37	</w:t>
      </w:r>
      <w:r>
        <w:t xml:space="preserve">"</w:t>
      </w:r>
      <w:r>
        <w:rPr>
          <w:b/>
          <w:bCs/>
        </w:rPr>
        <w:t xml:space="preserve">writing</w:t>
      </w:r>
      <w:r>
        <w:t xml:space="preserve">" includes email and any other data message as defined in the ECT Act, and "</w:t>
      </w:r>
      <w:r>
        <w:rPr>
          <w:b/>
          <w:bCs/>
        </w:rPr>
        <w:t xml:space="preserve">written</w:t>
      </w:r>
      <w:r>
        <w:t xml:space="preserve">" has a matching meaning.</w:t>
      </w:r>
    </w:p>
    <w:p>
      <w:pPr>
        <w:tabs>
          <w:tab w:val="left" w:pos="720"/>
        </w:tabs>
        <w:spacing w:after="120"/>
        <w:ind w:left="720" w:hanging="720"/>
      </w:pPr>
      <w:r>
        <w:t xml:space="preserve">1.2	</w:t>
      </w:r>
      <w:r>
        <w:t xml:space="preserve">Headings are for convenience only and do not affect interpretation. The singular includes the plural and the other way round. "Including" means "including without limitation". A reference to a law includes that law as amended or replaced.</w:t>
      </w:r>
    </w:p>
    <w:p>
      <w:pPr>
        <w:tabs>
          <w:tab w:val="left" w:pos="720"/>
        </w:tabs>
        <w:spacing w:after="120"/>
        <w:ind w:left="720" w:hanging="720"/>
      </w:pPr>
      <w:r>
        <w:t xml:space="preserve">1.3	</w:t>
      </w:r>
      <w:r>
        <w:t xml:space="preserve">If a clause in the body of this Agreement conflicts with a Schedule, the body prevails, except that Schedule 1 prevails on prices and quantities.</w:t>
      </w:r>
    </w:p>
    <w:p>
      <w:pPr>
        <w:tabs>
          <w:tab w:val="left" w:pos="720"/>
        </w:tabs>
        <w:spacing w:after="120"/>
        <w:ind w:left="720" w:hanging="720"/>
      </w:pPr>
      <w:r>
        <w:t xml:space="preserve">1.4	</w:t>
      </w:r>
      <w:r>
        <w:t xml:space="preserve">The rule that a contract is interpreted against the party that drafted it does not apply.</w:t>
      </w:r>
    </w:p>
    <w:p>
      <w:pPr>
        <w:pStyle w:val="Heading1"/>
        <w:keepNext/>
      </w:pPr>
      <w:r>
        <w:t xml:space="preserve">2. Commencement, start of delivery and term</w:t>
      </w:r>
    </w:p>
    <w:p>
      <w:pPr>
        <w:tabs>
          <w:tab w:val="left" w:pos="720"/>
        </w:tabs>
        <w:spacing w:after="120"/>
        <w:ind w:left="720" w:hanging="720"/>
      </w:pPr>
      <w:r>
        <w:t xml:space="preserve">2.1	</w:t>
      </w:r>
      <w:r>
        <w:t xml:space="preserve">This Agreement starts on the date it is signed by the last Party to sign (the "</w:t>
      </w:r>
      <w:r>
        <w:rPr>
          <w:b/>
          <w:bCs/>
        </w:rPr>
        <w:t xml:space="preserve">Signature Date</w:t>
      </w:r>
      <w:r>
        <w:t xml:space="preserve">").</w:t>
      </w:r>
    </w:p>
    <w:p>
      <w:pPr>
        <w:tabs>
          <w:tab w:val="left" w:pos="720"/>
        </w:tabs>
        <w:spacing w:after="120"/>
        <w:ind w:left="720" w:hanging="720"/>
      </w:pPr>
      <w:r>
        <w:t xml:space="preserve">2.2	</w:t>
      </w:r>
      <w:r>
        <w:t xml:space="preserve">Lead Velocity will start delivery within </w:t>
      </w:r>
      <w:r>
        <w:rPr>
          <w:highlight w:val="yellow"/>
          <w:highlightCs w:val="yellow"/>
        </w:rPr>
        <w:t xml:space="preserve">[3]</w:t>
      </w:r>
      <w:r>
        <w:t xml:space="preserve"> Business Days after the later of: (a) the date the first Fee has cleared in Lead Velocity's account; and (b) the date the Client has given Lead Velocity the onboarding items listed in Schedule 1. That start date is the Cycle Start Date.</w:t>
      </w:r>
    </w:p>
    <w:p>
      <w:pPr>
        <w:tabs>
          <w:tab w:val="left" w:pos="720"/>
        </w:tabs>
        <w:spacing w:after="120"/>
        <w:ind w:left="720" w:hanging="720"/>
      </w:pPr>
      <w:r>
        <w:t xml:space="preserve">2.3	</w:t>
      </w:r>
      <w:r>
        <w:t xml:space="preserve">This Agreement runs month-to-month. It renews for a further Billing Cycle each time the Client pays the Fee for that Billing Cycle in advance under clause 10. There is no minimum number of Billing Cycles.</w:t>
      </w:r>
    </w:p>
    <w:p>
      <w:pPr>
        <w:tabs>
          <w:tab w:val="left" w:pos="720"/>
        </w:tabs>
        <w:spacing w:after="120"/>
        <w:ind w:left="720" w:hanging="720"/>
      </w:pPr>
      <w:r>
        <w:t xml:space="preserve">2.4	</w:t>
      </w:r>
      <w:r>
        <w:t xml:space="preserve">This Agreement continues until it is terminated under clause 11.</w:t>
      </w:r>
    </w:p>
    <w:p>
      <w:pPr>
        <w:pStyle w:val="Heading1"/>
        <w:keepNext/>
      </w:pPr>
      <w:r>
        <w:t xml:space="preserve">3. Nature of the relationship</w:t>
      </w:r>
    </w:p>
    <w:p>
      <w:pPr>
        <w:tabs>
          <w:tab w:val="left" w:pos="720"/>
        </w:tabs>
        <w:spacing w:after="120"/>
        <w:ind w:left="720" w:hanging="720"/>
      </w:pPr>
      <w:r>
        <w:t xml:space="preserve">3.1	</w:t>
      </w:r>
      <w:r>
        <w:rPr>
          <w:b/>
          <w:bCs/>
        </w:rPr>
        <w:t xml:space="preserve">Lead Velocity is a marketing agency only.</w:t>
      </w:r>
      <w:r>
        <w:t xml:space="preserve"> Lead Velocity is a marketing and lead-generation agency. It is not a financial services provider, a Representative, a juristic representative or an intermediary of the Client or of any product supplier, and it does not render Financial Services.</w:t>
      </w:r>
    </w:p>
    <w:p>
      <w:pPr>
        <w:pBdr>
          <w:left w:val="single" w:color="A6A6A6" w:sz="18" w:space="6"/>
        </w:pBdr>
        <w:shd w:fill="F2F2F2" w:color="auto" w:val="clear"/>
        <w:spacing w:after="160" w:before="60"/>
        <w:ind w:left="720" w:right="0"/>
      </w:pPr>
      <w:r>
        <w:rPr>
          <w:i/>
          <w:iCs/>
          <w:color w:val="595959"/>
          <w:sz w:val="18"/>
          <w:szCs w:val="18"/>
        </w:rPr>
        <w:t xml:space="preserve">[LAWYER REVIEW: Core FAIS firewall (research-memo.md §1, §2, R1). Raspberry Academy v Oaksure (2026 ZAGPJHC 388, SAFLII) looks past labels to operative terms and conduct. The firewall rests on three bases: (a) no direct causal link between Lead Velocity's acts and any transaction with a product supplier (Raspberry para 19, para 26; Tristar); (b) Lead Velocity acts for its own account, not "for or on behalf of" a client or product supplier (clause 3.7); (c) any advice-like content falls within the s1(3)(a) factual and promotional-material exclusions. The "no judgment / general enquiries" wording is an exclusion from "representative" only and is NOT relied on. Memo R2 offers an alternative structure (mechanical service performed for the FSP); do not mix the two.]</w:t>
      </w:r>
    </w:p>
    <w:p>
      <w:pPr>
        <w:tabs>
          <w:tab w:val="left" w:pos="720"/>
        </w:tabs>
        <w:spacing w:after="120"/>
        <w:ind w:left="720" w:hanging="720"/>
      </w:pPr>
      <w:r>
        <w:t xml:space="preserve">3.2	</w:t>
      </w:r>
      <w:r>
        <w:rPr>
          <w:b/>
          <w:bCs/>
        </w:rPr>
        <w:t xml:space="preserve">What Lead Velocity does not do.</w:t>
      </w:r>
      <w:r>
        <w:t xml:space="preserve"> Lead Velocity does not, and will not:</w:t>
      </w:r>
    </w:p>
    <w:p>
      <w:pPr>
        <w:tabs>
          <w:tab w:val="left" w:pos="1287"/>
        </w:tabs>
        <w:spacing w:after="80"/>
        <w:ind w:left="1287" w:hanging="567"/>
      </w:pPr>
      <w:r>
        <w:t xml:space="preserve">(a)	</w:t>
      </w:r>
      <w:r>
        <w:t xml:space="preserve">give Advice to any Consumer;</w:t>
      </w:r>
    </w:p>
    <w:p>
      <w:pPr>
        <w:tabs>
          <w:tab w:val="left" w:pos="1287"/>
        </w:tabs>
        <w:spacing w:after="80"/>
        <w:ind w:left="1287" w:hanging="567"/>
      </w:pPr>
      <w:r>
        <w:t xml:space="preserve">(b)	</w:t>
      </w:r>
      <w:r>
        <w:t xml:space="preserve">recommend, compare or quote any Financial Product, insurer or premium;</w:t>
      </w:r>
    </w:p>
    <w:p>
      <w:pPr>
        <w:tabs>
          <w:tab w:val="left" w:pos="1287"/>
        </w:tabs>
        <w:spacing w:after="80"/>
        <w:ind w:left="1287" w:hanging="567"/>
      </w:pPr>
      <w:r>
        <w:t xml:space="preserve">(c)	</w:t>
      </w:r>
      <w:r>
        <w:t xml:space="preserve">discuss the features, benefits, exclusions or cost of any Financial Product;</w:t>
      </w:r>
    </w:p>
    <w:p>
      <w:pPr>
        <w:tabs>
          <w:tab w:val="left" w:pos="1287"/>
        </w:tabs>
        <w:spacing w:after="80"/>
        <w:ind w:left="1287" w:hanging="567"/>
      </w:pPr>
      <w:r>
        <w:t xml:space="preserve">(d)	</w:t>
      </w:r>
      <w:r>
        <w:t xml:space="preserve">collect, complete or submit any application or proposal form;</w:t>
      </w:r>
    </w:p>
    <w:p>
      <w:pPr>
        <w:tabs>
          <w:tab w:val="left" w:pos="1287"/>
        </w:tabs>
        <w:spacing w:after="80"/>
        <w:ind w:left="1287" w:hanging="567"/>
      </w:pPr>
      <w:r>
        <w:t xml:space="preserve">(e)	</w:t>
      </w:r>
      <w:r>
        <w:t xml:space="preserve">collect, receive or handle premiums or any other money from Consumers; or</w:t>
      </w:r>
    </w:p>
    <w:p>
      <w:pPr>
        <w:tabs>
          <w:tab w:val="left" w:pos="1287"/>
        </w:tabs>
        <w:spacing w:after="80"/>
        <w:ind w:left="1287" w:hanging="567"/>
      </w:pPr>
      <w:r>
        <w:t xml:space="preserve">(f)	</w:t>
      </w:r>
      <w:r>
        <w:t xml:space="preserve">perform any other act the result of which is that a Consumer may enter into, offers to enter into or enters into any transaction in respect of a Financial Product.</w:t>
      </w:r>
    </w:p>
    <w:p>
      <w:pPr>
        <w:tabs>
          <w:tab w:val="left" w:pos="720"/>
        </w:tabs>
        <w:spacing w:after="120"/>
        <w:ind w:left="720" w:hanging="720"/>
      </w:pPr>
      <w:r>
        <w:t xml:space="preserve">3.3	</w:t>
      </w:r>
      <w:r>
        <w:rPr>
          <w:b/>
          <w:bCs/>
        </w:rPr>
        <w:t xml:space="preserve">What Lead Velocity does.</w:t>
      </w:r>
      <w:r>
        <w:t xml:space="preserve"> Lead Velocity only:</w:t>
      </w:r>
    </w:p>
    <w:p>
      <w:pPr>
        <w:tabs>
          <w:tab w:val="left" w:pos="1287"/>
        </w:tabs>
        <w:spacing w:after="80"/>
        <w:ind w:left="1287" w:hanging="567"/>
      </w:pPr>
      <w:r>
        <w:t xml:space="preserve">(a)	</w:t>
      </w:r>
      <w:r>
        <w:t xml:space="preserve">runs broker-neutral advertising that names no Financial Product, insurer, premium or cover amount;</w:t>
      </w:r>
    </w:p>
    <w:p>
      <w:pPr>
        <w:tabs>
          <w:tab w:val="left" w:pos="1287"/>
        </w:tabs>
        <w:spacing w:after="80"/>
        <w:ind w:left="1287" w:hanging="567"/>
      </w:pPr>
      <w:r>
        <w:t xml:space="preserve">(b)	</w:t>
      </w:r>
      <w:r>
        <w:t xml:space="preserve">captures Consumer interest and POPIA-compliant consent;</w:t>
      </w:r>
    </w:p>
    <w:p>
      <w:pPr>
        <w:tabs>
          <w:tab w:val="left" w:pos="1287"/>
        </w:tabs>
        <w:spacing w:after="80"/>
        <w:ind w:left="1287" w:hanging="567"/>
      </w:pPr>
      <w:r>
        <w:t xml:space="preserve">(c)	</w:t>
      </w:r>
      <w:r>
        <w:t xml:space="preserve">pre-qualifies Consumers against the objective demographic and self-declared affordability criteria in Schedule 2;</w:t>
      </w:r>
    </w:p>
    <w:p>
      <w:pPr>
        <w:tabs>
          <w:tab w:val="left" w:pos="1287"/>
        </w:tabs>
        <w:spacing w:after="80"/>
        <w:ind w:left="1287" w:hanging="567"/>
      </w:pPr>
      <w:r>
        <w:t xml:space="preserve">(d)	</w:t>
      </w:r>
      <w:r>
        <w:t xml:space="preserve">books an introductory appointment between the Consumer and the Client; and</w:t>
      </w:r>
    </w:p>
    <w:p>
      <w:pPr>
        <w:tabs>
          <w:tab w:val="left" w:pos="1287"/>
        </w:tabs>
        <w:spacing w:after="80"/>
        <w:ind w:left="1287" w:hanging="567"/>
      </w:pPr>
      <w:r>
        <w:t xml:space="preserve">(e)	</w:t>
      </w:r>
      <w:r>
        <w:t xml:space="preserve">sends the Consumer logistics-only appointment confirmations and reminders under clause 3.8.</w:t>
      </w:r>
    </w:p>
    <w:p>
      <w:pPr>
        <w:tabs>
          <w:tab w:val="left" w:pos="720"/>
        </w:tabs>
        <w:spacing w:after="120"/>
        <w:ind w:left="720" w:hanging="720"/>
      </w:pPr>
      <w:r>
        <w:t xml:space="preserve">3.4	</w:t>
      </w:r>
      <w:r>
        <w:rPr>
          <w:b/>
          <w:bCs/>
        </w:rPr>
        <w:t xml:space="preserve">Questions are deferred to the Client.</w:t>
      </w:r>
      <w:r>
        <w:t xml:space="preserve"> If a Consumer asks Lead Velocity (including its automated WhatsApp assistant) any question about products, cover, cost, premiums, suitability or advice, Lead Velocity will tell the Consumer that the Client will answer it at the appointment, and will not answer it itself.</w:t>
      </w:r>
    </w:p>
    <w:p>
      <w:pPr>
        <w:tabs>
          <w:tab w:val="left" w:pos="720"/>
        </w:tabs>
        <w:spacing w:after="120"/>
        <w:ind w:left="720" w:hanging="720"/>
      </w:pPr>
      <w:r>
        <w:t xml:space="preserve">3.5	</w:t>
      </w:r>
      <w:r>
        <w:rPr>
          <w:b/>
          <w:bCs/>
        </w:rPr>
        <w:t xml:space="preserve">Independent contractor.</w:t>
      </w:r>
      <w:r>
        <w:t xml:space="preserve"> Lead Velocity provides the Services as an independent contractor. Nothing in this Agreement creates a partnership, joint venture, agency, employment relationship or Representative or juristic representative appointment between the Parties. Neither Party may bind the other or hold itself out as the other's agent or Representative. The Client must not appoint Lead Velocity, or list it on the FSCA register, as its Representative or juristic representative.</w:t>
      </w:r>
    </w:p>
    <w:p>
      <w:pPr>
        <w:tabs>
          <w:tab w:val="left" w:pos="720"/>
        </w:tabs>
        <w:spacing w:after="120"/>
        <w:ind w:left="720" w:hanging="720"/>
      </w:pPr>
      <w:r>
        <w:t xml:space="preserve">3.6	</w:t>
      </w:r>
      <w:r>
        <w:rPr>
          <w:b/>
          <w:bCs/>
        </w:rPr>
        <w:t xml:space="preserve">Substance over form.</w:t>
      </w:r>
      <w:r>
        <w:t xml:space="preserve"> Each Party will conduct itself in practice in line with clauses 3.1 to 3.5 and 3.7 to 3.11 for the whole of this Agreement. In particular:</w:t>
      </w:r>
    </w:p>
    <w:p>
      <w:pPr>
        <w:tabs>
          <w:tab w:val="left" w:pos="1287"/>
        </w:tabs>
        <w:spacing w:after="80"/>
        <w:ind w:left="1287" w:hanging="567"/>
      </w:pPr>
      <w:r>
        <w:t xml:space="preserve">(a)	</w:t>
      </w:r>
      <w:r>
        <w:t xml:space="preserve">the Client will not ask or allow Lead Velocity to do anything listed in clause 3.2;</w:t>
      </w:r>
    </w:p>
    <w:p>
      <w:pPr>
        <w:tabs>
          <w:tab w:val="left" w:pos="1287"/>
        </w:tabs>
        <w:spacing w:after="80"/>
        <w:ind w:left="1287" w:hanging="567"/>
      </w:pPr>
      <w:r>
        <w:t xml:space="preserve">(b)	</w:t>
      </w:r>
      <w:r>
        <w:t xml:space="preserve">the Client will not pay, and Lead Velocity will not accept, any amount linked to the outcome of any appointment, application or Financial Product;</w:t>
      </w:r>
    </w:p>
    <w:p>
      <w:pPr>
        <w:tabs>
          <w:tab w:val="left" w:pos="1287"/>
        </w:tabs>
        <w:spacing w:after="80"/>
        <w:ind w:left="1287" w:hanging="567"/>
      </w:pPr>
      <w:r>
        <w:t xml:space="preserve">(c)	</w:t>
      </w:r>
      <w:r>
        <w:t xml:space="preserve">Lead Velocity's scripts, Campaign wording and WhatsApp assistant will be configured to keep within clause 3.3, and Lead Velocity will correct any deviation promptly once it becomes aware of it; and</w:t>
      </w:r>
    </w:p>
    <w:p>
      <w:pPr>
        <w:tabs>
          <w:tab w:val="left" w:pos="1287"/>
        </w:tabs>
        <w:spacing w:after="80"/>
        <w:ind w:left="1287" w:hanging="567"/>
      </w:pPr>
      <w:r>
        <w:t xml:space="preserve">(d)	</w:t>
      </w:r>
      <w:r>
        <w:t xml:space="preserve">if either Party becomes aware of any practice that may cause Lead Velocity to render Financial Services, it will notify the other in writing and the Parties will stop that practice at once.</w:t>
      </w:r>
    </w:p>
    <w:p>
      <w:pPr>
        <w:pBdr>
          <w:left w:val="single" w:color="A6A6A6" w:sz="18" w:space="6"/>
        </w:pBdr>
        <w:shd w:fill="F2F2F2" w:color="auto" w:val="clear"/>
        <w:spacing w:after="160" w:before="60"/>
        <w:ind w:left="720" w:right="0"/>
      </w:pPr>
      <w:r>
        <w:rPr>
          <w:i/>
          <w:iCs/>
          <w:color w:val="595959"/>
          <w:sz w:val="18"/>
          <w:szCs w:val="18"/>
        </w:rPr>
        <w:t xml:space="preserve">[LAWYER REVIEW: Covenant to operate in line with the contract in practice (research-memo.md §1, R3, R6). Courts assess substance over form. Confirm the covenant is effective and whether a periodic compliance attestation or audit right should be added.]</w:t>
      </w:r>
    </w:p>
    <w:p>
      <w:pPr>
        <w:tabs>
          <w:tab w:val="left" w:pos="720"/>
        </w:tabs>
        <w:spacing w:after="120"/>
        <w:ind w:left="720" w:hanging="720"/>
      </w:pPr>
      <w:r>
        <w:t xml:space="preserve">3.7	</w:t>
      </w:r>
      <w:r>
        <w:rPr>
          <w:b/>
          <w:bCs/>
        </w:rPr>
        <w:t xml:space="preserve">Own account.</w:t>
      </w:r>
      <w:r>
        <w:t xml:space="preserve"> Lead Velocity acts for its own account in providing the Services. It does not act for or on behalf of any Consumer or any product supplier, has no agreement with any insurer or other product supplier in connection with the Services, and does not stand between any Consumer and any product supplier. The Client alone deals with product suppliers.</w:t>
      </w:r>
    </w:p>
    <w:p>
      <w:pPr>
        <w:tabs>
          <w:tab w:val="left" w:pos="720"/>
        </w:tabs>
        <w:spacing w:after="120"/>
        <w:ind w:left="720" w:hanging="720"/>
      </w:pPr>
      <w:r>
        <w:t xml:space="preserve">3.8	</w:t>
      </w:r>
      <w:r>
        <w:rPr>
          <w:b/>
          <w:bCs/>
        </w:rPr>
        <w:t xml:space="preserve">Logistics-only messages.</w:t>
      </w:r>
      <w:r>
        <w:t xml:space="preserve"> Every message Lead Velocity sends to a Consumer after consent, including the Intro Card and every reminder, is limited to logistics: the appointment date, time, method and link; the Client's name, practice name and FSP number; the statement that SortMyCover gives no financial advice, product comparisons or premium quotes; rescheduling and cancellation; and how to opt out. Lead Velocity will not include any benefit statement, any reference to "appropriate", "right" or "best" cover, any premium or cover figure, or any other content that promotes a Financial Product, and will never repeat a Consumer's budget band back to them as a price.</w:t>
      </w:r>
    </w:p>
    <w:p>
      <w:pPr>
        <w:tabs>
          <w:tab w:val="left" w:pos="720"/>
        </w:tabs>
        <w:spacing w:after="120"/>
        <w:ind w:left="720" w:hanging="720"/>
      </w:pPr>
      <w:r>
        <w:t xml:space="preserve">3.9	</w:t>
      </w:r>
      <w:r>
        <w:rPr>
          <w:b/>
          <w:bCs/>
        </w:rPr>
        <w:t xml:space="preserve">No product control.</w:t>
      </w:r>
      <w:r>
        <w:t xml:space="preserve"> The Client will not ask Lead Velocity to promote, prefer, exclude or comment on any Financial Product, insurer or provider, and Lead Velocity has no right to influence which Financial Products the Client offers to any Consumer.</w:t>
      </w:r>
    </w:p>
    <w:p>
      <w:pPr>
        <w:tabs>
          <w:tab w:val="left" w:pos="720"/>
        </w:tabs>
        <w:spacing w:after="120"/>
        <w:ind w:left="720" w:hanging="720"/>
      </w:pPr>
      <w:r>
        <w:t xml:space="preserve">3.10	</w:t>
      </w:r>
      <w:r>
        <w:rPr>
          <w:b/>
          <w:bCs/>
        </w:rPr>
        <w:t xml:space="preserve">Client's FAIS assessment.</w:t>
      </w:r>
      <w:r>
        <w:t xml:space="preserve"> The Client warrants that it has assessed the Services as structured in this Agreement and is satisfied that Lead Velocity does not render Financial Services to or for it, so that section 7(3) of the FAIS Act does not prevent the Client from doing business with Lead Velocity. Both Parties will operate this Agreement in substance as written (clause 3.6).</w:t>
      </w:r>
    </w:p>
    <w:p>
      <w:pPr>
        <w:pBdr>
          <w:left w:val="single" w:color="A6A6A6" w:sz="18" w:space="6"/>
        </w:pBdr>
        <w:shd w:fill="F2F2F2" w:color="auto" w:val="clear"/>
        <w:spacing w:after="160" w:before="60"/>
        <w:ind w:left="720" w:right="0"/>
      </w:pPr>
      <w:r>
        <w:rPr>
          <w:i/>
          <w:iCs/>
          <w:color w:val="595959"/>
          <w:sz w:val="18"/>
          <w:szCs w:val="18"/>
        </w:rPr>
        <w:t xml:space="preserve">[LAWYER REVIEW: FAIS s7(3) acknowledgement (research-memo.md §2). An authorised FSP may only do financial-services business with a person who is licensed where required, so the Client carries its own exposure if Lead Velocity were ever characterised as an intermediary. Confirm the warranty is appropriate and not over-reliant.]</w:t>
      </w:r>
    </w:p>
    <w:p>
      <w:pPr>
        <w:tabs>
          <w:tab w:val="left" w:pos="720"/>
        </w:tabs>
        <w:spacing w:after="120"/>
        <w:ind w:left="720" w:hanging="720"/>
      </w:pPr>
      <w:r>
        <w:t xml:space="preserve">3.11	</w:t>
      </w:r>
      <w:r>
        <w:rPr>
          <w:b/>
          <w:bCs/>
        </w:rPr>
        <w:t xml:space="preserve">Records.</w:t>
      </w:r>
      <w:r>
        <w:t xml:space="preserve"> Lead Velocity will keep its Campaign scripts, WhatsApp flows and message logs and will make them available to the Client, and to any regulator that lawfully asks, so that either Party can show that no judgment about any Financial Product or Consumer need is exercised and no product is explained.</w:t>
      </w:r>
    </w:p>
    <w:p>
      <w:pPr>
        <w:tabs>
          <w:tab w:val="left" w:pos="720"/>
        </w:tabs>
        <w:spacing w:after="120"/>
        <w:ind w:left="720" w:hanging="720"/>
      </w:pPr>
      <w:r>
        <w:t xml:space="preserve">3.12	</w:t>
      </w:r>
      <w:r>
        <w:rPr>
          <w:b/>
          <w:bCs/>
        </w:rPr>
        <w:t xml:space="preserve">Change in law.</w:t>
      </w:r>
      <w:r>
        <w:t xml:space="preserve"> If a law, regulation, conduct standard or regulatory or court ruling is made or published that affects lead generation, referral fees or the Services (including any FSCA standard implementing the Retail Distribution Review proposals on referrals), the Parties will negotiate in good faith to amend this Agreement so that it complies. If they cannot agree within 10 Business Days, either Party may terminate this Agreement by giving 7 days' written notice, and clause 11.6 applies.</w:t>
      </w:r>
    </w:p>
    <w:p>
      <w:pPr>
        <w:pBdr>
          <w:left w:val="single" w:color="A6A6A6" w:sz="18" w:space="6"/>
        </w:pBdr>
        <w:shd w:fill="F2F2F2" w:color="auto" w:val="clear"/>
        <w:spacing w:after="160" w:before="60"/>
        <w:ind w:left="720" w:right="0"/>
      </w:pPr>
      <w:r>
        <w:rPr>
          <w:i/>
          <w:iCs/>
          <w:color w:val="595959"/>
          <w:sz w:val="18"/>
          <w:szCs w:val="18"/>
        </w:rPr>
        <w:t xml:space="preserve">[LAWYER REVIEW: Change-in-law exit (research-memo.md §4.1). The FSCA has not issued a final lead-generation or referral-fee standard as at 5 Oct 2026 (absence not proven).]</w:t>
      </w:r>
    </w:p>
    <w:p>
      <w:pPr>
        <w:pStyle w:val="Heading1"/>
        <w:keepNext/>
      </w:pPr>
      <w:r>
        <w:t xml:space="preserve">4. The Services</w:t>
      </w:r>
    </w:p>
    <w:p>
      <w:pPr>
        <w:tabs>
          <w:tab w:val="left" w:pos="720"/>
        </w:tabs>
        <w:spacing w:after="120"/>
        <w:ind w:left="720" w:hanging="720"/>
      </w:pPr>
      <w:r>
        <w:t xml:space="preserve">4.1	</w:t>
      </w:r>
      <w:r>
        <w:t xml:space="preserve">During each Billing Cycle for which the Fee has been paid, Lead Velocity will:</w:t>
      </w:r>
    </w:p>
    <w:p>
      <w:pPr>
        <w:tabs>
          <w:tab w:val="left" w:pos="1287"/>
        </w:tabs>
        <w:spacing w:after="80"/>
        <w:ind w:left="1287" w:hanging="567"/>
      </w:pPr>
      <w:r>
        <w:t xml:space="preserve">(a)	</w:t>
      </w:r>
      <w:r>
        <w:t xml:space="preserve">plan, fund, run and optimise Campaigns, using advertising media that Lead Velocity pays for and controls;</w:t>
      </w:r>
    </w:p>
    <w:p>
      <w:pPr>
        <w:tabs>
          <w:tab w:val="left" w:pos="1287"/>
        </w:tabs>
        <w:spacing w:after="80"/>
        <w:ind w:left="1287" w:hanging="567"/>
      </w:pPr>
      <w:r>
        <w:t xml:space="preserve">(b)	</w:t>
      </w:r>
      <w:r>
        <w:t xml:space="preserve">capture each Consumer's enquiry and consent using the consent wording Lead Velocity publishes, as updated by Lead Velocity from time to time in line with Applicable Law;</w:t>
      </w:r>
    </w:p>
    <w:p>
      <w:pPr>
        <w:tabs>
          <w:tab w:val="left" w:pos="1287"/>
        </w:tabs>
        <w:spacing w:after="80"/>
        <w:ind w:left="1287" w:hanging="567"/>
      </w:pPr>
      <w:r>
        <w:t xml:space="preserve">(c)	</w:t>
      </w:r>
      <w:r>
        <w:t xml:space="preserve">verify each Consumer's contact details and pre-qualify Consumers against Schedule 2;</w:t>
      </w:r>
    </w:p>
    <w:p>
      <w:pPr>
        <w:tabs>
          <w:tab w:val="left" w:pos="1287"/>
        </w:tabs>
        <w:spacing w:after="80"/>
        <w:ind w:left="1287" w:hanging="567"/>
      </w:pPr>
      <w:r>
        <w:t xml:space="preserve">(d)	</w:t>
      </w:r>
      <w:r>
        <w:t xml:space="preserve">introduce the Client to the Consumer on WhatsApp by sending the Client's welcome card (the Intro Card), which states the Client's name, practice name and FSP number and states that SortMyCover gives no financial advice, product comparisons or premium quotes;</w:t>
      </w:r>
    </w:p>
    <w:p>
      <w:pPr>
        <w:tabs>
          <w:tab w:val="left" w:pos="1287"/>
        </w:tabs>
        <w:spacing w:after="80"/>
        <w:ind w:left="1287" w:hanging="567"/>
      </w:pPr>
      <w:r>
        <w:t xml:space="preserve">(e)	</w:t>
      </w:r>
      <w:r>
        <w:t xml:space="preserve">book an introductory Microsoft Teams appointment in the Client's available calendar slots, so that it appears in the Client's own calendar, and obtain the Consumer's confirmation that they will attend;</w:t>
      </w:r>
    </w:p>
    <w:p>
      <w:pPr>
        <w:tabs>
          <w:tab w:val="left" w:pos="1287"/>
        </w:tabs>
        <w:spacing w:after="80"/>
        <w:ind w:left="1287" w:hanging="567"/>
      </w:pPr>
      <w:r>
        <w:t xml:space="preserve">(f)	</w:t>
      </w:r>
      <w:r>
        <w:t xml:space="preserve">send the Consumer logistics-only reminders (clause 3.8) up to 10 minutes before the appointment; and</w:t>
      </w:r>
    </w:p>
    <w:p>
      <w:pPr>
        <w:tabs>
          <w:tab w:val="left" w:pos="1287"/>
        </w:tabs>
        <w:spacing w:after="80"/>
        <w:ind w:left="1287" w:hanging="567"/>
      </w:pPr>
      <w:r>
        <w:t xml:space="preserve">(g)	</w:t>
      </w:r>
      <w:r>
        <w:t xml:space="preserve">Deliver each Qualified Lead to the Client in the manner set out in Schedule 2.</w:t>
      </w:r>
    </w:p>
    <w:p>
      <w:pPr>
        <w:tabs>
          <w:tab w:val="left" w:pos="720"/>
        </w:tabs>
        <w:spacing w:after="120"/>
        <w:ind w:left="720" w:hanging="720"/>
      </w:pPr>
      <w:r>
        <w:t xml:space="preserve">4.2	</w:t>
      </w:r>
      <w:r>
        <w:t xml:space="preserve">Lead Velocity decides how Campaigns are designed, targeted, budgeted and run, including the choice of advertising platforms, creative, audiences and media spend. The Client has no right to any particular level of media spend, and no part of the Fee is held for the Client or passed through as media.</w:t>
      </w:r>
    </w:p>
    <w:p>
      <w:pPr>
        <w:tabs>
          <w:tab w:val="left" w:pos="720"/>
        </w:tabs>
        <w:spacing w:after="120"/>
        <w:ind w:left="720" w:hanging="720"/>
      </w:pPr>
      <w:r>
        <w:t xml:space="preserve">4.3	</w:t>
      </w:r>
      <w:r>
        <w:t xml:space="preserve">Lead Velocity will perform the Services with reasonable skill and care and in line with Applicable Law.</w:t>
      </w:r>
    </w:p>
    <w:p>
      <w:pPr>
        <w:tabs>
          <w:tab w:val="left" w:pos="720"/>
        </w:tabs>
        <w:spacing w:after="120"/>
        <w:ind w:left="720" w:hanging="720"/>
      </w:pPr>
      <w:r>
        <w:t xml:space="preserve">4.4	</w:t>
      </w:r>
      <w:r>
        <w:t xml:space="preserve">What happens during and after an appointment, including any Advice, needs analysis, quotation, application or sale, is solely the Client's responsibility.</w:t>
      </w:r>
    </w:p>
    <w:p>
      <w:pPr>
        <w:tabs>
          <w:tab w:val="left" w:pos="720"/>
        </w:tabs>
        <w:spacing w:after="120"/>
        <w:ind w:left="720" w:hanging="720"/>
      </w:pPr>
      <w:r>
        <w:t xml:space="preserve">4.5	</w:t>
      </w:r>
      <w:r>
        <w:rPr>
          <w:b/>
          <w:bCs/>
        </w:rPr>
        <w:t xml:space="preserve">Advertising review.</w:t>
      </w:r>
      <w:r>
        <w:t xml:space="preserve"> Lead Velocity will give the Client view access to the live SortMyCover advertisements and landing pages used in Campaigns that lead to the Client. If the Client reasonably considers that any of them is inconsistent with section 14 of the General Code of Conduct, it may require Lead Velocity in writing to withdraw or correct it, and Lead Velocity will do so within 2 Business Days. This right does not make Lead Velocity the Client's agent or give the Client any control over Campaigns beyond this clause.</w:t>
      </w:r>
    </w:p>
    <w:p>
      <w:pPr>
        <w:pBdr>
          <w:left w:val="single" w:color="A6A6A6" w:sz="18" w:space="6"/>
        </w:pBdr>
        <w:shd w:fill="F2F2F2" w:color="auto" w:val="clear"/>
        <w:spacing w:after="160" w:before="60"/>
        <w:ind w:left="720" w:right="0"/>
      </w:pPr>
      <w:r>
        <w:rPr>
          <w:i/>
          <w:iCs/>
          <w:color w:val="595959"/>
          <w:sz w:val="18"/>
          <w:szCs w:val="18"/>
        </w:rPr>
        <w:t xml:space="preserve">[LAWYER REVIEW: GCoC s14(2)(d) may place a duty on the Client to ensure or mitigate consistency of advertising that refers to its services (research-memo.md §4.2, R14). Confirm this review right is enough without turning Lead Velocity into the Client's agent.]</w:t>
      </w:r>
    </w:p>
    <w:p>
      <w:pPr>
        <w:pStyle w:val="Heading1"/>
        <w:keepNext/>
      </w:pPr>
      <w:r>
        <w:t xml:space="preserve">5. Qualified Leads and Delivery</w:t>
      </w:r>
    </w:p>
    <w:p>
      <w:pPr>
        <w:tabs>
          <w:tab w:val="left" w:pos="720"/>
        </w:tabs>
        <w:spacing w:after="120"/>
        <w:ind w:left="720" w:hanging="720"/>
      </w:pPr>
      <w:r>
        <w:t xml:space="preserve">5.1	</w:t>
      </w:r>
      <w:r>
        <w:rPr>
          <w:b/>
          <w:bCs/>
        </w:rPr>
        <w:t xml:space="preserve">Qualified Lead.</w:t>
      </w:r>
      <w:r>
        <w:t xml:space="preserve"> A Qualified Lead is a South African Consumer who:</w:t>
      </w:r>
    </w:p>
    <w:p>
      <w:pPr>
        <w:tabs>
          <w:tab w:val="left" w:pos="1287"/>
        </w:tabs>
        <w:spacing w:after="80"/>
        <w:ind w:left="1287" w:hanging="567"/>
      </w:pPr>
      <w:r>
        <w:t xml:space="preserve">(a)	</w:t>
      </w:r>
      <w:r>
        <w:t xml:space="preserve">responded to a Lead Velocity or SortMyCover Campaign and gave valid contact details that passed the checks in clause 5.8;</w:t>
      </w:r>
    </w:p>
    <w:p>
      <w:pPr>
        <w:tabs>
          <w:tab w:val="left" w:pos="1287"/>
        </w:tabs>
        <w:spacing w:after="80"/>
        <w:ind w:left="1287" w:hanging="567"/>
      </w:pPr>
      <w:r>
        <w:t xml:space="preserve">(b)	</w:t>
      </w:r>
      <w:r>
        <w:t xml:space="preserve">gave POPIA-compliant consent to be contacted by Lead Velocity and introduced to the Client;</w:t>
      </w:r>
    </w:p>
    <w:p>
      <w:pPr>
        <w:tabs>
          <w:tab w:val="left" w:pos="1287"/>
        </w:tabs>
        <w:spacing w:after="80"/>
        <w:ind w:left="1287" w:hanging="567"/>
      </w:pPr>
      <w:r>
        <w:t xml:space="preserve">(c)	</w:t>
      </w:r>
      <w:r>
        <w:t xml:space="preserve">self-reported falling within the target criteria in Schedule 2, namely age 35 to 50 and a monthly premium budget of R750 or more;</w:t>
      </w:r>
    </w:p>
    <w:p>
      <w:pPr>
        <w:tabs>
          <w:tab w:val="left" w:pos="1287"/>
        </w:tabs>
        <w:spacing w:after="80"/>
        <w:ind w:left="1287" w:hanging="567"/>
      </w:pPr>
      <w:r>
        <w:t xml:space="preserve">(d)	</w:t>
      </w:r>
      <w:r>
        <w:t xml:space="preserve">if their self-reported budget is R750 to R1,499, was accepted by the Client under clause 5.7; and</w:t>
      </w:r>
    </w:p>
    <w:p>
      <w:pPr>
        <w:tabs>
          <w:tab w:val="left" w:pos="1287"/>
        </w:tabs>
        <w:spacing w:after="80"/>
        <w:ind w:left="1287" w:hanging="567"/>
      </w:pPr>
      <w:r>
        <w:t xml:space="preserve">(e)	</w:t>
      </w:r>
      <w:r>
        <w:t xml:space="preserve">confirmed a booked appointment with the Client and confirmed that they will attend it.</w:t>
      </w:r>
    </w:p>
    <w:p>
      <w:pPr>
        <w:tabs>
          <w:tab w:val="left" w:pos="720"/>
        </w:tabs>
        <w:spacing w:after="120"/>
        <w:ind w:left="720" w:hanging="720"/>
      </w:pPr>
      <w:r>
        <w:t xml:space="preserve">5.2	</w:t>
      </w:r>
      <w:r>
        <w:rPr>
          <w:b/>
          <w:bCs/>
        </w:rPr>
        <w:t xml:space="preserve">Delivery point.</w:t>
      </w:r>
      <w:r>
        <w:t xml:space="preserve"> A Qualified Lead is Delivered, and counts toward the Committed Leads (or the relevant Top-Up), at the moment the criterion in clause 5.1(e) is met, as recorded in Lead Velocity's WhatsApp message log. An A-Tier Lead counts automatically. A B-Tier Lead counts only because the Client accepted it.</w:t>
      </w:r>
    </w:p>
    <w:p>
      <w:pPr>
        <w:tabs>
          <w:tab w:val="left" w:pos="720"/>
        </w:tabs>
        <w:spacing w:after="120"/>
        <w:ind w:left="720" w:hanging="720"/>
      </w:pPr>
      <w:r>
        <w:t xml:space="preserve">5.3	</w:t>
      </w:r>
      <w:r>
        <w:rPr>
          <w:b/>
          <w:bCs/>
        </w:rPr>
        <w:t xml:space="preserve">Self-declared criteria.</w:t>
      </w:r>
      <w:r>
        <w:t xml:space="preserve"> The criteria in clause 5.1(c) are self-declared by the Consumer. Lead Velocity does not verify a Consumer's age, income or affordability, and does not underwrite. The Client must make its own enquiries under the General Code of Conduct.</w:t>
      </w:r>
    </w:p>
    <w:p>
      <w:pPr>
        <w:pBdr>
          <w:left w:val="single" w:color="A6A6A6" w:sz="18" w:space="6"/>
        </w:pBdr>
        <w:shd w:fill="F2F2F2" w:color="auto" w:val="clear"/>
        <w:spacing w:after="160" w:before="60"/>
        <w:ind w:left="720" w:right="0"/>
      </w:pPr>
      <w:r>
        <w:rPr>
          <w:i/>
          <w:iCs/>
          <w:color w:val="595959"/>
          <w:sz w:val="18"/>
          <w:szCs w:val="18"/>
        </w:rPr>
        <w:t xml:space="preserve">[LAWYER REVIEW: (1) The budget question is a neutral self-declaration of affordability, never echoed back as a price (research-memo.md R6). (2) Defining the billable unit as a booked appointment with confirmed attendance moves it one step further down the funnel than "contact details passed on", the only example Raspberry paras 26-27 described as possibly mechanical (memo R3). Mitigations: the unit turns on the Consumer's own acts, not on the meeting outcome; the fee is earned at confirmation regardless of attendance; no outcome data is used for fees, credits or replacements. Confirm.]</w:t>
      </w:r>
    </w:p>
    <w:p>
      <w:pPr>
        <w:tabs>
          <w:tab w:val="left" w:pos="720"/>
        </w:tabs>
        <w:spacing w:after="120"/>
        <w:ind w:left="720" w:hanging="720"/>
      </w:pPr>
      <w:r>
        <w:t xml:space="preserve">5.4	</w:t>
      </w:r>
      <w:r>
        <w:rPr>
          <w:b/>
          <w:bCs/>
        </w:rPr>
        <w:t xml:space="preserve">Reminders.</w:t>
      </w:r>
      <w:r>
        <w:t xml:space="preserve"> After Delivery, Lead Velocity will send the Consumer logistics-only appointment reminders (clause 3.8) up to 10 minutes before the appointment start time. Lead Velocity's involvement with the appointment ends at that point.</w:t>
      </w:r>
    </w:p>
    <w:p>
      <w:pPr>
        <w:tabs>
          <w:tab w:val="left" w:pos="720"/>
        </w:tabs>
        <w:spacing w:after="120"/>
        <w:ind w:left="720" w:hanging="720"/>
      </w:pPr>
      <w:r>
        <w:t xml:space="preserve">5.5	</w:t>
      </w:r>
      <w:r>
        <w:rPr>
          <w:b/>
          <w:bCs/>
        </w:rPr>
        <w:t xml:space="preserve">No guarantee of attendance or outcome.</w:t>
      </w:r>
      <w:r>
        <w:t xml:space="preserve"> Lead Velocity does not guarantee that a Qualified Lead will attend, is suitable for any Financial Product, or will buy anything. Clause 15 applies.</w:t>
      </w:r>
    </w:p>
    <w:p>
      <w:pPr>
        <w:tabs>
          <w:tab w:val="left" w:pos="720"/>
        </w:tabs>
        <w:spacing w:after="120"/>
        <w:ind w:left="720" w:hanging="720"/>
      </w:pPr>
      <w:r>
        <w:t xml:space="preserve">5.6	</w:t>
      </w:r>
      <w:r>
        <w:rPr>
          <w:b/>
          <w:bCs/>
        </w:rPr>
        <w:t xml:space="preserve">Lead tiers.</w:t>
      </w:r>
      <w:r>
        <w:t xml:space="preserve"> Every lead is sorted by the monthly premium budget the Consumer states, and labelled A or B when it is sent to the Client:</w:t>
      </w:r>
    </w:p>
    <w:p>
      <w:pPr>
        <w:tabs>
          <w:tab w:val="left" w:pos="1287"/>
        </w:tabs>
        <w:spacing w:after="80"/>
        <w:ind w:left="1287" w:hanging="567"/>
      </w:pPr>
      <w:r>
        <w:t xml:space="preserve">(a)	</w:t>
      </w:r>
      <w:r>
        <w:rPr>
          <w:b/>
          <w:bCs/>
        </w:rPr>
        <w:t xml:space="preserve">A-tier: R1,500 or more a month.</w:t>
      </w:r>
      <w:r>
        <w:t xml:space="preserve"> This is the minimum target of every Campaign. An A-tier lead is sent to the Client, booked and counted automatically.</w:t>
      </w:r>
    </w:p>
    <w:p>
      <w:pPr>
        <w:tabs>
          <w:tab w:val="left" w:pos="1287"/>
        </w:tabs>
        <w:spacing w:after="80"/>
        <w:ind w:left="1287" w:hanging="567"/>
      </w:pPr>
      <w:r>
        <w:t xml:space="preserve">(b)	</w:t>
      </w:r>
      <w:r>
        <w:rPr>
          <w:b/>
          <w:bCs/>
        </w:rPr>
        <w:t xml:space="preserve">B-tier: R750 to R1,499 a month.</w:t>
      </w:r>
      <w:r>
        <w:t xml:space="preserve"> A B-tier lead is offered to the Client under clause 5.7 and counts only if the Client accepts it.</w:t>
      </w:r>
    </w:p>
    <w:p>
      <w:pPr>
        <w:tabs>
          <w:tab w:val="left" w:pos="1287"/>
        </w:tabs>
        <w:spacing w:after="80"/>
        <w:ind w:left="1287" w:hanging="567"/>
      </w:pPr>
      <w:r>
        <w:t xml:space="preserve">(c)	</w:t>
      </w:r>
      <w:r>
        <w:rPr>
          <w:b/>
          <w:bCs/>
        </w:rPr>
        <w:t xml:space="preserve">Under R750 a month.</w:t>
      </w:r>
      <w:r>
        <w:t xml:space="preserve"> Filtered out. Never sent to the Client and never counted.</w:t>
      </w:r>
    </w:p>
    <w:p>
      <w:pPr>
        <w:spacing w:after="120"/>
      </w:pPr>
      <w:r>
        <w:t xml:space="preserve">The tier is the Consumer's own answer. Lead Velocity makes no promise about any Consumer's actual budget or about the cost of any cover.</w:t>
      </w:r>
    </w:p>
    <w:p>
      <w:pPr>
        <w:tabs>
          <w:tab w:val="left" w:pos="720"/>
        </w:tabs>
        <w:spacing w:after="120"/>
        <w:ind w:left="720" w:hanging="720"/>
      </w:pPr>
      <w:r>
        <w:t xml:space="preserve">5.7	</w:t>
      </w:r>
      <w:r>
        <w:rPr>
          <w:b/>
          <w:bCs/>
        </w:rPr>
        <w:t xml:space="preserve">Accept or decline a B-tier lead.</w:t>
      </w:r>
    </w:p>
    <w:p>
      <w:pPr>
        <w:tabs>
          <w:tab w:val="left" w:pos="1287"/>
        </w:tabs>
        <w:spacing w:after="80"/>
        <w:ind w:left="1287" w:hanging="567"/>
      </w:pPr>
      <w:r>
        <w:t xml:space="preserve">(a)	</w:t>
      </w:r>
      <w:r>
        <w:t xml:space="preserve">When a B-tier lead comes through, Lead Velocity sends the Client its label, age band, budget band and reason(s) for the call, with a choice to </w:t>
      </w:r>
      <w:r>
        <w:rPr>
          <w:b/>
          <w:bCs/>
        </w:rPr>
        <w:t xml:space="preserve">Accept</w:t>
      </w:r>
      <w:r>
        <w:t xml:space="preserve"> or </w:t>
      </w:r>
      <w:r>
        <w:rPr>
          <w:b/>
          <w:bCs/>
        </w:rPr>
        <w:t xml:space="preserve">Decline</w:t>
      </w:r>
      <w:r>
        <w:t xml:space="preserve">.</w:t>
      </w:r>
    </w:p>
    <w:p>
      <w:pPr>
        <w:tabs>
          <w:tab w:val="left" w:pos="1287"/>
        </w:tabs>
        <w:spacing w:after="80"/>
        <w:ind w:left="1287" w:hanging="567"/>
      </w:pPr>
      <w:r>
        <w:t xml:space="preserve">(b)	</w:t>
      </w:r>
      <w:r>
        <w:rPr>
          <w:b/>
          <w:bCs/>
        </w:rPr>
        <w:t xml:space="preserve">Accepted:</w:t>
      </w:r>
      <w:r>
        <w:t xml:space="preserve"> Lead Velocity books the appointment and, once clause 5.1(e) is met, the lead counts toward the Committed Leads.</w:t>
      </w:r>
    </w:p>
    <w:p>
      <w:pPr>
        <w:tabs>
          <w:tab w:val="left" w:pos="1287"/>
        </w:tabs>
        <w:spacing w:after="80"/>
        <w:ind w:left="1287" w:hanging="567"/>
      </w:pPr>
      <w:r>
        <w:t xml:space="preserve">(c)	</w:t>
      </w:r>
      <w:r>
        <w:rPr>
          <w:b/>
          <w:bCs/>
        </w:rPr>
        <w:t xml:space="preserve">Declined:</w:t>
      </w:r>
      <w:r>
        <w:t xml:space="preserve"> the lead does not count toward the Committed Leads and is not charged. Lead Velocity may offer it to another financial services provider (with the Consumer's consent) or hold it. Lead Velocity will never offer that Consumer to the Client again for the same enquiry.</w:t>
      </w:r>
    </w:p>
    <w:p>
      <w:pPr>
        <w:tabs>
          <w:tab w:val="left" w:pos="1287"/>
        </w:tabs>
        <w:spacing w:after="80"/>
        <w:ind w:left="1287" w:hanging="567"/>
      </w:pPr>
      <w:r>
        <w:t xml:space="preserve">(d)	</w:t>
      </w:r>
      <w:r>
        <w:t xml:space="preserve">If the Client does not Accept or Decline within 2 working hours (08:00 to 17:00, Monday to Friday, excluding public holidays) of the offer, the lead is treated as declined under clause 5.7(c). While the offer is open, Lead Velocity tells the Consumer that an adviser is being matched, so the Consumer is not left waiting without word.</w:t>
      </w:r>
    </w:p>
    <w:p>
      <w:pPr>
        <w:pBdr>
          <w:left w:val="single" w:color="A6A6A6" w:sz="18" w:space="6"/>
        </w:pBdr>
        <w:shd w:fill="F2F2F2" w:color="auto" w:val="clear"/>
        <w:spacing w:after="160" w:before="60"/>
        <w:ind w:left="720" w:right="0"/>
      </w:pPr>
      <w:r>
        <w:rPr>
          <w:i/>
          <w:iCs/>
          <w:color w:val="595959"/>
          <w:sz w:val="18"/>
          <w:szCs w:val="18"/>
        </w:rPr>
        <w:t xml:space="preserve">[LAWYER REVIEW (D8): The accept/decline choice is made before any appointment, on the Consumer's self-declared budget only. It is not linked to any appointment outcome, application or policy, so the Fee stays flat per Billing Cycle (clauses 8.2 to 8.4). Confirm this does not weaken the Raspberry Academy position. Also confirm that offering a declined lead to another FSP is covered by the Consumer's consent: in named consent mode the consent names this Client, so a declined lead may only be offered elsewhere after fresh consent naming the new provider (or under generic mode once approved).]</w:t>
      </w:r>
    </w:p>
    <w:p>
      <w:pPr>
        <w:tabs>
          <w:tab w:val="left" w:pos="720"/>
        </w:tabs>
        <w:spacing w:after="120"/>
        <w:ind w:left="720" w:hanging="720"/>
      </w:pPr>
      <w:r>
        <w:t xml:space="preserve">5.8	</w:t>
      </w:r>
      <w:r>
        <w:rPr>
          <w:b/>
          <w:bCs/>
        </w:rPr>
        <w:t xml:space="preserve">Contact verification.</w:t>
      </w:r>
    </w:p>
    <w:p>
      <w:pPr>
        <w:tabs>
          <w:tab w:val="left" w:pos="1287"/>
        </w:tabs>
        <w:spacing w:after="80"/>
        <w:ind w:left="1287" w:hanging="567"/>
      </w:pPr>
      <w:r>
        <w:t xml:space="preserve">(a)	</w:t>
      </w:r>
      <w:r>
        <w:rPr>
          <w:b/>
          <w:bCs/>
        </w:rPr>
        <w:t xml:space="preserve">WhatsApp number:</w:t>
      </w:r>
      <w:r>
        <w:t xml:space="preserve"> verified at opt-in, because the Consumer chats to Lead Velocity from that number.</w:t>
      </w:r>
    </w:p>
    <w:p>
      <w:pPr>
        <w:tabs>
          <w:tab w:val="left" w:pos="1287"/>
        </w:tabs>
        <w:spacing w:after="80"/>
        <w:ind w:left="1287" w:hanging="567"/>
      </w:pPr>
      <w:r>
        <w:t xml:space="preserve">(b)	</w:t>
      </w:r>
      <w:r>
        <w:rPr>
          <w:b/>
          <w:bCs/>
        </w:rPr>
        <w:t xml:space="preserve">Email address:</w:t>
      </w:r>
      <w:r>
        <w:t xml:space="preserve"> verified by a one-tap confirmation code or link sent to it.</w:t>
      </w:r>
    </w:p>
    <w:p>
      <w:pPr>
        <w:tabs>
          <w:tab w:val="left" w:pos="1287"/>
        </w:tabs>
        <w:spacing w:after="80"/>
        <w:ind w:left="1287" w:hanging="567"/>
      </w:pPr>
      <w:r>
        <w:t xml:space="preserve">(c)	</w:t>
      </w:r>
      <w:r>
        <w:rPr>
          <w:b/>
          <w:bCs/>
        </w:rPr>
        <w:t xml:space="preserve">Contact number:</w:t>
      </w:r>
      <w:r>
        <w:t xml:space="preserve"> the Consumer either confirms it is the same as their WhatsApp number or gives another number.</w:t>
      </w:r>
    </w:p>
    <w:p>
      <w:pPr>
        <w:tabs>
          <w:tab w:val="left" w:pos="1287"/>
        </w:tabs>
        <w:spacing w:after="80"/>
        <w:ind w:left="1287" w:hanging="567"/>
      </w:pPr>
      <w:r>
        <w:t xml:space="preserve">(d)	</w:t>
      </w:r>
      <w:r>
        <w:rPr>
          <w:b/>
          <w:bCs/>
        </w:rPr>
        <w:t xml:space="preserve">Invalid details:</w:t>
      </w:r>
      <w:r>
        <w:t xml:space="preserve"> a lead whose contact details fail these checks, or are later shown to be wrong, disconnected or someone else's, is automatically disqualified. It is not a Qualified Lead, is not Delivered and does not count toward the Committed Leads.</w:t>
      </w:r>
    </w:p>
    <w:p>
      <w:pPr>
        <w:tabs>
          <w:tab w:val="left" w:pos="720"/>
        </w:tabs>
        <w:spacing w:after="120"/>
        <w:ind w:left="720" w:hanging="720"/>
      </w:pPr>
      <w:r>
        <w:t xml:space="preserve">5.9	</w:t>
      </w:r>
      <w:r>
        <w:rPr>
          <w:b/>
          <w:bCs/>
        </w:rPr>
        <w:t xml:space="preserve">Qualification questions.</w:t>
      </w:r>
      <w:r>
        <w:t xml:space="preserve"> Lead Velocity asks every Consumer the same questions for every client, as set out in Schedule 2 (S2.2). If a Consumer's reason for the call falls outside the categories of the Client's FSP Licence, Lead Velocity flags it to the Client. The Client then handles it within its licence or refers the Consumer to a suitably licensed provider. Lead Velocity does not decide which provider is suitable.</w:t>
      </w:r>
    </w:p>
    <w:p>
      <w:pPr>
        <w:pStyle w:val="Heading1"/>
        <w:keepNext/>
      </w:pPr>
      <w:r>
        <w:t xml:space="preserve">6. Shortfall and rollover</w:t>
      </w:r>
    </w:p>
    <w:p>
      <w:pPr>
        <w:tabs>
          <w:tab w:val="left" w:pos="720"/>
        </w:tabs>
        <w:spacing w:after="120"/>
        <w:ind w:left="720" w:hanging="720"/>
      </w:pPr>
      <w:r>
        <w:t xml:space="preserve">6.1	</w:t>
      </w:r>
      <w:r>
        <w:rPr>
          <w:b/>
          <w:bCs/>
        </w:rPr>
        <w:t xml:space="preserve">Delivery window.</w:t>
      </w:r>
      <w:r>
        <w:t xml:space="preserve"> Lead Velocity delivers the Committed Leads within the 30-day Billing Cycle. If delivery is delayed (including by events outside Lead Velocity's control, such as Meta, Facebook, Instagram or WhatsApp outages, restrictions or policy changes), Lead Velocity will Deliver the Shortfall during the Rollover Period at no extra cost. The Rollover Period is never longer than 14 days, so delivery for a Billing Cycle ends on day 44 at the latest.</w:t>
      </w:r>
    </w:p>
    <w:p>
      <w:pPr>
        <w:tabs>
          <w:tab w:val="left" w:pos="720"/>
        </w:tabs>
        <w:spacing w:after="120"/>
        <w:ind w:left="720" w:hanging="720"/>
      </w:pPr>
      <w:r>
        <w:t xml:space="preserve">6.2	</w:t>
      </w:r>
      <w:r>
        <w:rPr>
          <w:b/>
          <w:bCs/>
        </w:rPr>
        <w:t xml:space="preserve">After day 44: rollover on top.</w:t>
      </w:r>
      <w:r>
        <w:t xml:space="preserve"> Any Shortfall still not Delivered after day 44 rolls over to the next Billing Cycle, on top of that Billing Cycle's Committed Leads, and Lead Velocity keeps delivering. Rolled-over leads count first toward the earlier Billing Cycle.</w:t>
      </w:r>
    </w:p>
    <w:p>
      <w:pPr>
        <w:tabs>
          <w:tab w:val="left" w:pos="720"/>
        </w:tabs>
        <w:spacing w:after="120"/>
        <w:ind w:left="720" w:hanging="720"/>
      </w:pPr>
      <w:r>
        <w:t xml:space="preserve">6.3	</w:t>
      </w:r>
      <w:r>
        <w:rPr>
          <w:b/>
          <w:bCs/>
        </w:rPr>
        <w:t xml:space="preserve">After day 44: refund on request.</w:t>
      </w:r>
      <w:r>
        <w:t xml:space="preserve"> At any time after day 44, the Client may instead ask in writing for a refund of the leads not yet Delivered. Lead Velocity will then refund, for each of those leads, the Effective Lead Price of the Client's Plan for the Billing Cycle in which the lead was due (for example, for Bronze, R16,500 ÷ 20 = R825 per lead; at the Fees in Schedule 1 the others are Pilot R850, Silver R817 and Gold R789) within 7 Business Days of the request. Because the Effective Lead Price is rounded, the total refunded for a Billing Cycle (or for a Top-Up) is never more than the Client paid for it. Leads refunded no longer roll over.</w:t>
      </w:r>
    </w:p>
    <w:p>
      <w:pPr>
        <w:tabs>
          <w:tab w:val="left" w:pos="720"/>
        </w:tabs>
        <w:spacing w:after="120"/>
        <w:ind w:left="720" w:hanging="720"/>
      </w:pPr>
      <w:r>
        <w:t xml:space="preserve">6.4	</w:t>
      </w:r>
      <w:r>
        <w:rPr>
          <w:b/>
          <w:bCs/>
        </w:rPr>
        <w:t xml:space="preserve">Not renewing.</w:t>
      </w:r>
      <w:r>
        <w:t xml:space="preserve"> If the Client does not pay for the next Billing Cycle, or this Agreement ends, Lead Velocity will either keep delivering the rolled-over leads or, if the Client asks, refund them under clause 6.3.</w:t>
      </w:r>
    </w:p>
    <w:p>
      <w:pPr>
        <w:tabs>
          <w:tab w:val="left" w:pos="720"/>
        </w:tabs>
        <w:spacing w:after="120"/>
        <w:ind w:left="720" w:hanging="720"/>
      </w:pPr>
      <w:r>
        <w:t xml:space="preserve">6.5	</w:t>
      </w:r>
      <w:r>
        <w:rPr>
          <w:b/>
          <w:bCs/>
        </w:rPr>
        <w:t xml:space="preserve">Sole remedy.</w:t>
      </w:r>
      <w:r>
        <w:t xml:space="preserve"> Clauses 6.1 to 6.4 are the Client's sole remedies for a Shortfall. No other refund, credit, discount or damages are payable for a Shortfall.</w:t>
      </w:r>
    </w:p>
    <w:p>
      <w:pPr>
        <w:pBdr>
          <w:left w:val="single" w:color="A6A6A6" w:sz="18" w:space="6"/>
        </w:pBdr>
        <w:shd w:fill="F2F2F2" w:color="auto" w:val="clear"/>
        <w:spacing w:after="160" w:before="60"/>
        <w:ind w:left="720" w:right="0"/>
      </w:pPr>
      <w:r>
        <w:rPr>
          <w:i/>
          <w:iCs/>
          <w:color w:val="595959"/>
          <w:sz w:val="18"/>
          <w:szCs w:val="18"/>
        </w:rPr>
        <w:t xml:space="preserve">[LAWYER REVIEW: Approved by Jonathan on 7 Oct 2026: a hard day-44 limit; then rollover on top of the next cycle, or refund on request at the Effective Lead Price within 7 working days. Review only the CPA wording: whether the "sole remedy" rule in 6.5 is fair under CPA s48 and consistent with s54 where the CPA applies (research-memo.md R9).]</w:t>
      </w:r>
    </w:p>
    <w:p>
      <w:pPr>
        <w:tabs>
          <w:tab w:val="left" w:pos="720"/>
        </w:tabs>
        <w:spacing w:after="120"/>
        <w:ind w:left="720" w:hanging="720"/>
      </w:pPr>
      <w:r>
        <w:t xml:space="preserve">6.6	</w:t>
      </w:r>
      <w:r>
        <w:rPr>
          <w:b/>
          <w:bCs/>
        </w:rPr>
        <w:t xml:space="preserve">Top-Ups.</w:t>
      </w:r>
      <w:r>
        <w:t xml:space="preserve"> Clauses 6.1 to 6.5 apply to Top-Up Leads, except that an undelivered Top-Up Lead is refunded at the Effective Lead Price of the Client's Plan when the Top-Up was ordered, not at the Top-Up Price.</w:t>
      </w:r>
    </w:p>
    <w:p>
      <w:pPr>
        <w:pBdr>
          <w:left w:val="single" w:color="A6A6A6" w:sz="18" w:space="6"/>
        </w:pBdr>
        <w:shd w:fill="F2F2F2" w:color="auto" w:val="clear"/>
        <w:spacing w:after="160" w:before="60"/>
        <w:ind w:left="720" w:right="0"/>
      </w:pPr>
      <w:r>
        <w:rPr>
          <w:i/>
          <w:iCs/>
          <w:color w:val="595959"/>
          <w:sz w:val="18"/>
          <w:szCs w:val="18"/>
        </w:rPr>
        <w:t xml:space="preserve">[LAWYER REVIEW (D12): Jonathan decided on 10 Oct 2026 that every refund of an undelivered lead, Top-Up Leads included, is at the Effective Lead Price of the Client's Plan (Pilot R850, Bronze R825, Silver R817, Gold R789). A Top-Up Lead is sold at the Top-Up Price (R850), so on Bronze, Silver and Gold the refund is R25, R33 or R61 below the price paid. Confirm this is defensible under CPA s48 and s54 where the CPA applies. Confirm also the reading adopted in 6.3, 6.6 and 11.6: the Plan for the Billing Cycle in which the lead was due (for a Top-Up Lead, the Plan when the Top-Up was ordered), not the Plan on the day of the refund request (open-items.md section 7, question 3). Because the Effective Lead Price is rounded to the nearest rand, refunding every lead of a full Silver or Gold cycle would exceed the Fee by R10 or R5 (30 x R817 = R24,510 against R24,500; 45 x R789 = R35,505 against R35,500), so 6.3 and 11.6 cap the total refunded at what the Client paid.]</w:t>
      </w:r>
    </w:p>
    <w:p>
      <w:pPr>
        <w:pStyle w:val="Heading1"/>
        <w:keepNext/>
      </w:pPr>
      <w:r>
        <w:t xml:space="preserve">7. No-show and uncontactable-lead replacements (goodwill, not entitlement)</w:t>
      </w:r>
    </w:p>
    <w:p>
      <w:pPr>
        <w:pBdr>
          <w:left w:val="single" w:color="A6A6A6" w:sz="18" w:space="6"/>
        </w:pBdr>
        <w:shd w:fill="F2F2F2" w:color="auto" w:val="clear"/>
        <w:spacing w:after="160" w:before="60"/>
        <w:ind w:left="720" w:right="0"/>
      </w:pPr>
      <w:r>
        <w:rPr>
          <w:i/>
          <w:iCs/>
          <w:color w:val="595959"/>
          <w:sz w:val="18"/>
          <w:szCs w:val="18"/>
        </w:rPr>
        <w:t xml:space="preserve">[LAWYER REVIEW (D11): Replacements stay discretionary goodwill, as in v0.1 and v0.2. The cap is 3 requests per Calendar Week for every Plan, the Pilot Plan included. An Uncontactable Lead ("couldn't reach them") can now earn a replacement, inside the same 3 as no-shows. Clause 7.8 (dispute evidence) is from v0.2. A replacement turns only on attendance and contactability, which are the only feedback clause 8.4 lets the Client give (clause 14.3(c)), and never on a sale, application or policy. The last sentence of 8.4 ("No outcome of any appointment affects any Fee, Top-Up Price, credit, refund or replacement") is left word for word, as instructed, and read literally it does not carve out this clause 7. Confirm it is to be read as "no outcome other than attendance and contactability", or change it to "no sales outcome" (open-items.md section 7, question 7).]</w:t>
      </w:r>
    </w:p>
    <w:p>
      <w:pPr>
        <w:tabs>
          <w:tab w:val="left" w:pos="720"/>
        </w:tabs>
        <w:spacing w:after="120"/>
        <w:ind w:left="720" w:hanging="720"/>
      </w:pPr>
      <w:r>
        <w:t xml:space="preserve">7.1	</w:t>
      </w:r>
      <w:r>
        <w:rPr>
          <w:b/>
          <w:bCs/>
        </w:rPr>
        <w:t xml:space="preserve">Discretionary goodwill.</w:t>
      </w:r>
      <w:r>
        <w:t xml:space="preserve"> Lead Velocity may, as a discretionary goodwill gesture and not as an obligation, supply a Replacement Lead for a No-Show Lead or an Uncontactable Lead. The Client has no right to a Replacement Lead.</w:t>
      </w:r>
    </w:p>
    <w:p>
      <w:pPr>
        <w:tabs>
          <w:tab w:val="left" w:pos="720"/>
        </w:tabs>
        <w:spacing w:after="120"/>
        <w:ind w:left="720" w:hanging="720"/>
      </w:pPr>
      <w:r>
        <w:t xml:space="preserve">7.2	</w:t>
      </w:r>
      <w:r>
        <w:rPr>
          <w:b/>
          <w:bCs/>
        </w:rPr>
        <w:t xml:space="preserve">Weekly maximum.</w:t>
      </w:r>
      <w:r>
        <w:t xml:space="preserve"> Lead Velocity will consider no more than 3 replacement requests per Calendar Week, whichever Plan the Client is on (the Pilot Plan has no separate cap). No-Show Leads and Uncontactable Leads count together inside the same 3, by the date of the booked appointment. Any unused number in a Calendar Week lapses at the end of that week. Only No-Show Leads and Uncontactable Leads can be replaced. A lead with invalid contact details is never counted in the first place (clause 5.8(d)), so it needs no replacement.</w:t>
      </w:r>
    </w:p>
    <w:p>
      <w:pPr>
        <w:tabs>
          <w:tab w:val="left" w:pos="720"/>
        </w:tabs>
        <w:spacing w:after="120"/>
        <w:ind w:left="720" w:hanging="720"/>
      </w:pPr>
      <w:r>
        <w:t xml:space="preserve">7.3	</w:t>
      </w:r>
      <w:r>
        <w:rPr>
          <w:b/>
          <w:bCs/>
        </w:rPr>
        <w:t xml:space="preserve">Proof required.</w:t>
      </w:r>
      <w:r>
        <w:t xml:space="preserve"> A request is considered only if the Client follows the proof protocol in Schedule 3: for a No-Show Lead, including waiting at least 10 minutes past the appointment start time and then sending proof immediately; for an Uncontactable Lead, making the attempts and sending the call or message log that Schedule 3 requires. Proof sent late, incomplete or not at all means the lead stands as Delivered.</w:t>
      </w:r>
    </w:p>
    <w:p>
      <w:pPr>
        <w:tabs>
          <w:tab w:val="left" w:pos="720"/>
        </w:tabs>
        <w:spacing w:after="120"/>
        <w:ind w:left="720" w:hanging="720"/>
      </w:pPr>
      <w:r>
        <w:t xml:space="preserve">7.4	</w:t>
      </w:r>
      <w:r>
        <w:rPr>
          <w:b/>
          <w:bCs/>
        </w:rPr>
        <w:t xml:space="preserve">Replacement Leads are not billable.</w:t>
      </w:r>
      <w:r>
        <w:t xml:space="preserve"> A Replacement Lead is supplied free of charge. It does not count toward the Committed Leads of any Billing Cycle or toward any Top-Up, and the No-Show Lead or Uncontactable Lead it replaces continues to count as Delivered. A Replacement Lead cannot be accumulated, carried over, transferred or exchanged for credit, a refund or any other benefit.</w:t>
      </w:r>
    </w:p>
    <w:p>
      <w:pPr>
        <w:tabs>
          <w:tab w:val="left" w:pos="720"/>
        </w:tabs>
        <w:spacing w:after="120"/>
        <w:ind w:left="720" w:hanging="720"/>
      </w:pPr>
      <w:r>
        <w:t xml:space="preserve">7.5	</w:t>
      </w:r>
      <w:r>
        <w:rPr>
          <w:b/>
          <w:bCs/>
        </w:rPr>
        <w:t xml:space="preserve">Delivery of a Replacement Lead.</w:t>
      </w:r>
      <w:r>
        <w:t xml:space="preserve"> Lead Velocity will aim to supply an approved Replacement Lead within 14 days of approval.</w:t>
      </w:r>
    </w:p>
    <w:p>
      <w:pPr>
        <w:tabs>
          <w:tab w:val="left" w:pos="720"/>
        </w:tabs>
        <w:spacing w:after="120"/>
        <w:ind w:left="720" w:hanging="720"/>
      </w:pPr>
      <w:r>
        <w:t xml:space="preserve">7.6	</w:t>
      </w:r>
      <w:r>
        <w:rPr>
          <w:b/>
          <w:bCs/>
        </w:rPr>
        <w:t xml:space="preserve">Review and suspension.</w:t>
      </w:r>
      <w:r>
        <w:t xml:space="preserve"> Lead Velocity may review, refuse or suspend replacements for the Client, by written notice, if:</w:t>
      </w:r>
    </w:p>
    <w:p>
      <w:pPr>
        <w:tabs>
          <w:tab w:val="left" w:pos="1287"/>
        </w:tabs>
        <w:spacing w:after="80"/>
        <w:ind w:left="1287" w:hanging="567"/>
      </w:pPr>
      <w:r>
        <w:t xml:space="preserve">(a)	</w:t>
      </w:r>
      <w:r>
        <w:t xml:space="preserve">the Client's no-show and uncontactable rate is materially higher than that of Lead Velocity's other clients for similar Campaigns;</w:t>
      </w:r>
    </w:p>
    <w:p>
      <w:pPr>
        <w:tabs>
          <w:tab w:val="left" w:pos="1287"/>
        </w:tabs>
        <w:spacing w:after="80"/>
        <w:ind w:left="1287" w:hanging="567"/>
      </w:pPr>
      <w:r>
        <w:t xml:space="preserve">(b)	</w:t>
      </w:r>
      <w:r>
        <w:t xml:space="preserve">the Consumer tells Lead Velocity that the Client did not attend, cancelled, moved the appointment, discouraged attendance or did not try to reach the Consumer; or</w:t>
      </w:r>
    </w:p>
    <w:p>
      <w:pPr>
        <w:tabs>
          <w:tab w:val="left" w:pos="1287"/>
        </w:tabs>
        <w:spacing w:after="80"/>
        <w:ind w:left="1287" w:hanging="567"/>
      </w:pPr>
      <w:r>
        <w:t xml:space="preserve">(c)	</w:t>
      </w:r>
      <w:r>
        <w:t xml:space="preserve">Lead Velocity reasonably suspects misuse of this clause 7.</w:t>
      </w:r>
    </w:p>
    <w:p>
      <w:pPr>
        <w:tabs>
          <w:tab w:val="left" w:pos="720"/>
        </w:tabs>
        <w:spacing w:after="120"/>
        <w:ind w:left="720" w:hanging="720"/>
      </w:pPr>
      <w:r>
        <w:t xml:space="preserve">7.7	</w:t>
      </w:r>
      <w:r>
        <w:rPr>
          <w:b/>
          <w:bCs/>
        </w:rPr>
        <w:t xml:space="preserve">No incentive to engineer no-shows or unreachable leads.</w:t>
      </w:r>
      <w:r>
        <w:t xml:space="preserve"> The Client gains no financial benefit from a no-show or from failing to reach a Consumer. A replacement is never owed, never reduces the Fee and never creates a credit. The Client must not cancel, move or discourage any appointment, or avoid or delay contact with a Consumer, in order to request a replacement. Lead Velocity may contact the Consumer to confirm what happened and to offer a new appointment with the Client. If the Consumer then attends or can be reached, no replacement is due.</w:t>
      </w:r>
    </w:p>
    <w:p>
      <w:pPr>
        <w:tabs>
          <w:tab w:val="left" w:pos="720"/>
        </w:tabs>
        <w:spacing w:after="120"/>
        <w:ind w:left="720" w:hanging="720"/>
      </w:pPr>
      <w:r>
        <w:t xml:space="preserve">7.8	</w:t>
      </w:r>
      <w:r>
        <w:rPr>
          <w:b/>
          <w:bCs/>
        </w:rPr>
        <w:t xml:space="preserve">Dispute evidence.</w:t>
      </w:r>
      <w:r>
        <w:t xml:space="preserve"> If the Client questions any Delivered lead, it may ask Lead Velocity in writing for the Dispute Evidence for that lead. Lead Velocity will send it within 2 Business Days of the request: the consent record, the booking confirmation and the Consumer's own answers. Lead Velocity removes any health or identity details the Consumer did not consent to share with the Client.</w:t>
      </w:r>
    </w:p>
    <w:p>
      <w:pPr>
        <w:pStyle w:val="Heading1"/>
        <w:keepNext/>
      </w:pPr>
      <w:r>
        <w:t xml:space="preserve">8. Fees</w:t>
      </w:r>
    </w:p>
    <w:p>
      <w:pPr>
        <w:tabs>
          <w:tab w:val="left" w:pos="720"/>
        </w:tabs>
        <w:spacing w:after="120"/>
        <w:ind w:left="720" w:hanging="720"/>
      </w:pPr>
      <w:r>
        <w:t xml:space="preserve">8.1	</w:t>
      </w:r>
      <w:r>
        <w:rPr>
          <w:b/>
          <w:bCs/>
        </w:rPr>
        <w:t xml:space="preserve">Fee.</w:t>
      </w:r>
      <w:r>
        <w:t xml:space="preserve"> The Client will pay the Fee for its Plan for each Billing Cycle, as set out in Schedule 1. The Fee includes all advertising media spend, which Lead Velocity funds and controls.</w:t>
      </w:r>
    </w:p>
    <w:p>
      <w:pPr>
        <w:tabs>
          <w:tab w:val="left" w:pos="720"/>
        </w:tabs>
        <w:spacing w:after="120"/>
        <w:ind w:left="720" w:hanging="720"/>
      </w:pPr>
      <w:r>
        <w:t xml:space="preserve">8.2	</w:t>
      </w:r>
      <w:r>
        <w:rPr>
          <w:b/>
          <w:bCs/>
        </w:rPr>
        <w:t xml:space="preserve">What the Fee is for.</w:t>
      </w:r>
      <w:r>
        <w:t xml:space="preserve"> The Fee is consideration for the marketing and lead-delivery Services rendered. It is payable whether or not any Qualified Lead attends an appointment, receives Advice, applies for or buys a Financial Product, or results in any other outcome. The Fee is not contingent on, calculated by reference to, or varied by the conclusion of any Financial Product.</w:t>
      </w:r>
    </w:p>
    <w:p>
      <w:pPr>
        <w:tabs>
          <w:tab w:val="left" w:pos="720"/>
        </w:tabs>
        <w:spacing w:after="120"/>
        <w:ind w:left="720" w:hanging="720"/>
      </w:pPr>
      <w:r>
        <w:t xml:space="preserve">8.3	</w:t>
      </w:r>
      <w:r>
        <w:rPr>
          <w:b/>
          <w:bCs/>
        </w:rPr>
        <w:t xml:space="preserve">No success-based payment.</w:t>
      </w:r>
      <w:r>
        <w:t xml:space="preserve"> No commission, success fee, bonus, share of premium, revenue share or other payment linked to a sale, application, policy or conversion will ever be payable to Lead Velocity under or in connection with this Agreement. Any term, side letter, invoice or arrangement that provides otherwise is void.</w:t>
      </w:r>
    </w:p>
    <w:p>
      <w:pPr>
        <w:pBdr>
          <w:left w:val="single" w:color="A6A6A6" w:sz="18" w:space="6"/>
        </w:pBdr>
        <w:shd w:fill="F2F2F2" w:color="auto" w:val="clear"/>
        <w:spacing w:after="160" w:before="60"/>
        <w:ind w:left="720" w:right="0"/>
      </w:pPr>
      <w:r>
        <w:rPr>
          <w:i/>
          <w:iCs/>
          <w:color w:val="595959"/>
          <w:sz w:val="18"/>
          <w:szCs w:val="18"/>
        </w:rPr>
        <w:t xml:space="preserve">[LAWYER REVIEW: Key Raspberry Academy safeguard (research-memo.md §1, R4): remuneration there was a percentage of premium on policies concluded; the court contrasted "a flat fee for each Lead referred" favourably para 27. Keep every fee flat per cycle or per lead. Also confirm that a flat marketing fee paid by an FSP is a permitted financial interest under GCoC s3A(1)(a)(v)/(vii) (memo §4.2) and is not remuneration regulated by the insurance commission rules (RDR 2014 para 2.2.9).]</w:t>
      </w:r>
    </w:p>
    <w:p>
      <w:pPr>
        <w:tabs>
          <w:tab w:val="left" w:pos="720"/>
        </w:tabs>
        <w:spacing w:after="120"/>
        <w:ind w:left="720" w:hanging="720"/>
      </w:pPr>
      <w:r>
        <w:t xml:space="preserve">8.4	</w:t>
      </w:r>
      <w:r>
        <w:rPr>
          <w:b/>
          <w:bCs/>
        </w:rPr>
        <w:t xml:space="preserve">Feedback firewall.</w:t>
      </w:r>
      <w:r>
        <w:t xml:space="preserve"> The only feedback the Client gives Lead Velocity is whether it accepts or declines a B-tier lead (clause 5.7) and whether each Consumer attended and could be contacted (clause 14.3(c)). Lead Velocity will not request, and the Client must not send, any information about advice given, applications, sales, policies, premiums or commission. No outcome of any appointment affects any Fee, Top-Up Price, credit, refund or replacement.</w:t>
      </w:r>
    </w:p>
    <w:p>
      <w:pPr>
        <w:tabs>
          <w:tab w:val="left" w:pos="720"/>
        </w:tabs>
        <w:spacing w:after="120"/>
        <w:ind w:left="720" w:hanging="720"/>
      </w:pPr>
      <w:r>
        <w:t xml:space="preserve">8.5	</w:t>
      </w:r>
      <w:r>
        <w:rPr>
          <w:b/>
          <w:bCs/>
        </w:rPr>
        <w:t xml:space="preserve">VAT.</w:t>
      </w:r>
      <w:r>
        <w:t xml:space="preserve"> All amounts in this Agreement exclude VAT. Lead Velocity is not registered for VAT at the Signature Date. If Lead Velocity registers for VAT, it will add VAT at the applicable rate to amounts invoiced after the registration takes effect and will give the Client at least </w:t>
      </w:r>
      <w:r>
        <w:rPr>
          <w:highlight w:val="yellow"/>
          <w:highlightCs w:val="yellow"/>
        </w:rPr>
        <w:t xml:space="preserve">[30]</w:t>
      </w:r>
      <w:r>
        <w:t xml:space="preserve"> days' written notice.</w:t>
      </w:r>
    </w:p>
    <w:p>
      <w:pPr>
        <w:pBdr>
          <w:left w:val="single" w:color="A6A6A6" w:sz="18" w:space="6"/>
        </w:pBdr>
        <w:shd w:fill="F2F2F2" w:color="auto" w:val="clear"/>
        <w:spacing w:after="160" w:before="60"/>
        <w:ind w:left="720" w:right="0"/>
      </w:pPr>
      <w:r>
        <w:rPr>
          <w:i/>
          <w:iCs/>
          <w:color w:val="595959"/>
          <w:sz w:val="18"/>
          <w:szCs w:val="18"/>
        </w:rPr>
        <w:t xml:space="preserve">[LAWYER REVIEW: Confirm with Lead Velocity's accountant whether the VAT registration threshold (R1 million in taxable supplies in 12 months) will be crossed, and that adding VAT to an "excl. VAT" fixed price after registration is enforceable against the Client.]</w:t>
      </w:r>
    </w:p>
    <w:p>
      <w:pPr>
        <w:tabs>
          <w:tab w:val="left" w:pos="720"/>
        </w:tabs>
        <w:spacing w:after="120"/>
        <w:ind w:left="720" w:hanging="720"/>
      </w:pPr>
      <w:r>
        <w:t xml:space="preserve">8.6	</w:t>
      </w:r>
      <w:r>
        <w:rPr>
          <w:b/>
          <w:bCs/>
        </w:rPr>
        <w:t xml:space="preserve">No setup fee.</w:t>
      </w:r>
      <w:r>
        <w:t xml:space="preserve"> No setup or onboarding fee is payable.</w:t>
      </w:r>
    </w:p>
    <w:p>
      <w:pPr>
        <w:tabs>
          <w:tab w:val="left" w:pos="720"/>
        </w:tabs>
        <w:spacing w:after="120"/>
        <w:ind w:left="720" w:hanging="720"/>
      </w:pPr>
      <w:r>
        <w:t xml:space="preserve">8.7	</w:t>
      </w:r>
      <w:r>
        <w:rPr>
          <w:b/>
          <w:bCs/>
        </w:rPr>
        <w:t xml:space="preserve">Price changes.</w:t>
      </w:r>
      <w:r>
        <w:t xml:space="preserve"> Lead Velocity may change the Fee, the Top-Up Price or Plan pricing only for a future Billing Cycle, by giving the Client at least 7 days' written notice before that Billing Cycle starts. The Client may then choose not to renew.</w:t>
      </w:r>
    </w:p>
    <w:p>
      <w:pPr>
        <w:pStyle w:val="Heading1"/>
        <w:keepNext/>
      </w:pPr>
      <w:r>
        <w:t xml:space="preserve">9. Top-Ups and plan changes</w:t>
      </w:r>
    </w:p>
    <w:p>
      <w:pPr>
        <w:tabs>
          <w:tab w:val="left" w:pos="720"/>
        </w:tabs>
        <w:spacing w:after="120"/>
        <w:ind w:left="720" w:hanging="720"/>
      </w:pPr>
      <w:r>
        <w:t xml:space="preserve">9.1	</w:t>
      </w:r>
      <w:r>
        <w:rPr>
          <w:b/>
          <w:bCs/>
        </w:rPr>
        <w:t xml:space="preserve">Top-Ups.</w:t>
      </w:r>
      <w:r>
        <w:t xml:space="preserve"> If the Committed Leads for a Billing Cycle are Delivered before that Billing Cycle ends, the Client may order additional Qualified Leads at the Top-Up Price, subject to the minimum quantity in Schedule 1 (10 Qualified Leads, being R8,500 at the Top-Up Price in Schedule 1).</w:t>
      </w:r>
    </w:p>
    <w:p>
      <w:pPr>
        <w:tabs>
          <w:tab w:val="left" w:pos="720"/>
        </w:tabs>
        <w:spacing w:after="120"/>
        <w:ind w:left="720" w:hanging="720"/>
      </w:pPr>
      <w:r>
        <w:t xml:space="preserve">9.2	</w:t>
      </w:r>
      <w:r>
        <w:rPr>
          <w:b/>
          <w:bCs/>
        </w:rPr>
        <w:t xml:space="preserve">Notice.</w:t>
      </w:r>
      <w:r>
        <w:t xml:space="preserve"> The Client must give at least 7 days' written notice of a Top-Up so that Lead Velocity can scale its Campaigns. The Client may give that notice before the Committed Leads have been Delivered.</w:t>
      </w:r>
    </w:p>
    <w:p>
      <w:pPr>
        <w:tabs>
          <w:tab w:val="left" w:pos="720"/>
        </w:tabs>
        <w:spacing w:after="120"/>
        <w:ind w:left="720" w:hanging="720"/>
      </w:pPr>
      <w:r>
        <w:t xml:space="preserve">9.3	</w:t>
      </w:r>
      <w:r>
        <w:rPr>
          <w:b/>
          <w:bCs/>
        </w:rPr>
        <w:t xml:space="preserve">Payment for Top-Ups.</w:t>
      </w:r>
      <w:r>
        <w:t xml:space="preserve"> Top-Ups are paid in advance under clause 10. Delivery of Top-Up Leads starts on the later of the end of the 7-day notice period and the date the Top-Up payment clears.</w:t>
      </w:r>
    </w:p>
    <w:p>
      <w:pPr>
        <w:tabs>
          <w:tab w:val="left" w:pos="720"/>
        </w:tabs>
        <w:spacing w:after="120"/>
        <w:ind w:left="720" w:hanging="720"/>
      </w:pPr>
      <w:r>
        <w:t xml:space="preserve">9.4	</w:t>
      </w:r>
      <w:r>
        <w:rPr>
          <w:b/>
          <w:bCs/>
        </w:rPr>
        <w:t xml:space="preserve">Same terms.</w:t>
      </w:r>
      <w:r>
        <w:t xml:space="preserve"> Top-Up Leads are Qualified Leads and are subject to clauses 5, 6 and 7.</w:t>
      </w:r>
    </w:p>
    <w:p>
      <w:pPr>
        <w:tabs>
          <w:tab w:val="left" w:pos="720"/>
        </w:tabs>
        <w:spacing w:after="120"/>
        <w:ind w:left="720" w:hanging="720"/>
      </w:pPr>
      <w:r>
        <w:t xml:space="preserve">9.5	</w:t>
      </w:r>
      <w:r>
        <w:rPr>
          <w:b/>
          <w:bCs/>
        </w:rPr>
        <w:t xml:space="preserve">Plan upgrade.</w:t>
      </w:r>
      <w:r>
        <w:t xml:space="preserve"> Instead of a Top-Up, the Client may upgrade to the Silver or Gold Plan at the pricing then shown on the Pricing Page, by giving at least 7 days' written notice before the next Billing Cycle starts. The upgrade takes effect from the start of that Billing Cycle, and Schedule 1 is then read with the new Plan's Fee and Committed Leads. A move on from the Pilot Plan is dealt with only under clause 9.7.</w:t>
      </w:r>
    </w:p>
    <w:p>
      <w:pPr>
        <w:tabs>
          <w:tab w:val="left" w:pos="720"/>
        </w:tabs>
        <w:spacing w:after="120"/>
        <w:ind w:left="720" w:hanging="720"/>
      </w:pPr>
      <w:r>
        <w:t xml:space="preserve">9.6	</w:t>
      </w:r>
      <w:r>
        <w:rPr>
          <w:b/>
          <w:bCs/>
        </w:rPr>
        <w:t xml:space="preserve">Plan downgrade.</w:t>
      </w:r>
      <w:r>
        <w:t xml:space="preserve"> The Client may move to a lower Plan (other than the Pilot Plan) on the same notice and with effect from the start of the next Billing Cycle.</w:t>
      </w:r>
    </w:p>
    <w:p>
      <w:pPr>
        <w:tabs>
          <w:tab w:val="left" w:pos="720"/>
        </w:tabs>
        <w:spacing w:after="120"/>
        <w:ind w:left="720" w:hanging="720"/>
      </w:pPr>
      <w:r>
        <w:t xml:space="preserve">9.7	</w:t>
      </w:r>
      <w:r>
        <w:rPr>
          <w:b/>
          <w:bCs/>
        </w:rPr>
        <w:t xml:space="preserve">Pilot Plan.</w:t>
      </w:r>
      <w:r>
        <w:t xml:space="preserve"> The Pilot Plan is available once only, to a Client that has not bought Services from Lead Velocity before, and covers one introductory Billing Cycle. Its Fee and Committed Leads are set out in Schedule 1. Before the Pilot Billing Cycle ends, the Client may continue on the Bronze Plan or a higher Plan (Silver or Gold) by paying that Plan's Fee in advance under clause 10, at the pricing shown on the Pricing Page when it pays. That payment is the Client's choice of Plan: no notice under clause 9.5 is needed, and Schedule 1 is then read with that Plan's Fee and Committed Leads from the start of the Billing Cycle it pays for. If the Client does not pay, no further Billing Cycle starts and this Agreement ends at the end of the Pilot Billing Cycle, subject to clauses 6 and 11.3. All other terms of this Agreement apply to the Pilot Plan in the same way as to every other Plan, including the flat Fee paid in advance, which includes all advertising media spend (clauses 8 and 10), the absence of any commission or success fee (clause 8.3), the Rollover Period ending on day 44 (clause 6) and the same replacement rules, being replacements of up to 3 per Calendar Week with no separate cap for the Pilot Plan (clause 7).</w:t>
      </w:r>
    </w:p>
    <w:p>
      <w:pPr>
        <w:pStyle w:val="Heading1"/>
        <w:keepNext/>
      </w:pPr>
      <w:r>
        <w:t xml:space="preserve">10. Payment</w:t>
      </w:r>
    </w:p>
    <w:p>
      <w:pPr>
        <w:tabs>
          <w:tab w:val="left" w:pos="720"/>
        </w:tabs>
        <w:spacing w:after="120"/>
        <w:ind w:left="720" w:hanging="720"/>
      </w:pPr>
      <w:r>
        <w:t xml:space="preserve">10.1	</w:t>
      </w:r>
      <w:r>
        <w:rPr>
          <w:b/>
          <w:bCs/>
        </w:rPr>
        <w:t xml:space="preserve">In advance.</w:t>
      </w:r>
      <w:r>
        <w:t xml:space="preserve"> The Fee for each Billing Cycle, and each Top-Up, is payable in advance. The Fee for a Billing Cycle is due no later than the last day of the preceding Billing Cycle (or, for the first Billing Cycle, on the date stated in Schedule 1).</w:t>
      </w:r>
    </w:p>
    <w:p>
      <w:pPr>
        <w:tabs>
          <w:tab w:val="left" w:pos="720"/>
        </w:tabs>
        <w:spacing w:after="120"/>
        <w:ind w:left="720" w:hanging="720"/>
      </w:pPr>
      <w:r>
        <w:t xml:space="preserve">10.2	</w:t>
      </w:r>
      <w:r>
        <w:rPr>
          <w:b/>
          <w:bCs/>
        </w:rPr>
        <w:t xml:space="preserve">Delivery only on cleared payment.</w:t>
      </w:r>
      <w:r>
        <w:t xml:space="preserve"> Lead Velocity will start or continue delivery only once payment has cleared in its account.</w:t>
      </w:r>
    </w:p>
    <w:p>
      <w:pPr>
        <w:tabs>
          <w:tab w:val="left" w:pos="720"/>
        </w:tabs>
        <w:spacing w:after="120"/>
        <w:ind w:left="720" w:hanging="720"/>
      </w:pPr>
      <w:r>
        <w:t xml:space="preserve">10.3	</w:t>
      </w:r>
      <w:r>
        <w:rPr>
          <w:b/>
          <w:bCs/>
        </w:rPr>
        <w:t xml:space="preserve">Methods.</w:t>
      </w:r>
      <w:r>
        <w:t xml:space="preserve"> The Client may pay by Paystack (card or Instant EFT) or by EFT to Lead Velocity's FNB account as stated on Lead Velocity's invoice. The Client must use the payment reference on Lead Velocity's invoice. The Client bears its own bank charges.</w:t>
      </w:r>
    </w:p>
    <w:p>
      <w:pPr>
        <w:tabs>
          <w:tab w:val="left" w:pos="720"/>
        </w:tabs>
        <w:spacing w:after="120"/>
        <w:ind w:left="720" w:hanging="720"/>
      </w:pPr>
      <w:r>
        <w:t xml:space="preserve">10.4	</w:t>
      </w:r>
      <w:r>
        <w:rPr>
          <w:b/>
          <w:bCs/>
        </w:rPr>
        <w:t xml:space="preserve">No set-off by the Client.</w:t>
      </w:r>
      <w:r>
        <w:t xml:space="preserve"> The Client will pay all amounts in full, without deduction or set-off.</w:t>
      </w:r>
    </w:p>
    <w:p>
      <w:pPr>
        <w:tabs>
          <w:tab w:val="left" w:pos="720"/>
        </w:tabs>
        <w:spacing w:after="120"/>
        <w:ind w:left="720" w:hanging="720"/>
      </w:pPr>
      <w:r>
        <w:t xml:space="preserve">10.5	</w:t>
      </w:r>
      <w:r>
        <w:rPr>
          <w:b/>
          <w:bCs/>
        </w:rPr>
        <w:t xml:space="preserve">Late payment.</w:t>
      </w:r>
      <w:r>
        <w:t xml:space="preserve"> If any amount is not paid when due, Lead Velocity may suspend delivery, Campaigns and replacements for the Client until the amount clears. Suspended days do not extend the Billing Cycle. No interest or penalty is charged.</w:t>
      </w:r>
    </w:p>
    <w:p>
      <w:pPr>
        <w:tabs>
          <w:tab w:val="left" w:pos="720"/>
        </w:tabs>
        <w:spacing w:after="120"/>
        <w:ind w:left="720" w:hanging="720"/>
      </w:pPr>
      <w:r>
        <w:t xml:space="preserve">10.6	</w:t>
      </w:r>
      <w:r>
        <w:rPr>
          <w:b/>
          <w:bCs/>
        </w:rPr>
        <w:t xml:space="preserve">Payment disputes.</w:t>
      </w:r>
      <w:r>
        <w:t xml:space="preserve"> If the Client disputes an invoice in good faith, it must notify Lead Velocity in writing within 5 Business Days of receiving it, giving reasons, and pay any undisputed part.</w:t>
      </w:r>
    </w:p>
    <w:p>
      <w:pPr>
        <w:pStyle w:val="Heading1"/>
        <w:keepNext/>
      </w:pPr>
      <w:r>
        <w:t xml:space="preserve">11. Termination</w:t>
      </w:r>
    </w:p>
    <w:p>
      <w:pPr>
        <w:tabs>
          <w:tab w:val="left" w:pos="720"/>
        </w:tabs>
        <w:spacing w:after="120"/>
        <w:ind w:left="720" w:hanging="720"/>
      </w:pPr>
      <w:r>
        <w:t xml:space="preserve">11.1	</w:t>
      </w:r>
      <w:r>
        <w:rPr>
          <w:b/>
          <w:bCs/>
        </w:rPr>
        <w:t xml:space="preserve">Cancellation on notice.</w:t>
      </w:r>
      <w:r>
        <w:t xml:space="preserve"> Either Party may cancel this Agreement by giving the other at least 7 days' written notice before the start of the next Billing Cycle. Cancellation takes effect at the end of the current Billing Cycle.</w:t>
      </w:r>
    </w:p>
    <w:p>
      <w:pPr>
        <w:tabs>
          <w:tab w:val="left" w:pos="720"/>
        </w:tabs>
        <w:spacing w:after="120"/>
        <w:ind w:left="720" w:hanging="720"/>
      </w:pPr>
      <w:r>
        <w:t xml:space="preserve">11.2	</w:t>
      </w:r>
      <w:r>
        <w:rPr>
          <w:b/>
          <w:bCs/>
        </w:rPr>
        <w:t xml:space="preserve">Non-renewal.</w:t>
      </w:r>
      <w:r>
        <w:t xml:space="preserve"> Because this Agreement renews only on payment, if the Client does not pay the Fee for the next Billing Cycle, no further Billing Cycle starts and this Agreement ends at the end of the current Billing Cycle. Failure to give notice under clause 11.1 does not make the next Fee payable.</w:t>
      </w:r>
    </w:p>
    <w:p>
      <w:pPr>
        <w:tabs>
          <w:tab w:val="left" w:pos="720"/>
        </w:tabs>
        <w:spacing w:after="120"/>
        <w:ind w:left="720" w:hanging="720"/>
      </w:pPr>
      <w:r>
        <w:t xml:space="preserve">11.3	</w:t>
      </w:r>
      <w:r>
        <w:rPr>
          <w:b/>
          <w:bCs/>
        </w:rPr>
        <w:t xml:space="preserve">No refund of a started cycle.</w:t>
      </w:r>
      <w:r>
        <w:t xml:space="preserve"> Fees already paid for a Billing Cycle that has started are not refundable, except as set out in clauses 6.3, 6.4, 11.6 and 23.2(b). Lead Velocity's outstanding delivery obligations for that Billing Cycle, including the Rollover Period and clause 6, survive cancellation.</w:t>
      </w:r>
    </w:p>
    <w:p>
      <w:pPr>
        <w:tabs>
          <w:tab w:val="left" w:pos="720"/>
        </w:tabs>
        <w:spacing w:after="120"/>
        <w:ind w:left="720" w:hanging="720"/>
      </w:pPr>
      <w:r>
        <w:t xml:space="preserve">11.4	</w:t>
      </w:r>
      <w:r>
        <w:rPr>
          <w:b/>
          <w:bCs/>
        </w:rPr>
        <w:t xml:space="preserve">Immediate termination.</w:t>
      </w:r>
      <w:r>
        <w:t xml:space="preserve"> Either Party may terminate this Agreement immediately by written notice if the other Party:</w:t>
      </w:r>
    </w:p>
    <w:p>
      <w:pPr>
        <w:tabs>
          <w:tab w:val="left" w:pos="1287"/>
        </w:tabs>
        <w:spacing w:after="80"/>
        <w:ind w:left="1287" w:hanging="567"/>
      </w:pPr>
      <w:r>
        <w:t xml:space="preserve">(a)	</w:t>
      </w:r>
      <w:r>
        <w:t xml:space="preserve">commits a material breach and fails to remedy it within 5 Business Days of written notice requiring it to do so, or commits a material breach that cannot be remedied;</w:t>
      </w:r>
    </w:p>
    <w:p>
      <w:pPr>
        <w:tabs>
          <w:tab w:val="left" w:pos="1287"/>
        </w:tabs>
        <w:spacing w:after="80"/>
        <w:ind w:left="1287" w:hanging="567"/>
      </w:pPr>
      <w:r>
        <w:t xml:space="preserve">(b)	</w:t>
      </w:r>
      <w:r>
        <w:t xml:space="preserve">is placed in liquidation, business rescue or sequestration (provisionally or finally), commits an act of insolvency, or makes a compromise with its creditors; or</w:t>
      </w:r>
    </w:p>
    <w:p>
      <w:pPr>
        <w:tabs>
          <w:tab w:val="left" w:pos="1287"/>
        </w:tabs>
        <w:spacing w:after="80"/>
        <w:ind w:left="1287" w:hanging="567"/>
      </w:pPr>
      <w:r>
        <w:t xml:space="preserve">(c)	</w:t>
      </w:r>
      <w:r>
        <w:t xml:space="preserve">asks the terminating Party to act in breach of Applicable Law, including asking Lead Velocity to do anything listed in clause 3.2.</w:t>
      </w:r>
    </w:p>
    <w:p>
      <w:pPr>
        <w:tabs>
          <w:tab w:val="left" w:pos="720"/>
        </w:tabs>
        <w:spacing w:after="120"/>
        <w:ind w:left="720" w:hanging="720"/>
      </w:pPr>
      <w:r>
        <w:t xml:space="preserve">11.5	</w:t>
      </w:r>
      <w:r>
        <w:rPr>
          <w:b/>
          <w:bCs/>
        </w:rPr>
        <w:t xml:space="preserve">FSP Licence.</w:t>
      </w:r>
      <w:r>
        <w:t xml:space="preserve"> The Client must notify Lead Velocity immediately in writing if its FSP Licence, or the authority of any key individual or Representative who takes appointments, is suspended, withdrawn, lapses or is made subject to conditions, or if any of them is debarred. Lead Velocity may then suspend delivery at once and may terminate this Agreement immediately by written notice.</w:t>
      </w:r>
    </w:p>
    <w:p>
      <w:pPr>
        <w:pBdr>
          <w:left w:val="single" w:color="A6A6A6" w:sz="18" w:space="6"/>
        </w:pBdr>
        <w:shd w:fill="F2F2F2" w:color="auto" w:val="clear"/>
        <w:spacing w:after="160" w:before="60"/>
        <w:ind w:left="720" w:right="0"/>
      </w:pPr>
      <w:r>
        <w:rPr>
          <w:i/>
          <w:iCs/>
          <w:color w:val="595959"/>
          <w:sz w:val="18"/>
          <w:szCs w:val="18"/>
        </w:rPr>
        <w:t xml:space="preserve">[LAWYER REVIEW: Introducing Consumers to a person who is no longer authorised could expose Lead Velocity. Confirm whether Lead Velocity should also check the FSCA register before each Billing Cycle.]</w:t>
      </w:r>
    </w:p>
    <w:p>
      <w:pPr>
        <w:tabs>
          <w:tab w:val="left" w:pos="720"/>
        </w:tabs>
        <w:spacing w:after="120"/>
        <w:ind w:left="720" w:hanging="720"/>
      </w:pPr>
      <w:r>
        <w:t xml:space="preserve">11.6	</w:t>
      </w:r>
      <w:r>
        <w:rPr>
          <w:b/>
          <w:bCs/>
        </w:rPr>
        <w:t xml:space="preserve">Refund on early termination.</w:t>
      </w:r>
      <w:r>
        <w:t xml:space="preserve"> If this Agreement ends under clause 11.4 or 11.5 during a Billing Cycle, Lead Velocity will refund the Effective Lead Price of the Client's Plan (for a Top-Up Lead, the Client's Plan when the Top-Up was ordered) for each paid Qualified Lead not yet Delivered, less any amount the Client owes Lead Velocity, within 10 Business Days, and never more in total than the Client paid for those leads.</w:t>
      </w:r>
    </w:p>
    <w:p>
      <w:pPr>
        <w:tabs>
          <w:tab w:val="left" w:pos="720"/>
        </w:tabs>
        <w:spacing w:after="120"/>
        <w:ind w:left="720" w:hanging="720"/>
      </w:pPr>
      <w:r>
        <w:t xml:space="preserve">11.7	</w:t>
      </w:r>
      <w:r>
        <w:rPr>
          <w:b/>
          <w:bCs/>
        </w:rPr>
        <w:t xml:space="preserve">Effect of termination.</w:t>
      </w:r>
      <w:r>
        <w:t xml:space="preserve"> On termination:</w:t>
      </w:r>
    </w:p>
    <w:p>
      <w:pPr>
        <w:tabs>
          <w:tab w:val="left" w:pos="1287"/>
        </w:tabs>
        <w:spacing w:after="80"/>
        <w:ind w:left="1287" w:hanging="567"/>
      </w:pPr>
      <w:r>
        <w:t xml:space="preserve">(a)	</w:t>
      </w:r>
      <w:r>
        <w:t xml:space="preserve">Lead Velocity will stop all Campaigns and messages that name the Client;</w:t>
      </w:r>
    </w:p>
    <w:p>
      <w:pPr>
        <w:tabs>
          <w:tab w:val="left" w:pos="1287"/>
        </w:tabs>
        <w:spacing w:after="80"/>
        <w:ind w:left="1287" w:hanging="567"/>
      </w:pPr>
      <w:r>
        <w:t xml:space="preserve">(b)	</w:t>
      </w:r>
      <w:r>
        <w:t xml:space="preserve">the Client may continue to use Qualified Leads already Delivered under clause 12.3; and</w:t>
      </w:r>
    </w:p>
    <w:p>
      <w:pPr>
        <w:tabs>
          <w:tab w:val="left" w:pos="1287"/>
        </w:tabs>
        <w:spacing w:after="80"/>
        <w:ind w:left="1287" w:hanging="567"/>
      </w:pPr>
      <w:r>
        <w:t xml:space="preserve">(c)	</w:t>
      </w:r>
      <w:r>
        <w:t xml:space="preserve">clauses 1, 6, 7.8, 11.6, 11.7, 12.3, 12.4, 13, 15, 16, 17, 18, 21, 22 and 25 survive.</w:t>
      </w:r>
    </w:p>
    <w:p>
      <w:pPr>
        <w:pStyle w:val="Heading1"/>
        <w:keepNext/>
      </w:pPr>
      <w:r>
        <w:t xml:space="preserve">12. Exclusivity and use of Leads</w:t>
      </w:r>
    </w:p>
    <w:p>
      <w:pPr>
        <w:tabs>
          <w:tab w:val="left" w:pos="720"/>
        </w:tabs>
        <w:spacing w:after="120"/>
        <w:ind w:left="720" w:hanging="720"/>
      </w:pPr>
      <w:r>
        <w:t xml:space="preserve">12.1	</w:t>
      </w:r>
      <w:r>
        <w:rPr>
          <w:b/>
          <w:bCs/>
        </w:rPr>
        <w:t xml:space="preserve">Non-exclusive.</w:t>
      </w:r>
      <w:r>
        <w:t xml:space="preserve"> This Agreement is non-exclusive. Lead Velocity may run similar Campaigns and supply similar leads to other financial services providers, in any area.</w:t>
      </w:r>
    </w:p>
    <w:p>
      <w:pPr>
        <w:tabs>
          <w:tab w:val="left" w:pos="720"/>
        </w:tabs>
        <w:spacing w:after="120"/>
        <w:ind w:left="720" w:hanging="720"/>
      </w:pPr>
      <w:r>
        <w:t xml:space="preserve">12.2	</w:t>
      </w:r>
      <w:r>
        <w:rPr>
          <w:b/>
          <w:bCs/>
        </w:rPr>
        <w:t xml:space="preserve">No double allocation.</w:t>
      </w:r>
      <w:r>
        <w:t xml:space="preserve"> Once a Qualified Lead has been allocated and Delivered to the Client, Lead Velocity will not allocate that same Consumer to another financial services provider for the same enquiry. A new enquiry made by the same Consumer later, with fresh consent, is a new enquiry. This clause does not apply to a B-tier lead the Client declined (clause 5.7(c)).</w:t>
      </w:r>
    </w:p>
    <w:p>
      <w:pPr>
        <w:pBdr>
          <w:left w:val="single" w:color="A6A6A6" w:sz="18" w:space="6"/>
        </w:pBdr>
        <w:shd w:fill="F2F2F2" w:color="auto" w:val="clear"/>
        <w:spacing w:after="160" w:before="60"/>
        <w:ind w:left="720" w:right="0"/>
      </w:pPr>
      <w:r>
        <w:rPr>
          <w:i/>
          <w:iCs/>
          <w:color w:val="595959"/>
          <w:sz w:val="18"/>
          <w:szCs w:val="18"/>
        </w:rPr>
        <w:t xml:space="preserve">[LAWYER REVIEW / CONFIRM: MASTER-PROMPT 0.1 says delivered leads are the broker's "to use exclusively". This clause follows the brief (no double allocation for the same enquiry; Lead Velocity keeps its own records under clause 13). Confirm the gap between "same enquiry" and "exclusively", and the period after which a repeat enquiry is "new" (suggest 90 days).]</w:t>
      </w:r>
    </w:p>
    <w:p>
      <w:pPr>
        <w:tabs>
          <w:tab w:val="left" w:pos="720"/>
        </w:tabs>
        <w:spacing w:after="120"/>
        <w:ind w:left="720" w:hanging="720"/>
      </w:pPr>
      <w:r>
        <w:t xml:space="preserve">12.3	</w:t>
      </w:r>
      <w:r>
        <w:rPr>
          <w:b/>
          <w:bCs/>
        </w:rPr>
        <w:t xml:space="preserve">Licence to use.</w:t>
      </w:r>
      <w:r>
        <w:t xml:space="preserve"> Lead Velocity grants the Client a non-exclusive, non-transferable licence to use each Delivered Qualified Lead only to contact that Consumer about their enquiry about insurance and financial planning and to provide Financial Services the Consumer asks for, in line with Applicable Law.</w:t>
      </w:r>
    </w:p>
    <w:p>
      <w:pPr>
        <w:tabs>
          <w:tab w:val="left" w:pos="720"/>
        </w:tabs>
        <w:spacing w:after="120"/>
        <w:ind w:left="720" w:hanging="720"/>
      </w:pPr>
      <w:r>
        <w:t xml:space="preserve">12.4	</w:t>
      </w:r>
      <w:r>
        <w:rPr>
          <w:b/>
          <w:bCs/>
        </w:rPr>
        <w:t xml:space="preserve">No resale.</w:t>
      </w:r>
      <w:r>
        <w:t xml:space="preserve"> The Client may not sell, share, rent, pool, transfer or disclose any Qualified Lead or Lead Data to any third party, except to its own Representatives and service providers who need it for the purpose in clause 12.3 and who are bound by equivalent obligations, and except for a referral under clause 5.9 that the Consumer agrees to.</w:t>
      </w:r>
    </w:p>
    <w:p>
      <w:pPr>
        <w:pStyle w:val="Heading1"/>
        <w:keepNext/>
      </w:pPr>
      <w:r>
        <w:t xml:space="preserve">13. Data protection (POPIA)</w:t>
      </w:r>
    </w:p>
    <w:p>
      <w:pPr>
        <w:tabs>
          <w:tab w:val="left" w:pos="720"/>
        </w:tabs>
        <w:spacing w:after="120"/>
        <w:ind w:left="720" w:hanging="720"/>
      </w:pPr>
      <w:r>
        <w:t xml:space="preserve">13.1	</w:t>
      </w:r>
      <w:r>
        <w:rPr>
          <w:b/>
          <w:bCs/>
        </w:rPr>
        <w:t xml:space="preserve">Independent responsible parties.</w:t>
      </w:r>
      <w:r>
        <w:t xml:space="preserve"> Lead Velocity is an independent responsible party for the Lead Data it collects. It shares a copy of the Lead Data of each Qualified Lead with the Client for the Client's purpose of contacting that Consumer and providing Financial Services. On receipt, the Client becomes a separate, independent responsible party for its own processing. Except as set out in clause 13.10, neither Party is the other's operator.</w:t>
      </w:r>
    </w:p>
    <w:p>
      <w:pPr>
        <w:pBdr>
          <w:left w:val="single" w:color="A6A6A6" w:sz="18" w:space="6"/>
        </w:pBdr>
        <w:shd w:fill="F2F2F2" w:color="auto" w:val="clear"/>
        <w:spacing w:after="160" w:before="60"/>
        <w:ind w:left="720" w:right="0"/>
      </w:pPr>
      <w:r>
        <w:rPr>
          <w:i/>
          <w:iCs/>
          <w:color w:val="595959"/>
          <w:sz w:val="18"/>
          <w:szCs w:val="18"/>
        </w:rPr>
        <w:t xml:space="preserve">[LAWYER REVIEW: Dual responsible party model (research-memo.md §6, R7). The brief says "neither is the other's operator"; clause 13.10 adds a narrow operator carve-out for calendar booking and reminders after Delivery, because that processing is arguably for the Client's purpose. Confirm whether the carve-out is needed or whether reminders can stay Lead Velocity's own disclosed purpose.]</w:t>
      </w:r>
    </w:p>
    <w:p>
      <w:pPr>
        <w:tabs>
          <w:tab w:val="left" w:pos="720"/>
        </w:tabs>
        <w:spacing w:after="120"/>
        <w:ind w:left="720" w:hanging="720"/>
      </w:pPr>
      <w:r>
        <w:t xml:space="preserve">13.2	</w:t>
      </w:r>
      <w:r>
        <w:rPr>
          <w:b/>
          <w:bCs/>
        </w:rPr>
        <w:t xml:space="preserve">Lead Velocity's purposes.</w:t>
      </w:r>
      <w:r>
        <w:t xml:space="preserve"> Lead Velocity processes and retains Lead Data for the purposes disclosed to the Consumer at the point of consent, namely:</w:t>
      </w:r>
    </w:p>
    <w:p>
      <w:pPr>
        <w:tabs>
          <w:tab w:val="left" w:pos="1287"/>
        </w:tabs>
        <w:spacing w:after="80"/>
        <w:ind w:left="1287" w:hanging="567"/>
      </w:pPr>
      <w:r>
        <w:t xml:space="preserve">(a)	</w:t>
      </w:r>
      <w:r>
        <w:t xml:space="preserve">introducing the Consumer to the Client;</w:t>
      </w:r>
    </w:p>
    <w:p>
      <w:pPr>
        <w:tabs>
          <w:tab w:val="left" w:pos="1287"/>
        </w:tabs>
        <w:spacing w:after="80"/>
        <w:ind w:left="1287" w:hanging="567"/>
      </w:pPr>
      <w:r>
        <w:t xml:space="preserve">(b)	</w:t>
      </w:r>
      <w:r>
        <w:t xml:space="preserve">keeping Origin Records for audit, dispute-resolution and regulatory purposes; and</w:t>
      </w:r>
    </w:p>
    <w:p>
      <w:pPr>
        <w:tabs>
          <w:tab w:val="left" w:pos="1287"/>
        </w:tabs>
        <w:spacing w:after="80"/>
        <w:ind w:left="1287" w:hanging="567"/>
      </w:pPr>
      <w:r>
        <w:t xml:space="preserve">(c)	</w:t>
      </w:r>
      <w:r>
        <w:t xml:space="preserve">marketing optimisation, including building lookalike audiences, retargeting and improving Campaigns, but only for Consumers who gave the separate, optional marketing-optimisation consent described in the consent wording Lead Velocity publishes.</w:t>
      </w:r>
    </w:p>
    <w:p>
      <w:pPr>
        <w:pBdr>
          <w:left w:val="single" w:color="A6A6A6" w:sz="18" w:space="6"/>
        </w:pBdr>
        <w:shd w:fill="F2F2F2" w:color="auto" w:val="clear"/>
        <w:spacing w:after="160" w:before="60"/>
        <w:ind w:left="720" w:right="0"/>
      </w:pPr>
      <w:r>
        <w:rPr>
          <w:i/>
          <w:iCs/>
          <w:color w:val="595959"/>
          <w:sz w:val="18"/>
          <w:szCs w:val="18"/>
        </w:rPr>
        <w:t xml:space="preserve">[LAWYER REVIEW: Purpose (c) shares hashed data with offshore advertising platforms (POPIA s15, s18, s72) and the Regulator's Direct Marketing Guidance Note lists cookies as an electronic direct-marketing method (research-memo.md §6.2, R5). Purpose (c) is therefore limited to Consumers who ticked a separate, optional, unbundled consent (Form 4 style). Confirm the wording and whether retargeting of non-consenting visitors needs a documented legitimate-interest assessment. Meta's processor/controller role for Custom Audiences is UNVERIFIED.]</w:t>
      </w:r>
    </w:p>
    <w:p>
      <w:pPr>
        <w:tabs>
          <w:tab w:val="left" w:pos="720"/>
        </w:tabs>
        <w:spacing w:after="120"/>
        <w:ind w:left="720" w:hanging="720"/>
      </w:pPr>
      <w:r>
        <w:t xml:space="preserve">13.2A	</w:t>
      </w:r>
      <w:r>
        <w:rPr>
          <w:b/>
          <w:bCs/>
        </w:rPr>
        <w:t xml:space="preserve">Smoker status.</w:t>
      </w:r>
      <w:r>
        <w:t xml:space="preserve"> Smoker status is special personal information (POPIA section 26). Lead Velocity asks for it only as an optional question, only with the Consumer's express consent under section 27(1)(a), worded as "used only to brief your adviser, named in the question,". Lead Velocity uses it only to brief the Client before the appointment, never for advertising, and never shares it with any advertising platform. The Client may use it only for the Consumer's enquiry.</w:t>
      </w:r>
    </w:p>
    <w:p>
      <w:pPr>
        <w:pBdr>
          <w:left w:val="single" w:color="A6A6A6" w:sz="18" w:space="6"/>
        </w:pBdr>
        <w:shd w:fill="F2F2F2" w:color="auto" w:val="clear"/>
        <w:spacing w:after="160" w:before="60"/>
        <w:ind w:left="720" w:right="0"/>
      </w:pPr>
      <w:r>
        <w:rPr>
          <w:i/>
          <w:iCs/>
          <w:color w:val="595959"/>
          <w:sz w:val="18"/>
          <w:szCs w:val="18"/>
        </w:rPr>
        <w:t xml:space="preserve">[LAWYER REVIEW (D6): Confirm that smoker status is "health" information under s26 and that the in-chat consent line meets s27(1)(a) and the definition of "consent" in s1 (voluntary, specific, informed). Confirm retention: suggest deleting it from Lead Velocity's records 30 days after the appointment.]</w:t>
      </w:r>
    </w:p>
    <w:p>
      <w:pPr>
        <w:tabs>
          <w:tab w:val="left" w:pos="720"/>
        </w:tabs>
        <w:spacing w:after="120"/>
        <w:ind w:left="720" w:hanging="720"/>
      </w:pPr>
      <w:r>
        <w:t xml:space="preserve">13.3	</w:t>
      </w:r>
      <w:r>
        <w:rPr>
          <w:b/>
          <w:bCs/>
        </w:rPr>
        <w:t xml:space="preserve">Origin Records.</w:t>
      </w:r>
      <w:r>
        <w:t xml:space="preserve"> The Client cannot require Lead Velocity to delete or amend its Origin Records, which Lead Velocity keeps for the periods set out in Schedule 4.</w:t>
      </w:r>
    </w:p>
    <w:p>
      <w:pPr>
        <w:tabs>
          <w:tab w:val="left" w:pos="720"/>
        </w:tabs>
        <w:spacing w:after="120"/>
        <w:ind w:left="720" w:hanging="720"/>
      </w:pPr>
      <w:r>
        <w:t xml:space="preserve">13.4	</w:t>
      </w:r>
      <w:r>
        <w:rPr>
          <w:b/>
          <w:bCs/>
        </w:rPr>
        <w:t xml:space="preserve">Data subject requests and opt-outs.</w:t>
      </w:r>
      <w:r>
        <w:t xml:space="preserve"> Each Party handles data subject requests, objections and opt-outs for its own processing. Each Party will notify the other in writing within 2 Business Days of any opt-out, objection or deletion request it receives that affects the other's processing.</w:t>
      </w:r>
    </w:p>
    <w:p>
      <w:pPr>
        <w:tabs>
          <w:tab w:val="left" w:pos="720"/>
        </w:tabs>
        <w:spacing w:after="120"/>
        <w:ind w:left="720" w:hanging="720"/>
      </w:pPr>
      <w:r>
        <w:t xml:space="preserve">13.5	</w:t>
      </w:r>
      <w:r>
        <w:rPr>
          <w:b/>
          <w:bCs/>
        </w:rPr>
        <w:t xml:space="preserve">Direct marketing and the opt-out registry.</w:t>
      </w:r>
      <w:r>
        <w:t xml:space="preserve"> Each Party is responsible for its own compliance with section 69 of POPIA and section 11 of the Consumer Protection Act. Lead Velocity will check each Consumer against the National Consumer Commission opt-out registry before its first contact with that Consumer. The Client is responsible for registry checks for its own later direct marketing. If a Delivered Qualified Lead is found to have been blocked on the registry at the time of Delivery, it is treated as not Delivered and does not count toward the Committed Leads. The Consumer's consent at the point of enquiry covers contact by the Client about the Consumer's enquiry about insurance and financial planning only. Any other direct marketing by the Client needs its own lawful basis.</w:t>
      </w:r>
    </w:p>
    <w:p>
      <w:pPr>
        <w:pBdr>
          <w:left w:val="single" w:color="A6A6A6" w:sz="18" w:space="6"/>
        </w:pBdr>
        <w:shd w:fill="F2F2F2" w:color="auto" w:val="clear"/>
        <w:spacing w:after="160" w:before="60"/>
        <w:ind w:left="720" w:right="0"/>
      </w:pPr>
      <w:r>
        <w:rPr>
          <w:i/>
          <w:iCs/>
          <w:color w:val="595959"/>
          <w:sz w:val="18"/>
          <w:szCs w:val="18"/>
        </w:rPr>
        <w:t xml:space="preserve">[LAWYER REVIEW: The NCC's stated position is that a registry block overrides earlier consent (research-memo.md §7, R12). Confirm current registration and cleansing deadlines and the allocation in this clause. Consent text v3 (7 Oct 2026) widens "life cover" to "insurance and financial planning": confirm this is still "specific" enough under POPIA s1 and s69.]</w:t>
      </w:r>
    </w:p>
    <w:p>
      <w:pPr>
        <w:tabs>
          <w:tab w:val="left" w:pos="720"/>
        </w:tabs>
        <w:spacing w:after="120"/>
        <w:ind w:left="720" w:hanging="720"/>
      </w:pPr>
      <w:r>
        <w:t xml:space="preserve">13.6	</w:t>
      </w:r>
      <w:r>
        <w:rPr>
          <w:b/>
          <w:bCs/>
        </w:rPr>
        <w:t xml:space="preserve">Security.</w:t>
      </w:r>
      <w:r>
        <w:t xml:space="preserve"> Each Party will maintain appropriate, reasonable technical and organisational measures to secure Lead Data in its possession, as required by section 19 of POPIA, and will share Lead Data only through the secure channels set out in Schedule 4.</w:t>
      </w:r>
    </w:p>
    <w:p>
      <w:pPr>
        <w:tabs>
          <w:tab w:val="left" w:pos="720"/>
        </w:tabs>
        <w:spacing w:after="120"/>
        <w:ind w:left="720" w:hanging="720"/>
      </w:pPr>
      <w:r>
        <w:t xml:space="preserve">13.7	</w:t>
      </w:r>
      <w:r>
        <w:rPr>
          <w:b/>
          <w:bCs/>
        </w:rPr>
        <w:t xml:space="preserve">Breach notification.</w:t>
      </w:r>
      <w:r>
        <w:t xml:space="preserve"> If either Party has reasonable grounds to believe that Lead Data received from or shared with the other Party has been accessed or acquired by an unauthorised person, it will notify the other Party in writing within 24 hours, cooperate reasonably, and make its own notifications to the Information Regulator and data subjects under section 22 of POPIA.</w:t>
      </w:r>
    </w:p>
    <w:p>
      <w:pPr>
        <w:tabs>
          <w:tab w:val="left" w:pos="720"/>
        </w:tabs>
        <w:spacing w:after="120"/>
        <w:ind w:left="720" w:hanging="720"/>
      </w:pPr>
      <w:r>
        <w:t xml:space="preserve">13.8	</w:t>
      </w:r>
      <w:r>
        <w:rPr>
          <w:b/>
          <w:bCs/>
        </w:rPr>
        <w:t xml:space="preserve">Cross-border transfers.</w:t>
      </w:r>
      <w:r>
        <w:t xml:space="preserve"> The Client acknowledges that Lead Velocity's advertising platforms, messaging and hosting providers may process Lead Data outside South Africa. Lead Velocity will transfer Lead Data across borders only as permitted by section 72 of POPIA.</w:t>
      </w:r>
    </w:p>
    <w:p>
      <w:pPr>
        <w:tabs>
          <w:tab w:val="left" w:pos="720"/>
        </w:tabs>
        <w:spacing w:after="120"/>
        <w:ind w:left="720" w:hanging="720"/>
      </w:pPr>
      <w:r>
        <w:t xml:space="preserve">13.9	</w:t>
      </w:r>
      <w:r>
        <w:t xml:space="preserve">Schedule 4 sets out further data sharing terms.</w:t>
      </w:r>
    </w:p>
    <w:p>
      <w:pPr>
        <w:tabs>
          <w:tab w:val="left" w:pos="720"/>
        </w:tabs>
        <w:spacing w:after="120"/>
        <w:ind w:left="720" w:hanging="720"/>
      </w:pPr>
      <w:r>
        <w:t xml:space="preserve">13.10	</w:t>
      </w:r>
      <w:r>
        <w:rPr>
          <w:b/>
          <w:bCs/>
        </w:rPr>
        <w:t xml:space="preserve">Limited operator processing.</w:t>
      </w:r>
      <w:r>
        <w:t xml:space="preserve"> To the extent that Lead Velocity, after Delivery, books an appointment into the Client's calendar or sends appointment reminders on the Client's behalf, Lead Velocity processes that personal information as the Client's operator for that limited purpose only. For that processing Lead Velocity will: (a) process only with the Client's authority and for that purpose; (b) treat the information as confidential; (c) maintain the security measures in section 19 of POPIA; and (d) notify the Client immediately if it reasonably believes the information has been accessed or acquired by an unauthorised person, as required by sections 20 and 21 of POPIA.</w:t>
      </w:r>
    </w:p>
    <w:p>
      <w:pPr>
        <w:pBdr>
          <w:left w:val="single" w:color="A6A6A6" w:sz="18" w:space="6"/>
        </w:pBdr>
        <w:shd w:fill="F2F2F2" w:color="auto" w:val="clear"/>
        <w:spacing w:after="160" w:before="60"/>
        <w:ind w:left="720" w:right="0"/>
      </w:pPr>
      <w:r>
        <w:rPr>
          <w:i/>
          <w:iCs/>
          <w:color w:val="595959"/>
          <w:sz w:val="18"/>
          <w:szCs w:val="18"/>
        </w:rPr>
        <w:t xml:space="preserve">[LAWYER REVIEW: Narrow s20/s21 operator clause (research-memo.md R7). Departs from the brief's "neither is the other's operator".]</w:t>
      </w:r>
    </w:p>
    <w:p>
      <w:pPr>
        <w:pStyle w:val="Heading1"/>
        <w:keepNext/>
      </w:pPr>
      <w:r>
        <w:t xml:space="preserve">14. Client obligations and warranties</w:t>
      </w:r>
    </w:p>
    <w:p>
      <w:pPr>
        <w:tabs>
          <w:tab w:val="left" w:pos="720"/>
        </w:tabs>
        <w:spacing w:after="120"/>
        <w:ind w:left="720" w:hanging="720"/>
      </w:pPr>
      <w:r>
        <w:t xml:space="preserve">14.1	</w:t>
      </w:r>
      <w:r>
        <w:t xml:space="preserve">The Client warrants that, on the Signature Date and for the whole of this Agreement:</w:t>
      </w:r>
    </w:p>
    <w:p>
      <w:pPr>
        <w:tabs>
          <w:tab w:val="left" w:pos="1287"/>
        </w:tabs>
        <w:spacing w:after="80"/>
        <w:ind w:left="1287" w:hanging="567"/>
      </w:pPr>
      <w:r>
        <w:t xml:space="preserve">(a)	</w:t>
      </w:r>
      <w:r>
        <w:t xml:space="preserve">it holds and will maintain a valid FSP Licence with the categories and subcategories needed to advise on the Financial Products it discusses with Qualified Leads;</w:t>
      </w:r>
    </w:p>
    <w:p>
      <w:pPr>
        <w:tabs>
          <w:tab w:val="left" w:pos="1287"/>
        </w:tabs>
        <w:spacing w:after="80"/>
        <w:ind w:left="1287" w:hanging="567"/>
      </w:pPr>
      <w:r>
        <w:t xml:space="preserve">(b)	</w:t>
      </w:r>
      <w:r>
        <w:t xml:space="preserve">every person who takes appointments with Qualified Leads is properly authorised, meets the fit and proper requirements, and is not debarred; and</w:t>
      </w:r>
    </w:p>
    <w:p>
      <w:pPr>
        <w:tabs>
          <w:tab w:val="left" w:pos="1287"/>
        </w:tabs>
        <w:spacing w:after="80"/>
        <w:ind w:left="1287" w:hanging="567"/>
      </w:pPr>
      <w:r>
        <w:t xml:space="preserve">(c)	</w:t>
      </w:r>
      <w:r>
        <w:t xml:space="preserve">it complies, and will comply, with the FAIS Act, the General Code of Conduct, POPIA and all other Applicable Law.</w:t>
      </w:r>
    </w:p>
    <w:p>
      <w:pPr>
        <w:tabs>
          <w:tab w:val="left" w:pos="720"/>
        </w:tabs>
        <w:spacing w:after="120"/>
        <w:ind w:left="720" w:hanging="720"/>
      </w:pPr>
      <w:r>
        <w:t xml:space="preserve">14.2	</w:t>
      </w:r>
      <w:r>
        <w:t xml:space="preserve">The Client is solely responsible for all Advice, needs analysis, suitability assessment, disclosures, product selection, quotations, applications, record-keeping and complaints handling, and for all its dealings with Consumers after Delivery.</w:t>
      </w:r>
    </w:p>
    <w:p>
      <w:pPr>
        <w:tabs>
          <w:tab w:val="left" w:pos="720"/>
        </w:tabs>
        <w:spacing w:after="120"/>
        <w:ind w:left="720" w:hanging="720"/>
      </w:pPr>
      <w:r>
        <w:t xml:space="preserve">14.3	</w:t>
      </w:r>
      <w:r>
        <w:t xml:space="preserve">The Client will:</w:t>
      </w:r>
    </w:p>
    <w:p>
      <w:pPr>
        <w:tabs>
          <w:tab w:val="left" w:pos="1287"/>
        </w:tabs>
        <w:spacing w:after="80"/>
        <w:ind w:left="1287" w:hanging="567"/>
      </w:pPr>
      <w:r>
        <w:t xml:space="preserve">(a)	</w:t>
      </w:r>
      <w:r>
        <w:t xml:space="preserve">provide and keep accurate and up to date its calendar availability (by connecting its Microsoft Outlook calendar), profile, photograph, biography and FSP details for the Intro Card;</w:t>
      </w:r>
    </w:p>
    <w:p>
      <w:pPr>
        <w:tabs>
          <w:tab w:val="left" w:pos="1287"/>
        </w:tabs>
        <w:spacing w:after="80"/>
        <w:ind w:left="1287" w:hanging="567"/>
      </w:pPr>
      <w:r>
        <w:t xml:space="preserve">(b)	</w:t>
      </w:r>
      <w:r>
        <w:t xml:space="preserve">attend every booked appointment at the booked time and by the booked method;</w:t>
      </w:r>
    </w:p>
    <w:p>
      <w:pPr>
        <w:tabs>
          <w:tab w:val="left" w:pos="1287"/>
        </w:tabs>
        <w:spacing w:after="80"/>
        <w:ind w:left="1287" w:hanging="567"/>
      </w:pPr>
      <w:r>
        <w:t xml:space="preserve">(c)	</w:t>
      </w:r>
      <w:r>
        <w:t xml:space="preserve">tell Lead Velocity, within </w:t>
      </w:r>
      <w:r>
        <w:rPr>
          <w:highlight w:val="yellow"/>
          <w:highlightCs w:val="yellow"/>
        </w:rPr>
        <w:t xml:space="preserve">[24 hours]</w:t>
      </w:r>
      <w:r>
        <w:t xml:space="preserve"> after each appointment (or, for an Uncontactable Lead who did not answer or reply to the Client's attempts after Delivery, within </w:t>
      </w:r>
      <w:r>
        <w:rPr>
          <w:highlight w:val="yellow"/>
          <w:highlightCs w:val="yellow"/>
        </w:rPr>
        <w:t xml:space="preserve">[24 hours]</w:t>
      </w:r>
      <w:r>
        <w:t xml:space="preserve"> after the Client's last attempt) and using the method Lead Velocity provides, whether the Consumer attended and could be contacted, and give no other outcome information (clause 8.4); and</w:t>
      </w:r>
    </w:p>
    <w:p>
      <w:pPr>
        <w:tabs>
          <w:tab w:val="left" w:pos="1287"/>
        </w:tabs>
        <w:spacing w:after="80"/>
        <w:ind w:left="1287" w:hanging="567"/>
      </w:pPr>
      <w:r>
        <w:t xml:space="preserve">(d)	</w:t>
      </w:r>
      <w:r>
        <w:t xml:space="preserve">give its own FAIS disclosures to each Consumer, which the Intro Card does not replace.</w:t>
      </w:r>
    </w:p>
    <w:p>
      <w:pPr>
        <w:tabs>
          <w:tab w:val="left" w:pos="720"/>
        </w:tabs>
        <w:spacing w:after="120"/>
        <w:ind w:left="720" w:hanging="720"/>
      </w:pPr>
      <w:r>
        <w:t xml:space="preserve">14.4	</w:t>
      </w:r>
      <w:r>
        <w:t xml:space="preserve">The Client will not ask Lead Velocity to do anything that would amount to Advice or Intermediary Services, or to describe any Financial Product, insurer, premium or cover amount in any Campaign or message.</w:t>
      </w:r>
    </w:p>
    <w:p>
      <w:pPr>
        <w:tabs>
          <w:tab w:val="left" w:pos="720"/>
        </w:tabs>
        <w:spacing w:after="120"/>
        <w:ind w:left="720" w:hanging="720"/>
      </w:pPr>
      <w:r>
        <w:t xml:space="preserve">14.5	</w:t>
      </w:r>
      <w:r>
        <w:t xml:space="preserve">If the Client misses a booked appointment, the Qualified Lead remains Delivered. Lead Velocity may, at its discretion, offer the Consumer a new appointment with the Client.</w:t>
      </w:r>
    </w:p>
    <w:p>
      <w:pPr>
        <w:pStyle w:val="Heading1"/>
        <w:keepNext/>
      </w:pPr>
      <w:r>
        <w:t xml:space="preserve">15. No guarantee of outcomes</w:t>
      </w:r>
    </w:p>
    <w:p>
      <w:pPr>
        <w:tabs>
          <w:tab w:val="left" w:pos="720"/>
        </w:tabs>
        <w:spacing w:after="120"/>
        <w:ind w:left="720" w:hanging="720"/>
      </w:pPr>
      <w:r>
        <w:t xml:space="preserve">15.1	</w:t>
      </w:r>
      <w:r>
        <w:t xml:space="preserve">Lead Velocity gives no warranty or guarantee of attendance, suitability, sales, conversions, revenue, policies, commission or any other outcome.</w:t>
      </w:r>
    </w:p>
    <w:p>
      <w:pPr>
        <w:tabs>
          <w:tab w:val="left" w:pos="720"/>
        </w:tabs>
        <w:spacing w:after="120"/>
        <w:ind w:left="720" w:hanging="720"/>
      </w:pPr>
      <w:r>
        <w:t xml:space="preserve">15.2	</w:t>
      </w:r>
      <w:r>
        <w:t xml:space="preserve">Any estimate, example or projection Lead Velocity gives (for example, attendance or conversion rates) is for planning only and does not form part of this Agreement.</w:t>
      </w:r>
    </w:p>
    <w:p>
      <w:pPr>
        <w:pStyle w:val="Heading1"/>
        <w:keepNext/>
      </w:pPr>
      <w:r>
        <w:t xml:space="preserve">16. Liability and indemnity</w:t>
      </w:r>
    </w:p>
    <w:p>
      <w:pPr>
        <w:spacing w:after="120"/>
      </w:pPr>
      <w:r>
        <w:rPr>
          <w:b/>
          <w:bCs/>
        </w:rPr>
        <w:t xml:space="preserve">IMPORTANT: This clause limits Lead Velocity's liability and requires the Client to indemnify Lead Velocity. Please read it carefully.</w:t>
      </w:r>
    </w:p>
    <w:p>
      <w:pPr>
        <w:tabs>
          <w:tab w:val="left" w:pos="720"/>
        </w:tabs>
        <w:spacing w:after="120"/>
        <w:ind w:left="720" w:hanging="720"/>
      </w:pPr>
      <w:r>
        <w:t xml:space="preserve">16.1	</w:t>
      </w:r>
      <w:r>
        <w:rPr>
          <w:b/>
          <w:bCs/>
        </w:rPr>
        <w:t xml:space="preserve">Cap.</w:t>
      </w:r>
      <w:r>
        <w:t xml:space="preserve"> Lead Velocity's total liability to the Client for all claims arising under or in connection with this Agreement, whether in contract, delict or otherwise, is limited to the Fees paid by the Client for the Billing Cycle in which the claim arose.</w:t>
      </w:r>
    </w:p>
    <w:p>
      <w:pPr>
        <w:tabs>
          <w:tab w:val="left" w:pos="720"/>
        </w:tabs>
        <w:spacing w:after="120"/>
        <w:ind w:left="720" w:hanging="720"/>
      </w:pPr>
      <w:r>
        <w:t xml:space="preserve">16.2	</w:t>
      </w:r>
      <w:r>
        <w:rPr>
          <w:b/>
          <w:bCs/>
        </w:rPr>
        <w:t xml:space="preserve">Excluded loss.</w:t>
      </w:r>
      <w:r>
        <w:t xml:space="preserve"> Lead Velocity is not liable for any indirect, special or consequential loss, or for any loss of profit, revenue, commission, business or goodwill, however caused.</w:t>
      </w:r>
    </w:p>
    <w:p>
      <w:pPr>
        <w:tabs>
          <w:tab w:val="left" w:pos="720"/>
        </w:tabs>
        <w:spacing w:after="120"/>
        <w:ind w:left="720" w:hanging="720"/>
      </w:pPr>
      <w:r>
        <w:t xml:space="preserve">16.3	</w:t>
      </w:r>
      <w:r>
        <w:rPr>
          <w:b/>
          <w:bCs/>
        </w:rPr>
        <w:t xml:space="preserve">What is not limited.</w:t>
      </w:r>
      <w:r>
        <w:t xml:space="preserve"> Nothing in this Agreement limits or excludes either Party's liability for fraud, wilful misconduct or gross negligence, or any liability that cannot lawfully be limited or excluded.</w:t>
      </w:r>
    </w:p>
    <w:p>
      <w:pPr>
        <w:tabs>
          <w:tab w:val="left" w:pos="720"/>
        </w:tabs>
        <w:spacing w:after="120"/>
        <w:ind w:left="720" w:hanging="720"/>
      </w:pPr>
      <w:r>
        <w:t xml:space="preserve">16.4	</w:t>
      </w:r>
      <w:r>
        <w:rPr>
          <w:b/>
          <w:bCs/>
        </w:rPr>
        <w:t xml:space="preserve">Client indemnity.</w:t>
      </w:r>
      <w:r>
        <w:t xml:space="preserve"> The Client indemnifies Lead Velocity and its directors, employees and contractors against all claims, losses, fines, penalties, costs (including legal costs on the attorney-and-own-client scale) and liabilities arising from:</w:t>
      </w:r>
    </w:p>
    <w:p>
      <w:pPr>
        <w:tabs>
          <w:tab w:val="left" w:pos="1287"/>
        </w:tabs>
        <w:spacing w:after="80"/>
        <w:ind w:left="1287" w:hanging="567"/>
      </w:pPr>
      <w:r>
        <w:t xml:space="preserve">(a)	</w:t>
      </w:r>
      <w:r>
        <w:t xml:space="preserve">any Advice or Financial Services rendered by the Client or its Representatives;</w:t>
      </w:r>
    </w:p>
    <w:p>
      <w:pPr>
        <w:tabs>
          <w:tab w:val="left" w:pos="1287"/>
        </w:tabs>
        <w:spacing w:after="80"/>
        <w:ind w:left="1287" w:hanging="567"/>
      </w:pPr>
      <w:r>
        <w:t xml:space="preserve">(b)	</w:t>
      </w:r>
      <w:r>
        <w:t xml:space="preserve">the Client's handling of any Qualified Lead or Lead Data after Delivery;</w:t>
      </w:r>
    </w:p>
    <w:p>
      <w:pPr>
        <w:tabs>
          <w:tab w:val="left" w:pos="1287"/>
        </w:tabs>
        <w:spacing w:after="80"/>
        <w:ind w:left="1287" w:hanging="567"/>
      </w:pPr>
      <w:r>
        <w:t xml:space="preserve">(c)	</w:t>
      </w:r>
      <w:r>
        <w:t xml:space="preserve">the Client's breach of Applicable Law; or</w:t>
      </w:r>
    </w:p>
    <w:p>
      <w:pPr>
        <w:tabs>
          <w:tab w:val="left" w:pos="1287"/>
        </w:tabs>
        <w:spacing w:after="80"/>
        <w:ind w:left="1287" w:hanging="567"/>
      </w:pPr>
      <w:r>
        <w:t xml:space="preserve">(d)	</w:t>
      </w:r>
      <w:r>
        <w:t xml:space="preserve">the Client's breach of this Agreement.</w:t>
      </w:r>
    </w:p>
    <w:p>
      <w:pPr>
        <w:pBdr>
          <w:left w:val="single" w:color="A6A6A6" w:sz="18" w:space="6"/>
        </w:pBdr>
        <w:shd w:fill="F2F2F2" w:color="auto" w:val="clear"/>
        <w:spacing w:after="160" w:before="60"/>
        <w:ind w:left="720" w:right="0"/>
      </w:pPr>
      <w:r>
        <w:rPr>
          <w:i/>
          <w:iCs/>
          <w:color w:val="595959"/>
          <w:sz w:val="18"/>
          <w:szCs w:val="18"/>
        </w:rPr>
        <w:t xml:space="preserve">[LAWYER REVIEW: Liability cap, exclusions and indemnity. If the Client is a natural person or a small juristic person, the CPA may apply (see clause 23); s48, s49 and s51 then require these terms to be fair, drawn to the Client's attention in plain language, and not to exclude liability for gross negligence. Confirm enforceability and whether a reciprocal indemnity by Lead Velocity is commercially needed.]</w:t>
      </w:r>
    </w:p>
    <w:p>
      <w:pPr>
        <w:pStyle w:val="Heading1"/>
        <w:keepNext/>
      </w:pPr>
      <w:r>
        <w:t xml:space="preserve">17. Intellectual property and Client Materials</w:t>
      </w:r>
    </w:p>
    <w:p>
      <w:pPr>
        <w:tabs>
          <w:tab w:val="left" w:pos="720"/>
        </w:tabs>
        <w:spacing w:after="120"/>
        <w:ind w:left="720" w:hanging="720"/>
      </w:pPr>
      <w:r>
        <w:t xml:space="preserve">17.1	</w:t>
      </w:r>
      <w:r>
        <w:rPr>
          <w:b/>
          <w:bCs/>
        </w:rPr>
        <w:t xml:space="preserve">Lead Velocity's IP.</w:t>
      </w:r>
      <w:r>
        <w:t xml:space="preserve"> Lead Velocity owns, and keeps all rights in, the SortMyCover brand, its advertising accounts, creative, landing pages, WhatsApp flows and templates, CRM, data models, audiences, Origin Records, anonymised performance data, and all other systems and intellectual property used to provide the Services. Nothing in this Agreement transfers any of these rights to the Client.</w:t>
      </w:r>
    </w:p>
    <w:p>
      <w:pPr>
        <w:tabs>
          <w:tab w:val="left" w:pos="720"/>
        </w:tabs>
        <w:spacing w:after="120"/>
        <w:ind w:left="720" w:hanging="720"/>
      </w:pPr>
      <w:r>
        <w:t xml:space="preserve">17.2	</w:t>
      </w:r>
      <w:r>
        <w:rPr>
          <w:b/>
          <w:bCs/>
        </w:rPr>
        <w:t xml:space="preserve">Limited licence to the Client.</w:t>
      </w:r>
      <w:r>
        <w:t xml:space="preserve"> The Client receives only the licence to use Delivered Qualified Leads in clause 12.3.</w:t>
      </w:r>
    </w:p>
    <w:p>
      <w:pPr>
        <w:tabs>
          <w:tab w:val="left" w:pos="720"/>
        </w:tabs>
        <w:spacing w:after="120"/>
        <w:ind w:left="720" w:hanging="720"/>
      </w:pPr>
      <w:r>
        <w:t xml:space="preserve">17.3	</w:t>
      </w:r>
      <w:r>
        <w:rPr>
          <w:b/>
          <w:bCs/>
        </w:rPr>
        <w:t xml:space="preserve">Client Materials.</w:t>
      </w:r>
      <w:r>
        <w:t xml:space="preserve"> The Client grants Lead Velocity a non-exclusive, royalty-free licence, for the duration of this Agreement, to use the Client Materials only in the Intro Card and in WhatsApp messages to Consumers who are being introduced to the Client. Lead Velocity will not use the Client Materials in any advertisement or landing page, which remain broker-neutral.</w:t>
      </w:r>
    </w:p>
    <w:p>
      <w:pPr>
        <w:tabs>
          <w:tab w:val="left" w:pos="720"/>
        </w:tabs>
        <w:spacing w:after="120"/>
        <w:ind w:left="720" w:hanging="720"/>
      </w:pPr>
      <w:r>
        <w:t xml:space="preserve">17.4	</w:t>
      </w:r>
      <w:r>
        <w:t xml:space="preserve">The Client warrants that it has the right to grant the licence in clause 17.3. Lead Velocity will stop using the Client Materials for new messages within 2 Business Days after this Agreement ends, and will delete them within 30 days, except for copies held in message logs as Origin Records.</w:t>
      </w:r>
    </w:p>
    <w:p>
      <w:pPr>
        <w:pStyle w:val="Heading1"/>
        <w:keepNext/>
      </w:pPr>
      <w:r>
        <w:t xml:space="preserve">18. Confidentiality</w:t>
      </w:r>
    </w:p>
    <w:p>
      <w:pPr>
        <w:tabs>
          <w:tab w:val="left" w:pos="720"/>
        </w:tabs>
        <w:spacing w:after="120"/>
        <w:ind w:left="720" w:hanging="720"/>
      </w:pPr>
      <w:r>
        <w:t xml:space="preserve">18.1	</w:t>
      </w:r>
      <w:r>
        <w:t xml:space="preserve">Each Party will keep confidential, and use only for this Agreement, all non-public information of the other Party that it receives under this Agreement, including pricing, Campaign data, performance data, systems and business methods.</w:t>
      </w:r>
    </w:p>
    <w:p>
      <w:pPr>
        <w:tabs>
          <w:tab w:val="left" w:pos="720"/>
        </w:tabs>
        <w:spacing w:after="120"/>
        <w:ind w:left="720" w:hanging="720"/>
      </w:pPr>
      <w:r>
        <w:t xml:space="preserve">18.2	</w:t>
      </w:r>
      <w:r>
        <w:t xml:space="preserve">Clause 18.1 does not apply to information that is or becomes public other than through a breach of this Agreement, that the recipient already lawfully held, or that must be disclosed by law, a regulator or a court (in which case the recipient will, where lawful, give the other Party prior notice).</w:t>
      </w:r>
    </w:p>
    <w:p>
      <w:pPr>
        <w:tabs>
          <w:tab w:val="left" w:pos="720"/>
        </w:tabs>
        <w:spacing w:after="120"/>
        <w:ind w:left="720" w:hanging="720"/>
      </w:pPr>
      <w:r>
        <w:t xml:space="preserve">18.3	</w:t>
      </w:r>
      <w:r>
        <w:t xml:space="preserve">This clause 18 survives for 3 years after this Agreement ends.</w:t>
      </w:r>
    </w:p>
    <w:p>
      <w:pPr>
        <w:pStyle w:val="Heading1"/>
        <w:keepNext/>
      </w:pPr>
      <w:r>
        <w:t xml:space="preserve">19. Non-solicitation of staff</w:t>
      </w:r>
    </w:p>
    <w:p>
      <w:pPr>
        <w:tabs>
          <w:tab w:val="left" w:pos="720"/>
        </w:tabs>
        <w:spacing w:after="120"/>
        <w:ind w:left="720" w:hanging="720"/>
      </w:pPr>
      <w:r>
        <w:t xml:space="preserve">19.1	</w:t>
      </w:r>
      <w:r>
        <w:rPr>
          <w:highlight w:val="yellow"/>
          <w:highlightCs w:val="yellow"/>
        </w:rPr>
        <w:t xml:space="preserve">[OPTIONAL — CONFIRM]</w:t>
      </w:r>
      <w:r>
        <w:t xml:space="preserve"> During this Agreement and for 6 months after it ends, neither Party will directly solicit for employment any employee or contractor of the other Party who was involved in the Services, without the other Party's written consent. A general job advertisement is not solicitation.</w:t>
      </w:r>
    </w:p>
    <w:p>
      <w:pPr>
        <w:pStyle w:val="Heading1"/>
        <w:keepNext/>
      </w:pPr>
      <w:r>
        <w:t xml:space="preserve">20. Force majeure</w:t>
      </w:r>
    </w:p>
    <w:p>
      <w:pPr>
        <w:tabs>
          <w:tab w:val="left" w:pos="720"/>
        </w:tabs>
        <w:spacing w:after="120"/>
        <w:ind w:left="720" w:hanging="720"/>
      </w:pPr>
      <w:r>
        <w:t xml:space="preserve">20.1	</w:t>
      </w:r>
      <w:r>
        <w:t xml:space="preserve">Neither Party is liable for a delay or failure to perform (other than a payment obligation) caused by an event beyond its reasonable control, including: an outage, suspension, policy change or account restriction on an advertising or messaging platform (including Meta, Facebook, Instagram, WhatsApp and Google); internet or power failure, including load-shedding; a change in law or regulatory instruction; natural disaster; or civil unrest.</w:t>
      </w:r>
    </w:p>
    <w:p>
      <w:pPr>
        <w:tabs>
          <w:tab w:val="left" w:pos="720"/>
        </w:tabs>
        <w:spacing w:after="120"/>
        <w:ind w:left="720" w:hanging="720"/>
      </w:pPr>
      <w:r>
        <w:t xml:space="preserve">20.2	</w:t>
      </w:r>
      <w:r>
        <w:t xml:space="preserve">The affected Party will notify the other promptly and take reasonable steps to limit the effect. A force majeure event never extends delivery beyond day 44 of a Billing Cycle. Delays to delivery are dealt with only under clause 6 (rollover on top of the next cycle, or refund on request).</w:t>
      </w:r>
    </w:p>
    <w:p>
      <w:pPr>
        <w:tabs>
          <w:tab w:val="left" w:pos="720"/>
        </w:tabs>
        <w:spacing w:after="120"/>
        <w:ind w:left="720" w:hanging="720"/>
      </w:pPr>
      <w:r>
        <w:t xml:space="preserve">20.3	</w:t>
      </w:r>
      <w:r>
        <w:t xml:space="preserve">If a force majeure event prevents delivery for more than 30 consecutive days, either Party may terminate this Agreement by written notice, and clause 11.6 applies to any undelivered paid Qualified Leads.</w:t>
      </w:r>
    </w:p>
    <w:p>
      <w:pPr>
        <w:pStyle w:val="Heading1"/>
        <w:keepNext/>
      </w:pPr>
      <w:r>
        <w:t xml:space="preserve">21. Dispute resolution</w:t>
      </w:r>
    </w:p>
    <w:p>
      <w:pPr>
        <w:tabs>
          <w:tab w:val="left" w:pos="720"/>
        </w:tabs>
        <w:spacing w:after="120"/>
        <w:ind w:left="720" w:hanging="720"/>
      </w:pPr>
      <w:r>
        <w:t xml:space="preserve">21.1	</w:t>
      </w:r>
      <w:r>
        <w:rPr>
          <w:b/>
          <w:bCs/>
        </w:rPr>
        <w:t xml:space="preserve">Negotiation.</w:t>
      </w:r>
      <w:r>
        <w:t xml:space="preserve"> A Party may refer any dispute arising under or in connection with this Agreement to the other in writing. Senior representatives of both Parties will meet (in person or virtually) within 5 Business Days to try to resolve it. For a dispute about a lead, Lead Velocity will first send the Dispute Evidence under clause 7.8.</w:t>
      </w:r>
    </w:p>
    <w:p>
      <w:pPr>
        <w:tabs>
          <w:tab w:val="left" w:pos="720"/>
        </w:tabs>
        <w:spacing w:after="120"/>
        <w:ind w:left="720" w:hanging="720"/>
      </w:pPr>
      <w:r>
        <w:t xml:space="preserve">21.2	</w:t>
      </w:r>
      <w:r>
        <w:rPr>
          <w:b/>
          <w:bCs/>
        </w:rPr>
        <w:t xml:space="preserve">Mediation.</w:t>
      </w:r>
      <w:r>
        <w:t xml:space="preserve"> If the dispute is not resolved within 10 Business Days of the referral, either Party may refer it to mediation by a mediator agreed by the Parties or, failing agreement within 5 Business Days, appointed by the Arbitration Foundation of Southern Africa (AFSA), unless the Parties agree otherwise. Each Party bears its own costs and half of the mediator's fees.</w:t>
      </w:r>
    </w:p>
    <w:p>
      <w:pPr>
        <w:tabs>
          <w:tab w:val="left" w:pos="720"/>
        </w:tabs>
        <w:spacing w:after="120"/>
        <w:ind w:left="720" w:hanging="720"/>
      </w:pPr>
      <w:r>
        <w:t xml:space="preserve">21.3	</w:t>
      </w:r>
      <w:r>
        <w:rPr>
          <w:b/>
          <w:bCs/>
        </w:rPr>
        <w:t xml:space="preserve">Courts.</w:t>
      </w:r>
      <w:r>
        <w:t xml:space="preserve"> If the dispute is not resolved within 30 days after a mediator is appointed, either Party may refer it to the courts under clause 25.9.</w:t>
      </w:r>
    </w:p>
    <w:p>
      <w:pPr>
        <w:tabs>
          <w:tab w:val="left" w:pos="720"/>
        </w:tabs>
        <w:spacing w:after="120"/>
        <w:ind w:left="720" w:hanging="720"/>
      </w:pPr>
      <w:r>
        <w:t xml:space="preserve">21.4	</w:t>
      </w:r>
      <w:r>
        <w:t xml:space="preserve">Nothing in this clause 21 prevents a Party from seeking urgent interim relief from a court.</w:t>
      </w:r>
    </w:p>
    <w:p>
      <w:pPr>
        <w:pStyle w:val="Heading1"/>
        <w:keepNext/>
      </w:pPr>
      <w:r>
        <w:t xml:space="preserve">22. Notices and domicilium</w:t>
      </w:r>
    </w:p>
    <w:p>
      <w:pPr>
        <w:tabs>
          <w:tab w:val="left" w:pos="720"/>
        </w:tabs>
        <w:spacing w:after="120"/>
        <w:ind w:left="720" w:hanging="720"/>
      </w:pPr>
      <w:r>
        <w:t xml:space="preserve">22.1	</w:t>
      </w:r>
      <w:r>
        <w:t xml:space="preserve">Each Party chooses the physical and email addresses in the Parties block as its address for notices and its domicilium citandi et executandi. A Party may change its address by written notice to the other.</w:t>
      </w:r>
    </w:p>
    <w:p>
      <w:pPr>
        <w:tabs>
          <w:tab w:val="left" w:pos="720"/>
        </w:tabs>
        <w:spacing w:after="120"/>
        <w:ind w:left="720" w:hanging="720"/>
      </w:pPr>
      <w:r>
        <w:t xml:space="preserve">22.2	</w:t>
      </w:r>
      <w:r>
        <w:t xml:space="preserve">Notices by email are valid. An email is received when it enters the recipient's information system, as set out in section 23 of the ECT Act, unless the sender receives an automated delivery-failure message.</w:t>
      </w:r>
    </w:p>
    <w:p>
      <w:pPr>
        <w:tabs>
          <w:tab w:val="left" w:pos="720"/>
        </w:tabs>
        <w:spacing w:after="120"/>
        <w:ind w:left="720" w:hanging="720"/>
      </w:pPr>
      <w:r>
        <w:t xml:space="preserve">22.3	</w:t>
      </w:r>
      <w:r>
        <w:t xml:space="preserve">Despite clause 22.2, legal process must be served at the physical address.</w:t>
      </w:r>
    </w:p>
    <w:p>
      <w:pPr>
        <w:pStyle w:val="Heading1"/>
        <w:keepNext/>
      </w:pPr>
      <w:r>
        <w:t xml:space="preserve">23. Consumer Protection Act</w:t>
      </w:r>
    </w:p>
    <w:p>
      <w:pPr>
        <w:tabs>
          <w:tab w:val="left" w:pos="720"/>
        </w:tabs>
        <w:spacing w:after="120"/>
        <w:ind w:left="720" w:hanging="720"/>
      </w:pPr>
      <w:r>
        <w:t xml:space="preserve">23.1	</w:t>
      </w:r>
      <w:r>
        <w:rPr>
          <w:b/>
          <w:bCs/>
        </w:rPr>
        <w:t xml:space="preserve">Client status.</w:t>
      </w:r>
      <w:r>
        <w:t xml:space="preserve"> The Client declares in Schedule 1 its legal form and whether it is a juristic person whose asset value or annual turnover is at or above the threshold determined under section 6 of the Consumer Protection Act 68 of 2008 (currently R2,000,000). The Client will tell Lead Velocity in writing if that status changes.</w:t>
      </w:r>
    </w:p>
    <w:p>
      <w:pPr>
        <w:tabs>
          <w:tab w:val="left" w:pos="720"/>
        </w:tabs>
        <w:spacing w:after="120"/>
        <w:ind w:left="720" w:hanging="720"/>
      </w:pPr>
      <w:r>
        <w:t xml:space="preserve">23.2	</w:t>
      </w:r>
      <w:r>
        <w:rPr>
          <w:b/>
          <w:bCs/>
        </w:rPr>
        <w:t xml:space="preserve">Where the CPA applies.</w:t>
      </w:r>
      <w:r>
        <w:t xml:space="preserve"> If the Consumer Protection Act applies to this Agreement (for example, because the Client is a natural person or a juristic person below the threshold):</w:t>
      </w:r>
    </w:p>
    <w:p>
      <w:pPr>
        <w:tabs>
          <w:tab w:val="left" w:pos="1287"/>
        </w:tabs>
        <w:spacing w:after="80"/>
        <w:ind w:left="1287" w:hanging="567"/>
      </w:pPr>
      <w:r>
        <w:t xml:space="preserve">(a)	</w:t>
      </w:r>
      <w:r>
        <w:t xml:space="preserve">nothing in this Agreement limits any right the Client has under that Act that cannot lawfully be limited;</w:t>
      </w:r>
    </w:p>
    <w:p>
      <w:pPr>
        <w:tabs>
          <w:tab w:val="left" w:pos="1287"/>
        </w:tabs>
        <w:spacing w:after="80"/>
        <w:ind w:left="1287" w:hanging="567"/>
      </w:pPr>
      <w:r>
        <w:t xml:space="preserve">(b)	</w:t>
      </w:r>
      <w:r>
        <w:t xml:space="preserve">the rule in clause 11.3 that fees for a started Billing Cycle are not refunded operates as a reasonable cancellation charge under section 17 of that Act, reflecting media spend that Lead Velocity has already committed for the Billing Cycle, and Lead Velocity will credit or refund any part of that Fee that exceeds such a reasonable charge;</w:t>
      </w:r>
    </w:p>
    <w:p>
      <w:pPr>
        <w:tabs>
          <w:tab w:val="left" w:pos="1287"/>
        </w:tabs>
        <w:spacing w:after="80"/>
        <w:ind w:left="1287" w:hanging="567"/>
      </w:pPr>
      <w:r>
        <w:t xml:space="preserve">(c)	</w:t>
      </w:r>
      <w:r>
        <w:t xml:space="preserve">if section 14 of that Act applies, the Client may cancel on the notice that section allows; and</w:t>
      </w:r>
    </w:p>
    <w:p>
      <w:pPr>
        <w:tabs>
          <w:tab w:val="left" w:pos="1287"/>
        </w:tabs>
        <w:spacing w:after="80"/>
        <w:ind w:left="1287" w:hanging="567"/>
      </w:pPr>
      <w:r>
        <w:t xml:space="preserve">(d)	</w:t>
      </w:r>
      <w:r>
        <w:t xml:space="preserve">the Client confirms that clauses 6.5, 7, 11.3, 15 and 16 were drawn to its attention in plain language before signing.</w:t>
      </w:r>
    </w:p>
    <w:p>
      <w:pPr>
        <w:pBdr>
          <w:left w:val="single" w:color="A6A6A6" w:sz="18" w:space="6"/>
        </w:pBdr>
        <w:shd w:fill="F2F2F2" w:color="auto" w:val="clear"/>
        <w:spacing w:after="160" w:before="60"/>
        <w:ind w:left="720" w:right="0"/>
      </w:pPr>
      <w:r>
        <w:rPr>
          <w:i/>
          <w:iCs/>
          <w:color w:val="595959"/>
          <w:sz w:val="18"/>
          <w:szCs w:val="18"/>
        </w:rPr>
        <w:t xml:space="preserve">[LAWYER REVIEW: CPA status (research-memo.md §7, R9). A natural person trading under a practice name is not a juristic person, so the R2m exemption does not apply and the CPA (s14, s17, s48 to s51, s54) may apply in full. Recommend contracting with the Client's juristic entity where one exists. Confirm the s17 "reasonable charge" framing in 23.2(b), whether s54 collides with the sole-remedy rule in 6.5, and whether clauses 15 and 16 should be initialled under s49.]</w:t>
      </w:r>
    </w:p>
    <w:p>
      <w:pPr>
        <w:pStyle w:val="Heading1"/>
        <w:keepNext/>
      </w:pPr>
      <w:r>
        <w:t xml:space="preserve">24. Electronic signature and counterparts</w:t>
      </w:r>
    </w:p>
    <w:p>
      <w:pPr>
        <w:tabs>
          <w:tab w:val="left" w:pos="720"/>
        </w:tabs>
        <w:spacing w:after="120"/>
        <w:ind w:left="720" w:hanging="720"/>
      </w:pPr>
      <w:r>
        <w:t xml:space="preserve">24.1	</w:t>
      </w:r>
      <w:r>
        <w:rPr>
          <w:b/>
          <w:bCs/>
        </w:rPr>
        <w:t xml:space="preserve">Agreed method.</w:t>
      </w:r>
      <w:r>
        <w:t xml:space="preserve"> Each Party signs a PDF copy of this Agreement with a typed or drawn electronic signature and returns the signed PDF by email from its notice email address: for Lead Velocity, howzit@leadvelocity.co.za; for the Client, the email address in the Parties block (the "</w:t>
      </w:r>
      <w:r>
        <w:rPr>
          <w:b/>
          <w:bCs/>
        </w:rPr>
        <w:t xml:space="preserve">Agreed E-Signature Method</w:t>
      </w:r>
      <w:r>
        <w:t xml:space="preserve">"). The Parties agree that a signature made and exchanged in this way identifies the signatory and shows their approval, and is a valid signature under section 13 of the ECT Act. No law requires this Agreement to be signed, so no advanced electronic signature is required.</w:t>
      </w:r>
    </w:p>
    <w:p>
      <w:pPr>
        <w:tabs>
          <w:tab w:val="left" w:pos="720"/>
        </w:tabs>
        <w:spacing w:after="120"/>
        <w:ind w:left="720" w:hanging="720"/>
      </w:pPr>
      <w:r>
        <w:t xml:space="preserve">24.2	</w:t>
      </w:r>
      <w:r>
        <w:t xml:space="preserve">This Agreement may be signed in counterparts, each of which is an original and which together form one agreement.</w:t>
      </w:r>
    </w:p>
    <w:p>
      <w:pPr>
        <w:tabs>
          <w:tab w:val="left" w:pos="720"/>
        </w:tabs>
        <w:spacing w:after="120"/>
        <w:ind w:left="720" w:hanging="720"/>
      </w:pPr>
      <w:r>
        <w:t xml:space="preserve">24.3	</w:t>
      </w:r>
      <w:r>
        <w:t xml:space="preserve">A data message containing this Agreement satisfies any requirement that it be in writing, under section 12 of the ECT Act.</w:t>
      </w:r>
    </w:p>
    <w:p>
      <w:pPr>
        <w:pBdr>
          <w:left w:val="single" w:color="A6A6A6" w:sz="18" w:space="6"/>
        </w:pBdr>
        <w:shd w:fill="F2F2F2" w:color="auto" w:val="clear"/>
        <w:spacing w:after="160" w:before="60"/>
        <w:ind w:left="720" w:right="0"/>
      </w:pPr>
      <w:r>
        <w:rPr>
          <w:i/>
          <w:iCs/>
          <w:color w:val="595959"/>
          <w:sz w:val="18"/>
          <w:szCs w:val="18"/>
        </w:rPr>
        <w:t xml:space="preserve">[LAWYER REVIEW: ECT Act s13 (research-memo.md §8, R11). An advanced electronic signature is needed only where a law requires a signature (s13(1)); a party-imposed signature requirement is met by any reliable method under s13(3) (Spring Forest Trading v Wilberry (2014 ZASCA 178)). Method chosen by Jonathan 5 Oct: signed PDF returned from each party's notice email address. Confirm it is reliable enough as evidence (keep the original emails with headers) and that tying it to the notice addresses suffices.]</w:t>
      </w:r>
    </w:p>
    <w:p>
      <w:pPr>
        <w:pStyle w:val="Heading1"/>
        <w:keepNext/>
      </w:pPr>
      <w:r>
        <w:t xml:space="preserve">25. General</w:t>
      </w:r>
    </w:p>
    <w:p>
      <w:pPr>
        <w:tabs>
          <w:tab w:val="left" w:pos="720"/>
        </w:tabs>
        <w:spacing w:after="120"/>
        <w:ind w:left="720" w:hanging="720"/>
      </w:pPr>
      <w:r>
        <w:t xml:space="preserve">25.1	</w:t>
      </w:r>
      <w:r>
        <w:rPr>
          <w:b/>
          <w:bCs/>
        </w:rPr>
        <w:t xml:space="preserve">Whole agreement.</w:t>
      </w:r>
      <w:r>
        <w:t xml:space="preserve"> This Agreement is the whole agreement between the Parties on its subject matter and replaces any earlier term sheet, proposal or agreement on it.</w:t>
      </w:r>
    </w:p>
    <w:p>
      <w:pPr>
        <w:tabs>
          <w:tab w:val="left" w:pos="720"/>
        </w:tabs>
        <w:spacing w:after="120"/>
        <w:ind w:left="720" w:hanging="720"/>
      </w:pPr>
      <w:r>
        <w:t xml:space="preserve">25.2	</w:t>
      </w:r>
      <w:r>
        <w:rPr>
          <w:b/>
          <w:bCs/>
        </w:rPr>
        <w:t xml:space="preserve">Variation.</w:t>
      </w:r>
      <w:r>
        <w:t xml:space="preserve"> No variation, addition or cancellation of this Agreement (including any change to the Fee, the Committed Leads or the definition of a Qualified Lead) is valid unless it is recorded in a document titled "Variation", signed by both Parties and exchanged using the Agreed E-Signature Method. No other email, message or typed name varies this Agreement, even if it would otherwise count as a signature under the ECT Act. This clause does not apply to price changes under clause 8.7, Plan changes under clauses 9.5 to 9.7, or notices under clause 22.</w:t>
      </w:r>
    </w:p>
    <w:p>
      <w:pPr>
        <w:tabs>
          <w:tab w:val="left" w:pos="720"/>
        </w:tabs>
        <w:spacing w:after="120"/>
        <w:ind w:left="720" w:hanging="720"/>
      </w:pPr>
      <w:r>
        <w:t xml:space="preserve">25.3	</w:t>
      </w:r>
      <w:r>
        <w:rPr>
          <w:b/>
          <w:bCs/>
        </w:rPr>
        <w:t xml:space="preserve">No waiver.</w:t>
      </w:r>
      <w:r>
        <w:t xml:space="preserve"> No indulgence or failure to enforce a right is a waiver of that right.</w:t>
      </w:r>
    </w:p>
    <w:p>
      <w:pPr>
        <w:tabs>
          <w:tab w:val="left" w:pos="720"/>
        </w:tabs>
        <w:spacing w:after="120"/>
        <w:ind w:left="720" w:hanging="720"/>
      </w:pPr>
      <w:r>
        <w:t xml:space="preserve">25.4	</w:t>
      </w:r>
      <w:r>
        <w:rPr>
          <w:b/>
          <w:bCs/>
        </w:rPr>
        <w:t xml:space="preserve">Severability.</w:t>
      </w:r>
      <w:r>
        <w:t xml:space="preserve"> If any provision is unenforceable, it is severed and the rest of this Agreement remains in force.</w:t>
      </w:r>
    </w:p>
    <w:p>
      <w:pPr>
        <w:pBdr>
          <w:left w:val="single" w:color="A6A6A6" w:sz="18" w:space="6"/>
        </w:pBdr>
        <w:shd w:fill="F2F2F2" w:color="auto" w:val="clear"/>
        <w:spacing w:after="160" w:before="60"/>
        <w:ind w:left="720" w:right="0"/>
      </w:pPr>
      <w:r>
        <w:rPr>
          <w:i/>
          <w:iCs/>
          <w:color w:val="595959"/>
          <w:sz w:val="18"/>
          <w:szCs w:val="18"/>
        </w:rPr>
        <w:t xml:space="preserve">[LAWYER REVIEW: Illegality fallback (research-memo.md R10). If this Agreement were ever held to be an unlicensed intermediary arrangement, it would be unenforceable for illegality (Raspberry para 32) and severability would not save the Fee clause. Advise on whether fees already paid could be reclaimed (enrichment, par delictum rule) and whether any fallback wording (for example, characterising the Fee as payment for advertising services rendered regardless) is worth adding.]</w:t>
      </w:r>
    </w:p>
    <w:p>
      <w:pPr>
        <w:tabs>
          <w:tab w:val="left" w:pos="720"/>
        </w:tabs>
        <w:spacing w:after="120"/>
        <w:ind w:left="720" w:hanging="720"/>
      </w:pPr>
      <w:r>
        <w:t xml:space="preserve">25.5	</w:t>
      </w:r>
      <w:r>
        <w:rPr>
          <w:b/>
          <w:bCs/>
        </w:rPr>
        <w:t xml:space="preserve">Assignment.</w:t>
      </w:r>
      <w:r>
        <w:t xml:space="preserve"> Neither Party may cede, assign or delegate any right or obligation under this Agreement without the other's prior written consent, except that Lead Velocity may use subcontractors and service providers to perform the Services and remains responsible for them.</w:t>
      </w:r>
    </w:p>
    <w:p>
      <w:pPr>
        <w:tabs>
          <w:tab w:val="left" w:pos="720"/>
        </w:tabs>
        <w:spacing w:after="120"/>
        <w:ind w:left="720" w:hanging="720"/>
      </w:pPr>
      <w:r>
        <w:t xml:space="preserve">25.6	</w:t>
      </w:r>
      <w:r>
        <w:rPr>
          <w:b/>
          <w:bCs/>
        </w:rPr>
        <w:t xml:space="preserve">Costs.</w:t>
      </w:r>
      <w:r>
        <w:t xml:space="preserve"> Each Party bears its own costs of negotiating and signing this Agreement.</w:t>
      </w:r>
    </w:p>
    <w:p>
      <w:pPr>
        <w:tabs>
          <w:tab w:val="left" w:pos="720"/>
        </w:tabs>
        <w:spacing w:after="120"/>
        <w:ind w:left="720" w:hanging="720"/>
      </w:pPr>
      <w:r>
        <w:t xml:space="preserve">25.7	</w:t>
      </w:r>
      <w:r>
        <w:rPr>
          <w:b/>
          <w:bCs/>
        </w:rPr>
        <w:t xml:space="preserve">Certificate.</w:t>
      </w:r>
      <w:r>
        <w:t xml:space="preserve"> A certificate signed by a director of Lead Velocity stating an amount owed by the Client is prima facie proof of that amount.</w:t>
      </w:r>
    </w:p>
    <w:p>
      <w:pPr>
        <w:tabs>
          <w:tab w:val="left" w:pos="720"/>
        </w:tabs>
        <w:spacing w:after="120"/>
        <w:ind w:left="720" w:hanging="720"/>
      </w:pPr>
      <w:r>
        <w:t xml:space="preserve">25.8	</w:t>
      </w:r>
      <w:r>
        <w:rPr>
          <w:b/>
          <w:bCs/>
        </w:rPr>
        <w:t xml:space="preserve">Governing law.</w:t>
      </w:r>
      <w:r>
        <w:t xml:space="preserve"> This Agreement is governed by the law of the Republic of South Africa.</w:t>
      </w:r>
    </w:p>
    <w:p>
      <w:pPr>
        <w:tabs>
          <w:tab w:val="left" w:pos="720"/>
        </w:tabs>
        <w:spacing w:after="120"/>
        <w:ind w:left="720" w:hanging="720"/>
      </w:pPr>
      <w:r>
        <w:t xml:space="preserve">25.9	</w:t>
      </w:r>
      <w:r>
        <w:rPr>
          <w:b/>
          <w:bCs/>
        </w:rPr>
        <w:t xml:space="preserve">Jurisdiction.</w:t>
      </w:r>
      <w:r>
        <w:t xml:space="preserve"> The Parties submit to the non-exclusive jurisdiction of the High Court of South Africa, Gauteng Division, Pretoria. Under section 45 of the Magistrates' Courts Act 32 of 1944, the Parties also consent to the jurisdiction of any Magistrates' Court that has jurisdiction over the defendant, even if the amount claimed exceeds that court's ordinary limit.</w:t>
      </w:r>
    </w:p>
    <w:p>
      <w:pPr>
        <w:pStyle w:val="Heading1"/>
        <w:keepNext/>
        <w:pageBreakBefore/>
      </w:pPr>
      <w:r>
        <w:t xml:space="preserve">Signatures</w:t>
      </w:r>
    </w:p>
    <w:p>
      <w:pPr>
        <w:spacing w:after="120"/>
      </w:pPr>
      <w:r>
        <w:t xml:space="preserve">Signed by the Agreed E-Signature Method under clause 24. Each signatory confirms that they are authorised to sign for the Party they represent.</w:t>
      </w:r>
    </w:p>
    <w:tbl>
      <w:tblPr>
        <w:tblW w:type="dxa" w:w="9298"/>
        <w:tblBorders>
          <w:top w:val="single" w:color="auto" w:sz="4"/>
          <w:left w:val="single" w:color="auto" w:sz="4"/>
          <w:bottom w:val="single" w:color="auto" w:sz="4"/>
          <w:right w:val="single" w:color="auto" w:sz="4"/>
          <w:insideH w:val="single" w:color="auto" w:sz="4"/>
          <w:insideV w:val="single" w:color="auto" w:sz="4"/>
        </w:tblBorders>
      </w:tblPr>
      <w:tblGrid>
        <w:gridCol w:w="4649"/>
        <w:gridCol w:w="4649"/>
      </w:tblGrid>
      <w:tr>
        <w:trPr>
          <w:cantSplit/>
          <w:tblHeader/>
        </w:trPr>
        <w:tc>
          <w:tcPr>
            <w:tcW w:type="dxa" w:w="4649"/>
            <w:shd w:fill="D9E2F3" w:color="auto" w:val="clear"/>
            <w:tcMar>
              <w:top w:type="dxa" w:w="60"/>
              <w:left w:type="dxa" w:w="100"/>
              <w:bottom w:type="dxa" w:w="60"/>
              <w:right w:type="dxa" w:w="100"/>
            </w:tcMar>
          </w:tcPr>
          <w:p>
            <w:r>
              <w:rPr>
                <w:b/>
                <w:bCs/>
              </w:rPr>
              <w:t xml:space="preserve">For LEAD VELOCITY (PTY) LTD</w:t>
            </w:r>
          </w:p>
        </w:tc>
        <w:tc>
          <w:tcPr>
            <w:tcW w:type="dxa" w:w="4649"/>
            <w:shd w:fill="D9E2F3" w:color="auto" w:val="clear"/>
            <w:tcMar>
              <w:top w:type="dxa" w:w="60"/>
              <w:left w:type="dxa" w:w="100"/>
              <w:bottom w:type="dxa" w:w="60"/>
              <w:right w:type="dxa" w:w="100"/>
            </w:tcMar>
          </w:tcPr>
          <w:p>
            <w:r>
              <w:rPr>
                <w:b/>
                <w:bCs/>
              </w:rPr>
              <w:t xml:space="preserve">For the CLIENT</w:t>
            </w:r>
          </w:p>
        </w:tc>
      </w:tr>
      <w:tr>
        <w:trPr>
          <w:cantSplit/>
          <w:tblHeader w:val="false"/>
        </w:trPr>
        <w:tc>
          <w:tcPr>
            <w:tcW w:type="dxa" w:w="4649"/>
            <w:tcMar>
              <w:top w:type="dxa" w:w="60"/>
              <w:left w:type="dxa" w:w="100"/>
              <w:bottom w:type="dxa" w:w="60"/>
              <w:right w:type="dxa" w:w="100"/>
            </w:tcMar>
          </w:tcPr>
          <w:p>
            <w:r>
              <w:t xml:space="preserve">Signature: ______________________</w:t>
            </w:r>
          </w:p>
        </w:tc>
        <w:tc>
          <w:tcPr>
            <w:tcW w:type="dxa" w:w="4649"/>
            <w:tcMar>
              <w:top w:type="dxa" w:w="60"/>
              <w:left w:type="dxa" w:w="100"/>
              <w:bottom w:type="dxa" w:w="60"/>
              <w:right w:type="dxa" w:w="100"/>
            </w:tcMar>
          </w:tcPr>
          <w:p>
            <w:r>
              <w:t xml:space="preserve">Signature: ______________________</w:t>
            </w:r>
          </w:p>
        </w:tc>
      </w:tr>
      <w:tr>
        <w:trPr>
          <w:cantSplit/>
          <w:tblHeader w:val="false"/>
        </w:trPr>
        <w:tc>
          <w:tcPr>
            <w:tcW w:type="dxa" w:w="4649"/>
            <w:tcMar>
              <w:top w:type="dxa" w:w="60"/>
              <w:left w:type="dxa" w:w="100"/>
              <w:bottom w:type="dxa" w:w="60"/>
              <w:right w:type="dxa" w:w="100"/>
            </w:tcMar>
          </w:tcPr>
          <w:p>
            <w:r>
              <w:t xml:space="preserve">Name: Kgomotso Pule</w:t>
            </w:r>
          </w:p>
        </w:tc>
        <w:tc>
          <w:tcPr>
            <w:tcW w:type="dxa" w:w="4649"/>
            <w:tcMar>
              <w:top w:type="dxa" w:w="60"/>
              <w:left w:type="dxa" w:w="100"/>
              <w:bottom w:type="dxa" w:w="60"/>
              <w:right w:type="dxa" w:w="100"/>
            </w:tcMar>
          </w:tcPr>
          <w:p>
            <w:r>
              <w:t xml:space="preserve">Name: </w:t>
            </w:r>
            <w:r>
              <w:rPr>
                <w:highlight w:val="yellow"/>
                <w:highlightCs w:val="yellow"/>
              </w:rPr>
              <w:t xml:space="preserve">[CLIENT SIGNATORY NAME]</w:t>
            </w:r>
          </w:p>
        </w:tc>
      </w:tr>
      <w:tr>
        <w:trPr>
          <w:cantSplit/>
          <w:tblHeader w:val="false"/>
        </w:trPr>
        <w:tc>
          <w:tcPr>
            <w:tcW w:type="dxa" w:w="4649"/>
            <w:tcMar>
              <w:top w:type="dxa" w:w="60"/>
              <w:left w:type="dxa" w:w="100"/>
              <w:bottom w:type="dxa" w:w="60"/>
              <w:right w:type="dxa" w:w="100"/>
            </w:tcMar>
          </w:tcPr>
          <w:p>
            <w:r>
              <w:t xml:space="preserve">Capacity: Director</w:t>
            </w:r>
          </w:p>
        </w:tc>
        <w:tc>
          <w:tcPr>
            <w:tcW w:type="dxa" w:w="4649"/>
            <w:tcMar>
              <w:top w:type="dxa" w:w="60"/>
              <w:left w:type="dxa" w:w="100"/>
              <w:bottom w:type="dxa" w:w="60"/>
              <w:right w:type="dxa" w:w="100"/>
            </w:tcMar>
          </w:tcPr>
          <w:p>
            <w:r>
              <w:t xml:space="preserve">Capacity: </w:t>
            </w:r>
            <w:r>
              <w:rPr>
                <w:highlight w:val="yellow"/>
                <w:highlightCs w:val="yellow"/>
              </w:rPr>
              <w:t xml:space="preserve">[CLIENT SIGNATORY ROLE]</w:t>
            </w:r>
          </w:p>
        </w:tc>
      </w:tr>
      <w:tr>
        <w:trPr>
          <w:cantSplit/>
          <w:tblHeader w:val="false"/>
        </w:trPr>
        <w:tc>
          <w:tcPr>
            <w:tcW w:type="dxa" w:w="4649"/>
            <w:tcMar>
              <w:top w:type="dxa" w:w="60"/>
              <w:left w:type="dxa" w:w="100"/>
              <w:bottom w:type="dxa" w:w="60"/>
              <w:right w:type="dxa" w:w="100"/>
            </w:tcMar>
          </w:tcPr>
          <w:p>
            <w:r>
              <w:t xml:space="preserve">Date: </w:t>
            </w:r>
            <w:r>
              <w:rPr>
                <w:highlight w:val="yellow"/>
                <w:highlightCs w:val="yellow"/>
              </w:rPr>
              <w:t xml:space="preserve">[DATE]</w:t>
            </w:r>
          </w:p>
        </w:tc>
        <w:tc>
          <w:tcPr>
            <w:tcW w:type="dxa" w:w="4649"/>
            <w:tcMar>
              <w:top w:type="dxa" w:w="60"/>
              <w:left w:type="dxa" w:w="100"/>
              <w:bottom w:type="dxa" w:w="60"/>
              <w:right w:type="dxa" w:w="100"/>
            </w:tcMar>
          </w:tcPr>
          <w:p>
            <w:r>
              <w:t xml:space="preserve">Date: </w:t>
            </w:r>
            <w:r>
              <w:rPr>
                <w:highlight w:val="yellow"/>
                <w:highlightCs w:val="yellow"/>
              </w:rPr>
              <w:t xml:space="preserve">[DATE]</w:t>
            </w:r>
          </w:p>
        </w:tc>
      </w:tr>
      <w:tr>
        <w:trPr>
          <w:cantSplit/>
          <w:tblHeader w:val="false"/>
        </w:trPr>
        <w:tc>
          <w:tcPr>
            <w:tcW w:type="dxa" w:w="4649"/>
            <w:tcMar>
              <w:top w:type="dxa" w:w="60"/>
              <w:left w:type="dxa" w:w="100"/>
              <w:bottom w:type="dxa" w:w="60"/>
              <w:right w:type="dxa" w:w="100"/>
            </w:tcMar>
          </w:tcPr>
          <w:p>
            <w:r>
              <w:t xml:space="preserve">Place: </w:t>
            </w:r>
            <w:r>
              <w:rPr>
                <w:highlight w:val="yellow"/>
                <w:highlightCs w:val="yellow"/>
              </w:rPr>
              <w:t xml:space="preserve">[PLACE]</w:t>
            </w:r>
          </w:p>
        </w:tc>
        <w:tc>
          <w:tcPr>
            <w:tcW w:type="dxa" w:w="4649"/>
            <w:tcMar>
              <w:top w:type="dxa" w:w="60"/>
              <w:left w:type="dxa" w:w="100"/>
              <w:bottom w:type="dxa" w:w="60"/>
              <w:right w:type="dxa" w:w="100"/>
            </w:tcMar>
          </w:tcPr>
          <w:p>
            <w:r>
              <w:t xml:space="preserve">Place: </w:t>
            </w:r>
            <w:r>
              <w:rPr>
                <w:highlight w:val="yellow"/>
                <w:highlightCs w:val="yellow"/>
              </w:rPr>
              <w:t xml:space="preserve">[PLACE]</w:t>
            </w:r>
          </w:p>
        </w:tc>
      </w:tr>
      <w:tr>
        <w:trPr>
          <w:cantSplit/>
          <w:tblHeader w:val="false"/>
        </w:trPr>
        <w:tc>
          <w:tcPr>
            <w:tcW w:type="dxa" w:w="4649"/>
            <w:tcMar>
              <w:top w:type="dxa" w:w="60"/>
              <w:left w:type="dxa" w:w="100"/>
              <w:bottom w:type="dxa" w:w="60"/>
              <w:right w:type="dxa" w:w="100"/>
            </w:tcMar>
          </w:tcPr>
          <w:p>
            <w:r>
              <w:t xml:space="preserve">Witness (optional): ______________</w:t>
            </w:r>
          </w:p>
        </w:tc>
        <w:tc>
          <w:tcPr>
            <w:tcW w:type="dxa" w:w="4649"/>
            <w:tcMar>
              <w:top w:type="dxa" w:w="60"/>
              <w:left w:type="dxa" w:w="100"/>
              <w:bottom w:type="dxa" w:w="60"/>
              <w:right w:type="dxa" w:w="100"/>
            </w:tcMar>
          </w:tcPr>
          <w:p>
            <w:r>
              <w:t xml:space="preserve">Witness (optional): ______________</w:t>
            </w:r>
          </w:p>
        </w:tc>
      </w:tr>
    </w:tbl>
    <w:p>
      <w:pPr>
        <w:spacing w:after="120"/>
      </w:pPr>
    </w:p>
    <w:p>
      <w:pPr>
        <w:spacing w:after="120"/>
      </w:pPr>
      <w:r>
        <w:t xml:space="preserve">Client initials confirming clauses 15 and 16 were drawn to its attention: ________</w:t>
      </w:r>
    </w:p>
    <w:p>
      <w:pPr>
        <w:pStyle w:val="Heading1"/>
        <w:keepNext/>
        <w:pageBreakBefore/>
      </w:pPr>
      <w:r>
        <w:t xml:space="preserve">Schedule 1 — Plan and Fees</w:t>
      </w:r>
    </w:p>
    <w:p>
      <w:pPr>
        <w:tabs>
          <w:tab w:val="left" w:pos="720"/>
        </w:tabs>
        <w:spacing w:after="120"/>
        <w:ind w:left="720" w:hanging="720"/>
      </w:pPr>
      <w:r>
        <w:t xml:space="preserve">S1.1	</w:t>
      </w:r>
      <w:r>
        <w:rPr>
          <w:b/>
          <w:bCs/>
        </w:rPr>
        <w:t xml:space="preserve">Client's Plan.</w:t>
      </w:r>
      <w:r>
        <w:t xml:space="preserve"> The Client's Plan is set out below. All amounts exclude VAT (clause 8.5).</w:t>
      </w:r>
    </w:p>
    <w:tbl>
      <w:tblPr>
        <w:tblW w:type="dxa" w:w="9298"/>
        <w:tblBorders>
          <w:top w:val="single" w:color="auto" w:sz="4"/>
          <w:left w:val="single" w:color="auto" w:sz="4"/>
          <w:bottom w:val="single" w:color="auto" w:sz="4"/>
          <w:right w:val="single" w:color="auto" w:sz="4"/>
          <w:insideH w:val="single" w:color="auto" w:sz="4"/>
          <w:insideV w:val="single" w:color="auto" w:sz="4"/>
        </w:tblBorders>
      </w:tblPr>
      <w:tblGrid>
        <w:gridCol w:w="4649"/>
        <w:gridCol w:w="4649"/>
      </w:tblGrid>
      <w:tr>
        <w:trPr>
          <w:cantSplit/>
          <w:tblHeader/>
        </w:trPr>
        <w:tc>
          <w:tcPr>
            <w:tcW w:type="dxa" w:w="4649"/>
            <w:shd w:fill="D9E2F3" w:color="auto" w:val="clear"/>
            <w:tcMar>
              <w:top w:type="dxa" w:w="60"/>
              <w:left w:type="dxa" w:w="100"/>
              <w:bottom w:type="dxa" w:w="60"/>
              <w:right w:type="dxa" w:w="100"/>
            </w:tcMar>
          </w:tcPr>
          <w:p>
            <w:r>
              <w:rPr>
                <w:b/>
                <w:bCs/>
              </w:rPr>
              <w:t xml:space="preserve">Item</w:t>
            </w:r>
          </w:p>
        </w:tc>
        <w:tc>
          <w:tcPr>
            <w:tcW w:type="dxa" w:w="4649"/>
            <w:shd w:fill="D9E2F3" w:color="auto" w:val="clear"/>
            <w:tcMar>
              <w:top w:type="dxa" w:w="60"/>
              <w:left w:type="dxa" w:w="100"/>
              <w:bottom w:type="dxa" w:w="60"/>
              <w:right w:type="dxa" w:w="100"/>
            </w:tcMar>
          </w:tcPr>
          <w:p>
            <w:r>
              <w:rPr>
                <w:b/>
                <w:bCs/>
              </w:rPr>
              <w:t xml:space="preserve">Client's Plan</w:t>
            </w:r>
          </w:p>
        </w:tc>
      </w:tr>
      <w:tr>
        <w:trPr>
          <w:cantSplit/>
          <w:tblHeader w:val="false"/>
        </w:trPr>
        <w:tc>
          <w:tcPr>
            <w:tcW w:type="dxa" w:w="4649"/>
            <w:tcMar>
              <w:top w:type="dxa" w:w="60"/>
              <w:left w:type="dxa" w:w="100"/>
              <w:bottom w:type="dxa" w:w="60"/>
              <w:right w:type="dxa" w:w="100"/>
            </w:tcMar>
          </w:tcPr>
          <w:p>
            <w:r>
              <w:t xml:space="preserve">Plan</w:t>
            </w:r>
          </w:p>
        </w:tc>
        <w:tc>
          <w:tcPr>
            <w:tcW w:type="dxa" w:w="4649"/>
            <w:tcMar>
              <w:top w:type="dxa" w:w="60"/>
              <w:left w:type="dxa" w:w="100"/>
              <w:bottom w:type="dxa" w:w="60"/>
              <w:right w:type="dxa" w:w="100"/>
            </w:tcMar>
          </w:tcPr>
          <w:p>
            <w:r>
              <w:t xml:space="preserve">Bronze</w:t>
            </w:r>
          </w:p>
        </w:tc>
      </w:tr>
      <w:tr>
        <w:trPr>
          <w:cantSplit/>
          <w:tblHeader w:val="false"/>
        </w:trPr>
        <w:tc>
          <w:tcPr>
            <w:tcW w:type="dxa" w:w="4649"/>
            <w:tcMar>
              <w:top w:type="dxa" w:w="60"/>
              <w:left w:type="dxa" w:w="100"/>
              <w:bottom w:type="dxa" w:w="60"/>
              <w:right w:type="dxa" w:w="100"/>
            </w:tcMar>
          </w:tcPr>
          <w:p>
            <w:r>
              <w:t xml:space="preserve">Fee per Billing Cycle</w:t>
            </w:r>
          </w:p>
        </w:tc>
        <w:tc>
          <w:tcPr>
            <w:tcW w:type="dxa" w:w="4649"/>
            <w:tcMar>
              <w:top w:type="dxa" w:w="60"/>
              <w:left w:type="dxa" w:w="100"/>
              <w:bottom w:type="dxa" w:w="60"/>
              <w:right w:type="dxa" w:w="100"/>
            </w:tcMar>
          </w:tcPr>
          <w:p>
            <w:r>
              <w:t xml:space="preserve">R16,500 excl. VAT, paid in advance</w:t>
            </w:r>
          </w:p>
        </w:tc>
      </w:tr>
      <w:tr>
        <w:trPr>
          <w:cantSplit/>
          <w:tblHeader w:val="false"/>
        </w:trPr>
        <w:tc>
          <w:tcPr>
            <w:tcW w:type="dxa" w:w="4649"/>
            <w:tcMar>
              <w:top w:type="dxa" w:w="60"/>
              <w:left w:type="dxa" w:w="100"/>
              <w:bottom w:type="dxa" w:w="60"/>
              <w:right w:type="dxa" w:w="100"/>
            </w:tcMar>
          </w:tcPr>
          <w:p>
            <w:r>
              <w:t xml:space="preserve">Committed Leads per Billing Cycle</w:t>
            </w:r>
          </w:p>
        </w:tc>
        <w:tc>
          <w:tcPr>
            <w:tcW w:type="dxa" w:w="4649"/>
            <w:tcMar>
              <w:top w:type="dxa" w:w="60"/>
              <w:left w:type="dxa" w:w="100"/>
              <w:bottom w:type="dxa" w:w="60"/>
              <w:right w:type="dxa" w:w="100"/>
            </w:tcMar>
          </w:tcPr>
          <w:p>
            <w:r>
              <w:t xml:space="preserve">20 Qualified Leads (A-tier, plus any B-tier the Client accepts)</w:t>
            </w:r>
          </w:p>
        </w:tc>
      </w:tr>
      <w:tr>
        <w:trPr>
          <w:cantSplit/>
          <w:tblHeader w:val="false"/>
        </w:trPr>
        <w:tc>
          <w:tcPr>
            <w:tcW w:type="dxa" w:w="4649"/>
            <w:tcMar>
              <w:top w:type="dxa" w:w="60"/>
              <w:left w:type="dxa" w:w="100"/>
              <w:bottom w:type="dxa" w:w="60"/>
              <w:right w:type="dxa" w:w="100"/>
            </w:tcMar>
          </w:tcPr>
          <w:p>
            <w:r>
              <w:t xml:space="preserve">Effective Lead Price</w:t>
            </w:r>
          </w:p>
        </w:tc>
        <w:tc>
          <w:tcPr>
            <w:tcW w:type="dxa" w:w="4649"/>
            <w:tcMar>
              <w:top w:type="dxa" w:w="60"/>
              <w:left w:type="dxa" w:w="100"/>
              <w:bottom w:type="dxa" w:w="60"/>
              <w:right w:type="dxa" w:w="100"/>
            </w:tcMar>
          </w:tcPr>
          <w:p>
            <w:r>
              <w:t xml:space="preserve">R825 per Qualified Lead (R16,500 ÷ 20)</w:t>
            </w:r>
          </w:p>
        </w:tc>
      </w:tr>
      <w:tr>
        <w:trPr>
          <w:cantSplit/>
          <w:tblHeader w:val="false"/>
        </w:trPr>
        <w:tc>
          <w:tcPr>
            <w:tcW w:type="dxa" w:w="4649"/>
            <w:tcMar>
              <w:top w:type="dxa" w:w="60"/>
              <w:left w:type="dxa" w:w="100"/>
              <w:bottom w:type="dxa" w:w="60"/>
              <w:right w:type="dxa" w:w="100"/>
            </w:tcMar>
          </w:tcPr>
          <w:p>
            <w:r>
              <w:t xml:space="preserve">Advertising media spend</w:t>
            </w:r>
          </w:p>
        </w:tc>
        <w:tc>
          <w:tcPr>
            <w:tcW w:type="dxa" w:w="4649"/>
            <w:tcMar>
              <w:top w:type="dxa" w:w="60"/>
              <w:left w:type="dxa" w:w="100"/>
              <w:bottom w:type="dxa" w:w="60"/>
              <w:right w:type="dxa" w:w="100"/>
            </w:tcMar>
          </w:tcPr>
          <w:p>
            <w:r>
              <w:t xml:space="preserve">Included in the Fee; funded and controlled by Lead Velocity</w:t>
            </w:r>
          </w:p>
        </w:tc>
      </w:tr>
      <w:tr>
        <w:trPr>
          <w:cantSplit/>
          <w:tblHeader w:val="false"/>
        </w:trPr>
        <w:tc>
          <w:tcPr>
            <w:tcW w:type="dxa" w:w="4649"/>
            <w:tcMar>
              <w:top w:type="dxa" w:w="60"/>
              <w:left w:type="dxa" w:w="100"/>
              <w:bottom w:type="dxa" w:w="60"/>
              <w:right w:type="dxa" w:w="100"/>
            </w:tcMar>
          </w:tcPr>
          <w:p>
            <w:r>
              <w:t xml:space="preserve">Billing Cycle</w:t>
            </w:r>
          </w:p>
        </w:tc>
        <w:tc>
          <w:tcPr>
            <w:tcW w:type="dxa" w:w="4649"/>
            <w:tcMar>
              <w:top w:type="dxa" w:w="60"/>
              <w:left w:type="dxa" w:w="100"/>
              <w:bottom w:type="dxa" w:w="60"/>
              <w:right w:type="dxa" w:w="100"/>
            </w:tcMar>
          </w:tcPr>
          <w:p>
            <w:r>
              <w:t xml:space="preserve">30 days, plus a Rollover Period of up to 14 days (day 44 at most)</w:t>
            </w:r>
          </w:p>
        </w:tc>
      </w:tr>
      <w:tr>
        <w:trPr>
          <w:cantSplit/>
          <w:tblHeader w:val="false"/>
        </w:trPr>
        <w:tc>
          <w:tcPr>
            <w:tcW w:type="dxa" w:w="4649"/>
            <w:tcMar>
              <w:top w:type="dxa" w:w="60"/>
              <w:left w:type="dxa" w:w="100"/>
              <w:bottom w:type="dxa" w:w="60"/>
              <w:right w:type="dxa" w:w="100"/>
            </w:tcMar>
          </w:tcPr>
          <w:p>
            <w:r>
              <w:t xml:space="preserve">Lead tiers (clauses 5.6 and 5.7)</w:t>
            </w:r>
          </w:p>
        </w:tc>
        <w:tc>
          <w:tcPr>
            <w:tcW w:type="dxa" w:w="4649"/>
            <w:tcMar>
              <w:top w:type="dxa" w:w="60"/>
              <w:left w:type="dxa" w:w="100"/>
              <w:bottom w:type="dxa" w:w="60"/>
              <w:right w:type="dxa" w:w="100"/>
            </w:tcMar>
          </w:tcPr>
          <w:p>
            <w:r>
              <w:t xml:space="preserve">A-tier: R1,500+ a month (minimum target; counted automatically). B-tier: R750 to R1,499 a month (offered to accept or decline; counted only if accepted). Under R750: never sent or counted</w:t>
            </w:r>
          </w:p>
        </w:tc>
      </w:tr>
      <w:tr>
        <w:trPr>
          <w:cantSplit/>
          <w:tblHeader w:val="false"/>
        </w:trPr>
        <w:tc>
          <w:tcPr>
            <w:tcW w:type="dxa" w:w="4649"/>
            <w:tcMar>
              <w:top w:type="dxa" w:w="60"/>
              <w:left w:type="dxa" w:w="100"/>
              <w:bottom w:type="dxa" w:w="60"/>
              <w:right w:type="dxa" w:w="100"/>
            </w:tcMar>
          </w:tcPr>
          <w:p>
            <w:r>
              <w:t xml:space="preserve">Shortfall after day 44 (clause 6)</w:t>
            </w:r>
          </w:p>
        </w:tc>
        <w:tc>
          <w:tcPr>
            <w:tcW w:type="dxa" w:w="4649"/>
            <w:tcMar>
              <w:top w:type="dxa" w:w="60"/>
              <w:left w:type="dxa" w:w="100"/>
              <w:bottom w:type="dxa" w:w="60"/>
              <w:right w:type="dxa" w:w="100"/>
            </w:tcMar>
          </w:tcPr>
          <w:p>
            <w:r>
              <w:t xml:space="preserve">Rolls into the next cycle on top of its Committed Leads, or refunded on request at this Plan's Effective Lead Price (above), within 7 Business Days, and never more in total than the Fee paid for the Billing Cycle</w:t>
            </w:r>
          </w:p>
        </w:tc>
      </w:tr>
      <w:tr>
        <w:trPr>
          <w:cantSplit/>
          <w:tblHeader w:val="false"/>
        </w:trPr>
        <w:tc>
          <w:tcPr>
            <w:tcW w:type="dxa" w:w="4649"/>
            <w:tcMar>
              <w:top w:type="dxa" w:w="60"/>
              <w:left w:type="dxa" w:w="100"/>
              <w:bottom w:type="dxa" w:w="60"/>
              <w:right w:type="dxa" w:w="100"/>
            </w:tcMar>
          </w:tcPr>
          <w:p>
            <w:r>
              <w:t xml:space="preserve">Replacements (clause 7)</w:t>
            </w:r>
          </w:p>
        </w:tc>
        <w:tc>
          <w:tcPr>
            <w:tcW w:type="dxa" w:w="4649"/>
            <w:tcMar>
              <w:top w:type="dxa" w:w="60"/>
              <w:left w:type="dxa" w:w="100"/>
              <w:bottom w:type="dxa" w:w="60"/>
              <w:right w:type="dxa" w:w="100"/>
            </w:tcMar>
          </w:tcPr>
          <w:p>
            <w:r>
              <w:t xml:space="preserve">Goodwill, not a right: no more than 3 replacement requests per Calendar Week, whichever Plan (no separate Pilot cap); No-Show Leads and Uncontactable Leads count together inside the same 3</w:t>
            </w:r>
          </w:p>
        </w:tc>
      </w:tr>
      <w:tr>
        <w:trPr>
          <w:cantSplit/>
          <w:tblHeader w:val="false"/>
        </w:trPr>
        <w:tc>
          <w:tcPr>
            <w:tcW w:type="dxa" w:w="4649"/>
            <w:tcMar>
              <w:top w:type="dxa" w:w="60"/>
              <w:left w:type="dxa" w:w="100"/>
              <w:bottom w:type="dxa" w:w="60"/>
              <w:right w:type="dxa" w:w="100"/>
            </w:tcMar>
          </w:tcPr>
          <w:p>
            <w:r>
              <w:t xml:space="preserve">Setup or onboarding fee</w:t>
            </w:r>
          </w:p>
        </w:tc>
        <w:tc>
          <w:tcPr>
            <w:tcW w:type="dxa" w:w="4649"/>
            <w:tcMar>
              <w:top w:type="dxa" w:w="60"/>
              <w:left w:type="dxa" w:w="100"/>
              <w:bottom w:type="dxa" w:w="60"/>
              <w:right w:type="dxa" w:w="100"/>
            </w:tcMar>
          </w:tcPr>
          <w:p>
            <w:r>
              <w:t xml:space="preserve">None</w:t>
            </w:r>
          </w:p>
        </w:tc>
      </w:tr>
      <w:tr>
        <w:trPr>
          <w:cantSplit/>
          <w:tblHeader w:val="false"/>
        </w:trPr>
        <w:tc>
          <w:tcPr>
            <w:tcW w:type="dxa" w:w="4649"/>
            <w:tcMar>
              <w:top w:type="dxa" w:w="60"/>
              <w:left w:type="dxa" w:w="100"/>
              <w:bottom w:type="dxa" w:w="60"/>
              <w:right w:type="dxa" w:w="100"/>
            </w:tcMar>
          </w:tcPr>
          <w:p>
            <w:r>
              <w:t xml:space="preserve">First payment due</w:t>
            </w:r>
          </w:p>
        </w:tc>
        <w:tc>
          <w:tcPr>
            <w:tcW w:type="dxa" w:w="4649"/>
            <w:tcMar>
              <w:top w:type="dxa" w:w="60"/>
              <w:left w:type="dxa" w:w="100"/>
              <w:bottom w:type="dxa" w:w="60"/>
              <w:right w:type="dxa" w:w="100"/>
            </w:tcMar>
          </w:tcPr>
          <w:p>
            <w:r>
              <w:t xml:space="preserve">Before the first Billing Cycle starts, on the date stated on Lead Velocity's first invoice</w:t>
            </w:r>
          </w:p>
        </w:tc>
      </w:tr>
      <w:tr>
        <w:trPr>
          <w:cantSplit/>
          <w:tblHeader w:val="false"/>
        </w:trPr>
        <w:tc>
          <w:tcPr>
            <w:tcW w:type="dxa" w:w="4649"/>
            <w:tcMar>
              <w:top w:type="dxa" w:w="60"/>
              <w:left w:type="dxa" w:w="100"/>
              <w:bottom w:type="dxa" w:w="60"/>
              <w:right w:type="dxa" w:w="100"/>
            </w:tcMar>
          </w:tcPr>
          <w:p>
            <w:r>
              <w:t xml:space="preserve">Client status (clause 23.1)</w:t>
            </w:r>
          </w:p>
        </w:tc>
        <w:tc>
          <w:tcPr>
            <w:tcW w:type="dxa" w:w="4649"/>
            <w:tcMar>
              <w:top w:type="dxa" w:w="60"/>
              <w:left w:type="dxa" w:w="100"/>
              <w:bottom w:type="dxa" w:w="60"/>
              <w:right w:type="dxa" w:w="100"/>
            </w:tcMar>
          </w:tcPr>
          <w:p>
            <w:r>
              <w:rPr>
                <w:highlight w:val="yellow"/>
                <w:highlightCs w:val="yellow"/>
              </w:rPr>
              <w:t xml:space="preserve">[CLIENT STATUS — natural person / juristic person with asset value or turnover at or above R2,000,000 / juristic person below R2,000,000]</w:t>
            </w:r>
          </w:p>
        </w:tc>
      </w:tr>
    </w:tbl>
    <w:p>
      <w:pPr>
        <w:spacing w:after="120"/>
      </w:pPr>
    </w:p>
    <w:p>
      <w:pPr>
        <w:pBdr>
          <w:left w:val="single" w:color="A6A6A6" w:sz="18" w:space="6"/>
        </w:pBdr>
        <w:shd w:fill="F2F2F2" w:color="auto" w:val="clear"/>
        <w:spacing w:after="160" w:before="60"/>
        <w:ind w:left="720" w:right="0"/>
      </w:pPr>
      <w:r>
        <w:rPr>
          <w:i/>
          <w:iCs/>
          <w:color w:val="595959"/>
          <w:sz w:val="18"/>
          <w:szCs w:val="18"/>
        </w:rPr>
        <w:t xml:space="preserve">[DRAFTING NOTE: the table above is the Bronze Plan, the default. For a Pilot, Silver or Gold Client the CRM contract generator replaces the Plan, Fee, Committed Leads and Effective Lead Price rows from the pricing source and lists the other Plans in S1.3. Do not issue this template unchanged to a Client on another Plan.]</w:t>
      </w:r>
    </w:p>
    <w:p>
      <w:pPr>
        <w:tabs>
          <w:tab w:val="left" w:pos="720"/>
        </w:tabs>
        <w:spacing w:after="120"/>
        <w:ind w:left="720" w:hanging="720"/>
      </w:pPr>
      <w:r>
        <w:t xml:space="preserve">S1.2	</w:t>
      </w:r>
      <w:r>
        <w:rPr>
          <w:b/>
          <w:bCs/>
        </w:rPr>
        <w:t xml:space="preserve">Top-Ups (clause 9).</w:t>
      </w:r>
    </w:p>
    <w:tbl>
      <w:tblPr>
        <w:tblW w:type="dxa" w:w="9298"/>
        <w:tblBorders>
          <w:top w:val="single" w:color="auto" w:sz="4"/>
          <w:left w:val="single" w:color="auto" w:sz="4"/>
          <w:bottom w:val="single" w:color="auto" w:sz="4"/>
          <w:right w:val="single" w:color="auto" w:sz="4"/>
          <w:insideH w:val="single" w:color="auto" w:sz="4"/>
          <w:insideV w:val="single" w:color="auto" w:sz="4"/>
        </w:tblBorders>
      </w:tblPr>
      <w:tblGrid>
        <w:gridCol w:w="4649"/>
        <w:gridCol w:w="4649"/>
      </w:tblGrid>
      <w:tr>
        <w:trPr>
          <w:cantSplit/>
          <w:tblHeader/>
        </w:trPr>
        <w:tc>
          <w:tcPr>
            <w:tcW w:type="dxa" w:w="4649"/>
            <w:shd w:fill="D9E2F3" w:color="auto" w:val="clear"/>
            <w:tcMar>
              <w:top w:type="dxa" w:w="60"/>
              <w:left w:type="dxa" w:w="100"/>
              <w:bottom w:type="dxa" w:w="60"/>
              <w:right w:type="dxa" w:w="100"/>
            </w:tcMar>
          </w:tcPr>
          <w:p>
            <w:r>
              <w:rPr>
                <w:b/>
                <w:bCs/>
              </w:rPr>
              <w:t xml:space="preserve">Item</w:t>
            </w:r>
          </w:p>
        </w:tc>
        <w:tc>
          <w:tcPr>
            <w:tcW w:type="dxa" w:w="4649"/>
            <w:shd w:fill="D9E2F3" w:color="auto" w:val="clear"/>
            <w:tcMar>
              <w:top w:type="dxa" w:w="60"/>
              <w:left w:type="dxa" w:w="100"/>
              <w:bottom w:type="dxa" w:w="60"/>
              <w:right w:type="dxa" w:w="100"/>
            </w:tcMar>
          </w:tcPr>
          <w:p>
            <w:r>
              <w:rPr>
                <w:b/>
                <w:bCs/>
              </w:rPr>
              <w:t xml:space="preserve">Terms</w:t>
            </w:r>
          </w:p>
        </w:tc>
      </w:tr>
      <w:tr>
        <w:trPr>
          <w:cantSplit/>
          <w:tblHeader w:val="false"/>
        </w:trPr>
        <w:tc>
          <w:tcPr>
            <w:tcW w:type="dxa" w:w="4649"/>
            <w:tcMar>
              <w:top w:type="dxa" w:w="60"/>
              <w:left w:type="dxa" w:w="100"/>
              <w:bottom w:type="dxa" w:w="60"/>
              <w:right w:type="dxa" w:w="100"/>
            </w:tcMar>
          </w:tcPr>
          <w:p>
            <w:r>
              <w:t xml:space="preserve">Top-Up Price</w:t>
            </w:r>
          </w:p>
        </w:tc>
        <w:tc>
          <w:tcPr>
            <w:tcW w:type="dxa" w:w="4649"/>
            <w:tcMar>
              <w:top w:type="dxa" w:w="60"/>
              <w:left w:type="dxa" w:w="100"/>
              <w:bottom w:type="dxa" w:w="60"/>
              <w:right w:type="dxa" w:w="100"/>
            </w:tcMar>
          </w:tcPr>
          <w:p>
            <w:r>
              <w:t xml:space="preserve">R850 per Qualified Lead excl. VAT</w:t>
            </w:r>
          </w:p>
        </w:tc>
      </w:tr>
      <w:tr>
        <w:trPr>
          <w:cantSplit/>
          <w:tblHeader w:val="false"/>
        </w:trPr>
        <w:tc>
          <w:tcPr>
            <w:tcW w:type="dxa" w:w="4649"/>
            <w:tcMar>
              <w:top w:type="dxa" w:w="60"/>
              <w:left w:type="dxa" w:w="100"/>
              <w:bottom w:type="dxa" w:w="60"/>
              <w:right w:type="dxa" w:w="100"/>
            </w:tcMar>
          </w:tcPr>
          <w:p>
            <w:r>
              <w:t xml:space="preserve">Minimum Top-Up</w:t>
            </w:r>
          </w:p>
        </w:tc>
        <w:tc>
          <w:tcPr>
            <w:tcW w:type="dxa" w:w="4649"/>
            <w:tcMar>
              <w:top w:type="dxa" w:w="60"/>
              <w:left w:type="dxa" w:w="100"/>
              <w:bottom w:type="dxa" w:w="60"/>
              <w:right w:type="dxa" w:w="100"/>
            </w:tcMar>
          </w:tcPr>
          <w:p>
            <w:r>
              <w:t xml:space="preserve">10 Qualified Leads (R8,500 excl. VAT)</w:t>
            </w:r>
          </w:p>
        </w:tc>
      </w:tr>
      <w:tr>
        <w:trPr>
          <w:cantSplit/>
          <w:tblHeader w:val="false"/>
        </w:trPr>
        <w:tc>
          <w:tcPr>
            <w:tcW w:type="dxa" w:w="4649"/>
            <w:tcMar>
              <w:top w:type="dxa" w:w="60"/>
              <w:left w:type="dxa" w:w="100"/>
              <w:bottom w:type="dxa" w:w="60"/>
              <w:right w:type="dxa" w:w="100"/>
            </w:tcMar>
          </w:tcPr>
          <w:p>
            <w:r>
              <w:t xml:space="preserve">Notice</w:t>
            </w:r>
          </w:p>
        </w:tc>
        <w:tc>
          <w:tcPr>
            <w:tcW w:type="dxa" w:w="4649"/>
            <w:tcMar>
              <w:top w:type="dxa" w:w="60"/>
              <w:left w:type="dxa" w:w="100"/>
              <w:bottom w:type="dxa" w:w="60"/>
              <w:right w:type="dxa" w:w="100"/>
            </w:tcMar>
          </w:tcPr>
          <w:p>
            <w:r>
              <w:t xml:space="preserve">At least 7 days' written notice</w:t>
            </w:r>
          </w:p>
        </w:tc>
      </w:tr>
      <w:tr>
        <w:trPr>
          <w:cantSplit/>
          <w:tblHeader w:val="false"/>
        </w:trPr>
        <w:tc>
          <w:tcPr>
            <w:tcW w:type="dxa" w:w="4649"/>
            <w:tcMar>
              <w:top w:type="dxa" w:w="60"/>
              <w:left w:type="dxa" w:w="100"/>
              <w:bottom w:type="dxa" w:w="60"/>
              <w:right w:type="dxa" w:w="100"/>
            </w:tcMar>
          </w:tcPr>
          <w:p>
            <w:r>
              <w:t xml:space="preserve">Payment</w:t>
            </w:r>
          </w:p>
        </w:tc>
        <w:tc>
          <w:tcPr>
            <w:tcW w:type="dxa" w:w="4649"/>
            <w:tcMar>
              <w:top w:type="dxa" w:w="60"/>
              <w:left w:type="dxa" w:w="100"/>
              <w:bottom w:type="dxa" w:w="60"/>
              <w:right w:type="dxa" w:w="100"/>
            </w:tcMar>
          </w:tcPr>
          <w:p>
            <w:r>
              <w:t xml:space="preserve">In advance; delivery starts once payment clears and the notice period ends</w:t>
            </w:r>
          </w:p>
        </w:tc>
      </w:tr>
      <w:tr>
        <w:trPr>
          <w:cantSplit/>
          <w:tblHeader w:val="false"/>
        </w:trPr>
        <w:tc>
          <w:tcPr>
            <w:tcW w:type="dxa" w:w="4649"/>
            <w:tcMar>
              <w:top w:type="dxa" w:w="60"/>
              <w:left w:type="dxa" w:w="100"/>
              <w:bottom w:type="dxa" w:w="60"/>
              <w:right w:type="dxa" w:w="100"/>
            </w:tcMar>
          </w:tcPr>
          <w:p>
            <w:r>
              <w:t xml:space="preserve">Undelivered Top-Up Leads</w:t>
            </w:r>
          </w:p>
        </w:tc>
        <w:tc>
          <w:tcPr>
            <w:tcW w:type="dxa" w:w="4649"/>
            <w:tcMar>
              <w:top w:type="dxa" w:w="60"/>
              <w:left w:type="dxa" w:w="100"/>
              <w:bottom w:type="dxa" w:w="60"/>
              <w:right w:type="dxa" w:w="100"/>
            </w:tcMar>
          </w:tcPr>
          <w:p>
            <w:r>
              <w:t xml:space="preserve">Refunded at the Effective Lead Price of the Client's Plan when the Top-Up was ordered, not at the Top-Up Price (clause 6.6)</w:t>
            </w:r>
          </w:p>
        </w:tc>
      </w:tr>
    </w:tbl>
    <w:p>
      <w:pPr>
        <w:spacing w:after="120"/>
      </w:pPr>
    </w:p>
    <w:p>
      <w:pPr>
        <w:tabs>
          <w:tab w:val="left" w:pos="720"/>
        </w:tabs>
        <w:spacing w:after="120"/>
        <w:ind w:left="720" w:hanging="720"/>
      </w:pPr>
      <w:r>
        <w:t xml:space="preserve">S1.3	</w:t>
      </w:r>
      <w:r>
        <w:rPr>
          <w:b/>
          <w:bCs/>
        </w:rPr>
        <w:t xml:space="preserve">Other Plans (clauses 9.5 and 9.7).</w:t>
      </w:r>
      <w:r>
        <w:t xml:space="preserve"> The Pilot Plan is a once-off introductory Plan for first-time clients only (clause 9.7). The Fees and Committed Leads below are those on the Signature Date. Silver and Gold are available at the pricing shown on the Pricing Page at the time of upgrade, and a Client that moves on from the Pilot Plan to Bronze, Silver or Gold pays the pricing shown on the Pricing Page when it pays (clause 9.7).</w:t>
      </w:r>
    </w:p>
    <w:tbl>
      <w:tblPr>
        <w:tblW w:type="dxa" w:w="9298"/>
        <w:tblBorders>
          <w:top w:val="single" w:color="auto" w:sz="4"/>
          <w:left w:val="single" w:color="auto" w:sz="4"/>
          <w:bottom w:val="single" w:color="auto" w:sz="4"/>
          <w:right w:val="single" w:color="auto" w:sz="4"/>
          <w:insideH w:val="single" w:color="auto" w:sz="4"/>
          <w:insideV w:val="single" w:color="auto" w:sz="4"/>
        </w:tblBorders>
      </w:tblPr>
      <w:tblGrid>
        <w:gridCol w:w="3099"/>
        <w:gridCol w:w="3099"/>
        <w:gridCol w:w="3099"/>
      </w:tblGrid>
      <w:tr>
        <w:trPr>
          <w:cantSplit/>
          <w:tblHeader/>
        </w:trPr>
        <w:tc>
          <w:tcPr>
            <w:tcW w:type="dxa" w:w="3099"/>
            <w:shd w:fill="D9E2F3" w:color="auto" w:val="clear"/>
            <w:tcMar>
              <w:top w:type="dxa" w:w="60"/>
              <w:left w:type="dxa" w:w="100"/>
              <w:bottom w:type="dxa" w:w="60"/>
              <w:right w:type="dxa" w:w="100"/>
            </w:tcMar>
          </w:tcPr>
          <w:p>
            <w:r>
              <w:rPr>
                <w:b/>
                <w:bCs/>
              </w:rPr>
              <w:t xml:space="preserve">Plan</w:t>
            </w:r>
          </w:p>
        </w:tc>
        <w:tc>
          <w:tcPr>
            <w:tcW w:type="dxa" w:w="3099"/>
            <w:shd w:fill="D9E2F3" w:color="auto" w:val="clear"/>
            <w:tcMar>
              <w:top w:type="dxa" w:w="60"/>
              <w:left w:type="dxa" w:w="100"/>
              <w:bottom w:type="dxa" w:w="60"/>
              <w:right w:type="dxa" w:w="100"/>
            </w:tcMar>
          </w:tcPr>
          <w:p>
            <w:r>
              <w:rPr>
                <w:b/>
                <w:bCs/>
              </w:rPr>
              <w:t xml:space="preserve">Fee per Billing Cycle</w:t>
            </w:r>
          </w:p>
        </w:tc>
        <w:tc>
          <w:tcPr>
            <w:tcW w:type="dxa" w:w="3099"/>
            <w:shd w:fill="D9E2F3" w:color="auto" w:val="clear"/>
            <w:tcMar>
              <w:top w:type="dxa" w:w="60"/>
              <w:left w:type="dxa" w:w="100"/>
              <w:bottom w:type="dxa" w:w="60"/>
              <w:right w:type="dxa" w:w="100"/>
            </w:tcMar>
          </w:tcPr>
          <w:p>
            <w:r>
              <w:rPr>
                <w:b/>
                <w:bCs/>
              </w:rPr>
              <w:t xml:space="preserve">Committed Leads</w:t>
            </w:r>
          </w:p>
        </w:tc>
      </w:tr>
      <w:tr>
        <w:trPr>
          <w:cantSplit/>
          <w:tblHeader w:val="false"/>
        </w:trPr>
        <w:tc>
          <w:tcPr>
            <w:tcW w:type="dxa" w:w="3099"/>
            <w:tcMar>
              <w:top w:type="dxa" w:w="60"/>
              <w:left w:type="dxa" w:w="100"/>
              <w:bottom w:type="dxa" w:w="60"/>
              <w:right w:type="dxa" w:w="100"/>
            </w:tcMar>
          </w:tcPr>
          <w:p>
            <w:r>
              <w:t xml:space="preserve">Pilot (first-time clients only; one introductory Billing Cycle)</w:t>
            </w:r>
          </w:p>
        </w:tc>
        <w:tc>
          <w:tcPr>
            <w:tcW w:type="dxa" w:w="3099"/>
            <w:tcMar>
              <w:top w:type="dxa" w:w="60"/>
              <w:left w:type="dxa" w:w="100"/>
              <w:bottom w:type="dxa" w:w="60"/>
              <w:right w:type="dxa" w:w="100"/>
            </w:tcMar>
          </w:tcPr>
          <w:p>
            <w:r>
              <w:t xml:space="preserve">R8,500 excl. VAT, once-off</w:t>
            </w:r>
          </w:p>
        </w:tc>
        <w:tc>
          <w:tcPr>
            <w:tcW w:type="dxa" w:w="3099"/>
            <w:tcMar>
              <w:top w:type="dxa" w:w="60"/>
              <w:left w:type="dxa" w:w="100"/>
              <w:bottom w:type="dxa" w:w="60"/>
              <w:right w:type="dxa" w:w="100"/>
            </w:tcMar>
          </w:tcPr>
          <w:p>
            <w:r>
              <w:t xml:space="preserve">10 Qualified Leads (R850 each)</w:t>
            </w:r>
          </w:p>
        </w:tc>
      </w:tr>
      <w:tr>
        <w:trPr>
          <w:cantSplit/>
          <w:tblHeader w:val="false"/>
        </w:trPr>
        <w:tc>
          <w:tcPr>
            <w:tcW w:type="dxa" w:w="3099"/>
            <w:tcMar>
              <w:top w:type="dxa" w:w="60"/>
              <w:left w:type="dxa" w:w="100"/>
              <w:bottom w:type="dxa" w:w="60"/>
              <w:right w:type="dxa" w:w="100"/>
            </w:tcMar>
          </w:tcPr>
          <w:p>
            <w:r>
              <w:t xml:space="preserve">Silver</w:t>
            </w:r>
          </w:p>
        </w:tc>
        <w:tc>
          <w:tcPr>
            <w:tcW w:type="dxa" w:w="3099"/>
            <w:tcMar>
              <w:top w:type="dxa" w:w="60"/>
              <w:left w:type="dxa" w:w="100"/>
              <w:bottom w:type="dxa" w:w="60"/>
              <w:right w:type="dxa" w:w="100"/>
            </w:tcMar>
          </w:tcPr>
          <w:p>
            <w:r>
              <w:t xml:space="preserve">R24,500 excl. VAT</w:t>
            </w:r>
          </w:p>
        </w:tc>
        <w:tc>
          <w:tcPr>
            <w:tcW w:type="dxa" w:w="3099"/>
            <w:tcMar>
              <w:top w:type="dxa" w:w="60"/>
              <w:left w:type="dxa" w:w="100"/>
              <w:bottom w:type="dxa" w:w="60"/>
              <w:right w:type="dxa" w:w="100"/>
            </w:tcMar>
          </w:tcPr>
          <w:p>
            <w:r>
              <w:t xml:space="preserve">30 Qualified Leads, about R817 each</w:t>
            </w:r>
          </w:p>
        </w:tc>
      </w:tr>
      <w:tr>
        <w:trPr>
          <w:cantSplit/>
          <w:tblHeader w:val="false"/>
        </w:trPr>
        <w:tc>
          <w:tcPr>
            <w:tcW w:type="dxa" w:w="3099"/>
            <w:tcMar>
              <w:top w:type="dxa" w:w="60"/>
              <w:left w:type="dxa" w:w="100"/>
              <w:bottom w:type="dxa" w:w="60"/>
              <w:right w:type="dxa" w:w="100"/>
            </w:tcMar>
          </w:tcPr>
          <w:p>
            <w:r>
              <w:t xml:space="preserve">Gold</w:t>
            </w:r>
          </w:p>
        </w:tc>
        <w:tc>
          <w:tcPr>
            <w:tcW w:type="dxa" w:w="3099"/>
            <w:tcMar>
              <w:top w:type="dxa" w:w="60"/>
              <w:left w:type="dxa" w:w="100"/>
              <w:bottom w:type="dxa" w:w="60"/>
              <w:right w:type="dxa" w:w="100"/>
            </w:tcMar>
          </w:tcPr>
          <w:p>
            <w:r>
              <w:t xml:space="preserve">R35,500 excl. VAT</w:t>
            </w:r>
          </w:p>
        </w:tc>
        <w:tc>
          <w:tcPr>
            <w:tcW w:type="dxa" w:w="3099"/>
            <w:tcMar>
              <w:top w:type="dxa" w:w="60"/>
              <w:left w:type="dxa" w:w="100"/>
              <w:bottom w:type="dxa" w:w="60"/>
              <w:right w:type="dxa" w:w="100"/>
            </w:tcMar>
          </w:tcPr>
          <w:p>
            <w:r>
              <w:t xml:space="preserve">45 Qualified Leads, about R789 each</w:t>
            </w:r>
          </w:p>
        </w:tc>
      </w:tr>
    </w:tbl>
    <w:p>
      <w:pPr>
        <w:spacing w:after="120"/>
      </w:pPr>
    </w:p>
    <w:p>
      <w:pPr>
        <w:pBdr>
          <w:left w:val="single" w:color="A6A6A6" w:sz="18" w:space="6"/>
        </w:pBdr>
        <w:shd w:fill="F2F2F2" w:color="auto" w:val="clear"/>
        <w:spacing w:after="160" w:before="60"/>
        <w:ind w:left="720" w:right="0"/>
      </w:pPr>
      <w:r>
        <w:rPr>
          <w:i/>
          <w:iCs/>
          <w:color w:val="595959"/>
          <w:sz w:val="18"/>
          <w:szCs w:val="18"/>
        </w:rPr>
        <w:t xml:space="preserve">[DRAFTING NOTE: for a Client on the Pilot Plan the CRM contract generator lists Bronze, Silver and Gold here, taken from the pricing source, so the Fee and Committed Leads of the Plan the Client moves on to (clause 9.7) are in Schedule 1.]</w:t>
      </w:r>
    </w:p>
    <w:p>
      <w:pPr>
        <w:tabs>
          <w:tab w:val="left" w:pos="720"/>
        </w:tabs>
        <w:spacing w:after="120"/>
        <w:ind w:left="720" w:hanging="720"/>
      </w:pPr>
      <w:r>
        <w:t xml:space="preserve">S1.4	</w:t>
      </w:r>
      <w:r>
        <w:rPr>
          <w:b/>
          <w:bCs/>
        </w:rPr>
        <w:t xml:space="preserve">Payment details (clause 10.3).</w:t>
      </w:r>
    </w:p>
    <w:tbl>
      <w:tblPr>
        <w:tblW w:type="dxa" w:w="9298"/>
        <w:tblBorders>
          <w:top w:val="single" w:color="auto" w:sz="4"/>
          <w:left w:val="single" w:color="auto" w:sz="4"/>
          <w:bottom w:val="single" w:color="auto" w:sz="4"/>
          <w:right w:val="single" w:color="auto" w:sz="4"/>
          <w:insideH w:val="single" w:color="auto" w:sz="4"/>
          <w:insideV w:val="single" w:color="auto" w:sz="4"/>
        </w:tblBorders>
      </w:tblPr>
      <w:tblGrid>
        <w:gridCol w:w="4649"/>
        <w:gridCol w:w="4649"/>
      </w:tblGrid>
      <w:tr>
        <w:trPr>
          <w:cantSplit/>
          <w:tblHeader/>
        </w:trPr>
        <w:tc>
          <w:tcPr>
            <w:tcW w:type="dxa" w:w="4649"/>
            <w:shd w:fill="D9E2F3" w:color="auto" w:val="clear"/>
            <w:tcMar>
              <w:top w:type="dxa" w:w="60"/>
              <w:left w:type="dxa" w:w="100"/>
              <w:bottom w:type="dxa" w:w="60"/>
              <w:right w:type="dxa" w:w="100"/>
            </w:tcMar>
          </w:tcPr>
          <w:p>
            <w:r>
              <w:rPr>
                <w:b/>
                <w:bCs/>
              </w:rPr>
              <w:t xml:space="preserve">Method</w:t>
            </w:r>
          </w:p>
        </w:tc>
        <w:tc>
          <w:tcPr>
            <w:tcW w:type="dxa" w:w="4649"/>
            <w:shd w:fill="D9E2F3" w:color="auto" w:val="clear"/>
            <w:tcMar>
              <w:top w:type="dxa" w:w="60"/>
              <w:left w:type="dxa" w:w="100"/>
              <w:bottom w:type="dxa" w:w="60"/>
              <w:right w:type="dxa" w:w="100"/>
            </w:tcMar>
          </w:tcPr>
          <w:p>
            <w:r>
              <w:rPr>
                <w:b/>
                <w:bCs/>
              </w:rPr>
              <w:t xml:space="preserve">Details</w:t>
            </w:r>
          </w:p>
        </w:tc>
      </w:tr>
      <w:tr>
        <w:trPr>
          <w:cantSplit/>
          <w:tblHeader w:val="false"/>
        </w:trPr>
        <w:tc>
          <w:tcPr>
            <w:tcW w:type="dxa" w:w="4649"/>
            <w:tcMar>
              <w:top w:type="dxa" w:w="60"/>
              <w:left w:type="dxa" w:w="100"/>
              <w:bottom w:type="dxa" w:w="60"/>
              <w:right w:type="dxa" w:w="100"/>
            </w:tcMar>
          </w:tcPr>
          <w:p>
            <w:r>
              <w:t xml:space="preserve">Paystack (card or Instant EFT)</w:t>
            </w:r>
          </w:p>
        </w:tc>
        <w:tc>
          <w:tcPr>
            <w:tcW w:type="dxa" w:w="4649"/>
            <w:tcMar>
              <w:top w:type="dxa" w:w="60"/>
              <w:left w:type="dxa" w:w="100"/>
              <w:bottom w:type="dxa" w:w="60"/>
              <w:right w:type="dxa" w:w="100"/>
            </w:tcMar>
          </w:tcPr>
          <w:p>
            <w:r>
              <w:t xml:space="preserve">Payment link sent with each invoice</w:t>
            </w:r>
          </w:p>
        </w:tc>
      </w:tr>
      <w:tr>
        <w:trPr>
          <w:cantSplit/>
          <w:tblHeader w:val="false"/>
        </w:trPr>
        <w:tc>
          <w:tcPr>
            <w:tcW w:type="dxa" w:w="4649"/>
            <w:tcMar>
              <w:top w:type="dxa" w:w="60"/>
              <w:left w:type="dxa" w:w="100"/>
              <w:bottom w:type="dxa" w:w="60"/>
              <w:right w:type="dxa" w:w="100"/>
            </w:tcMar>
          </w:tcPr>
          <w:p>
            <w:r>
              <w:t xml:space="preserve">EFT</w:t>
            </w:r>
          </w:p>
        </w:tc>
        <w:tc>
          <w:tcPr>
            <w:tcW w:type="dxa" w:w="4649"/>
            <w:tcMar>
              <w:top w:type="dxa" w:w="60"/>
              <w:left w:type="dxa" w:w="100"/>
              <w:bottom w:type="dxa" w:w="60"/>
              <w:right w:type="dxa" w:w="100"/>
            </w:tcMar>
          </w:tcPr>
          <w:p>
            <w:r>
              <w:t xml:space="preserve">To Lead Velocity's First National Bank (FNB) account as stated on Lead Velocity's invoice, using the payment reference on the invoice</w:t>
            </w:r>
          </w:p>
        </w:tc>
      </w:tr>
    </w:tbl>
    <w:p>
      <w:pPr>
        <w:spacing w:after="120"/>
      </w:pPr>
    </w:p>
    <w:p>
      <w:pPr>
        <w:tabs>
          <w:tab w:val="left" w:pos="720"/>
        </w:tabs>
        <w:spacing w:after="120"/>
        <w:ind w:left="720" w:hanging="720"/>
      </w:pPr>
      <w:r>
        <w:t xml:space="preserve">S1.5	</w:t>
      </w:r>
      <w:r>
        <w:rPr>
          <w:b/>
          <w:bCs/>
        </w:rPr>
        <w:t xml:space="preserve">Onboarding items (clause 2.2).</w:t>
      </w:r>
      <w:r>
        <w:t xml:space="preserve"> Before the Cycle Start Date, the Client must give Lead Velocity: (a) its FSP number and practice name as they appear on the FSCA register, and its licence categories; (b) its Microsoft Outlook calendar, connected through the "Connect my Outlook calendar" step in the Lead Velocity client portal, so that Microsoft Teams appointments are booked into its own calendar; (c) a professional photograph and a short biography for its welcome card (the Intro Card); (d) the appointment methods it offers (for example Microsoft Teams, phone or in person); and (e) the business WhatsApp number to which Qualified Leads are delivered (Schedule 4).</w:t>
      </w:r>
    </w:p>
    <w:p>
      <w:pPr>
        <w:tabs>
          <w:tab w:val="left" w:pos="720"/>
        </w:tabs>
        <w:spacing w:after="120"/>
        <w:ind w:left="720" w:hanging="720"/>
      </w:pPr>
      <w:r>
        <w:t xml:space="preserve">S1.6	</w:t>
      </w:r>
      <w:r>
        <w:rPr>
          <w:b/>
          <w:bCs/>
        </w:rPr>
        <w:t xml:space="preserve">No success-based charges.</w:t>
      </w:r>
      <w:r>
        <w:t xml:space="preserve"> No amount in this Schedule, or in any later Plan, Top-Up or invoice, may be calculated by reference to any appointment outcome, application, sale, premium, policy or commission (clause 8.3).</w:t>
      </w:r>
    </w:p>
    <w:p>
      <w:pPr>
        <w:pStyle w:val="Heading1"/>
        <w:keepNext/>
        <w:pageBreakBefore/>
      </w:pPr>
      <w:r>
        <w:t xml:space="preserve">Schedule 2 — Qualified Lead criteria and Delivery</w:t>
      </w:r>
    </w:p>
    <w:p>
      <w:pPr>
        <w:tabs>
          <w:tab w:val="left" w:pos="720"/>
        </w:tabs>
        <w:spacing w:after="120"/>
        <w:ind w:left="720" w:hanging="720"/>
      </w:pPr>
      <w:r>
        <w:t xml:space="preserve">S2.1	</w:t>
      </w:r>
      <w:r>
        <w:rPr>
          <w:b/>
          <w:bCs/>
        </w:rPr>
        <w:t xml:space="preserve">Criteria.</w:t>
      </w:r>
      <w:r>
        <w:t xml:space="preserve"> A Consumer is a Qualified Lead only if every item below is met.</w:t>
      </w:r>
    </w:p>
    <w:tbl>
      <w:tblPr>
        <w:tblW w:type="dxa" w:w="9298"/>
        <w:tblBorders>
          <w:top w:val="single" w:color="auto" w:sz="4"/>
          <w:left w:val="single" w:color="auto" w:sz="4"/>
          <w:bottom w:val="single" w:color="auto" w:sz="4"/>
          <w:right w:val="single" w:color="auto" w:sz="4"/>
          <w:insideH w:val="single" w:color="auto" w:sz="4"/>
          <w:insideV w:val="single" w:color="auto" w:sz="4"/>
        </w:tblBorders>
      </w:tblPr>
      <w:tblGrid>
        <w:gridCol w:w="3099"/>
        <w:gridCol w:w="3099"/>
        <w:gridCol w:w="3099"/>
      </w:tblGrid>
      <w:tr>
        <w:trPr>
          <w:cantSplit/>
          <w:tblHeader/>
        </w:trPr>
        <w:tc>
          <w:tcPr>
            <w:tcW w:type="dxa" w:w="3099"/>
            <w:shd w:fill="D9E2F3" w:color="auto" w:val="clear"/>
            <w:tcMar>
              <w:top w:type="dxa" w:w="60"/>
              <w:left w:type="dxa" w:w="100"/>
              <w:bottom w:type="dxa" w:w="60"/>
              <w:right w:type="dxa" w:w="100"/>
            </w:tcMar>
          </w:tcPr>
          <w:p>
            <w:r>
              <w:rPr>
                <w:b/>
                <w:bCs/>
              </w:rPr>
              <w:t xml:space="preserve">#</w:t>
            </w:r>
          </w:p>
        </w:tc>
        <w:tc>
          <w:tcPr>
            <w:tcW w:type="dxa" w:w="3099"/>
            <w:shd w:fill="D9E2F3" w:color="auto" w:val="clear"/>
            <w:tcMar>
              <w:top w:type="dxa" w:w="60"/>
              <w:left w:type="dxa" w:w="100"/>
              <w:bottom w:type="dxa" w:w="60"/>
              <w:right w:type="dxa" w:w="100"/>
            </w:tcMar>
          </w:tcPr>
          <w:p>
            <w:r>
              <w:rPr>
                <w:b/>
                <w:bCs/>
              </w:rPr>
              <w:t xml:space="preserve">Criterion</w:t>
            </w:r>
          </w:p>
        </w:tc>
        <w:tc>
          <w:tcPr>
            <w:tcW w:type="dxa" w:w="3099"/>
            <w:shd w:fill="D9E2F3" w:color="auto" w:val="clear"/>
            <w:tcMar>
              <w:top w:type="dxa" w:w="60"/>
              <w:left w:type="dxa" w:w="100"/>
              <w:bottom w:type="dxa" w:w="60"/>
              <w:right w:type="dxa" w:w="100"/>
            </w:tcMar>
          </w:tcPr>
          <w:p>
            <w:r>
              <w:rPr>
                <w:b/>
                <w:bCs/>
              </w:rPr>
              <w:t xml:space="preserve">How it is evidenced</w:t>
            </w:r>
          </w:p>
        </w:tc>
      </w:tr>
      <w:tr>
        <w:trPr>
          <w:cantSplit/>
          <w:tblHeader w:val="false"/>
        </w:trPr>
        <w:tc>
          <w:tcPr>
            <w:tcW w:type="dxa" w:w="3099"/>
            <w:tcMar>
              <w:top w:type="dxa" w:w="60"/>
              <w:left w:type="dxa" w:w="100"/>
              <w:bottom w:type="dxa" w:w="60"/>
              <w:right w:type="dxa" w:w="100"/>
            </w:tcMar>
          </w:tcPr>
          <w:p>
            <w:r>
              <w:t xml:space="preserve">1</w:t>
            </w:r>
          </w:p>
        </w:tc>
        <w:tc>
          <w:tcPr>
            <w:tcW w:type="dxa" w:w="3099"/>
            <w:tcMar>
              <w:top w:type="dxa" w:w="60"/>
              <w:left w:type="dxa" w:w="100"/>
              <w:bottom w:type="dxa" w:w="60"/>
              <w:right w:type="dxa" w:w="100"/>
            </w:tcMar>
          </w:tcPr>
          <w:p>
            <w:r>
              <w:t xml:space="preserve">Responded to a Lead Velocity or SortMyCover Campaign and gave valid contact details that passed the checks in clause 5.8 (WhatsApp number used to chat to us; email confirmed by one-tap code or link; contact number same as WhatsApp or given)</w:t>
            </w:r>
          </w:p>
        </w:tc>
        <w:tc>
          <w:tcPr>
            <w:tcW w:type="dxa" w:w="3099"/>
            <w:tcMar>
              <w:top w:type="dxa" w:w="60"/>
              <w:left w:type="dxa" w:w="100"/>
              <w:bottom w:type="dxa" w:w="60"/>
              <w:right w:type="dxa" w:w="100"/>
            </w:tcMar>
          </w:tcPr>
          <w:p>
            <w:r>
              <w:t xml:space="preserve">Submission record and verification log in the Origin Records</w:t>
            </w:r>
          </w:p>
        </w:tc>
      </w:tr>
      <w:tr>
        <w:trPr>
          <w:cantSplit/>
          <w:tblHeader w:val="false"/>
        </w:trPr>
        <w:tc>
          <w:tcPr>
            <w:tcW w:type="dxa" w:w="3099"/>
            <w:tcMar>
              <w:top w:type="dxa" w:w="60"/>
              <w:left w:type="dxa" w:w="100"/>
              <w:bottom w:type="dxa" w:w="60"/>
              <w:right w:type="dxa" w:w="100"/>
            </w:tcMar>
          </w:tcPr>
          <w:p>
            <w:r>
              <w:t xml:space="preserve">2</w:t>
            </w:r>
          </w:p>
        </w:tc>
        <w:tc>
          <w:tcPr>
            <w:tcW w:type="dxa" w:w="3099"/>
            <w:tcMar>
              <w:top w:type="dxa" w:w="60"/>
              <w:left w:type="dxa" w:w="100"/>
              <w:bottom w:type="dxa" w:w="60"/>
              <w:right w:type="dxa" w:w="100"/>
            </w:tcMar>
          </w:tcPr>
          <w:p>
            <w:r>
              <w:t xml:space="preserve">Gave POPIA-compliant consent to be contacted by Lead Velocity and introduced to the Client, using the consent wording Lead Velocity publishes</w:t>
            </w:r>
          </w:p>
        </w:tc>
        <w:tc>
          <w:tcPr>
            <w:tcW w:type="dxa" w:w="3099"/>
            <w:tcMar>
              <w:top w:type="dxa" w:w="60"/>
              <w:left w:type="dxa" w:w="100"/>
              <w:bottom w:type="dxa" w:w="60"/>
              <w:right w:type="dxa" w:w="100"/>
            </w:tcMar>
          </w:tcPr>
          <w:p>
            <w:r>
              <w:t xml:space="preserve">Consent text version, time stamp and source in the Origin Records</w:t>
            </w:r>
          </w:p>
        </w:tc>
      </w:tr>
      <w:tr>
        <w:trPr>
          <w:cantSplit/>
          <w:tblHeader w:val="false"/>
        </w:trPr>
        <w:tc>
          <w:tcPr>
            <w:tcW w:type="dxa" w:w="3099"/>
            <w:tcMar>
              <w:top w:type="dxa" w:w="60"/>
              <w:left w:type="dxa" w:w="100"/>
              <w:bottom w:type="dxa" w:w="60"/>
              <w:right w:type="dxa" w:w="100"/>
            </w:tcMar>
          </w:tcPr>
          <w:p>
            <w:r>
              <w:t xml:space="preserve">3</w:t>
            </w:r>
          </w:p>
        </w:tc>
        <w:tc>
          <w:tcPr>
            <w:tcW w:type="dxa" w:w="3099"/>
            <w:tcMar>
              <w:top w:type="dxa" w:w="60"/>
              <w:left w:type="dxa" w:w="100"/>
              <w:bottom w:type="dxa" w:w="60"/>
              <w:right w:type="dxa" w:w="100"/>
            </w:tcMar>
          </w:tcPr>
          <w:p>
            <w:r>
              <w:t xml:space="preserve">Self-reported age of 35 to 50</w:t>
            </w:r>
          </w:p>
        </w:tc>
        <w:tc>
          <w:tcPr>
            <w:tcW w:type="dxa" w:w="3099"/>
            <w:tcMar>
              <w:top w:type="dxa" w:w="60"/>
              <w:left w:type="dxa" w:w="100"/>
              <w:bottom w:type="dxa" w:w="60"/>
              <w:right w:type="dxa" w:w="100"/>
            </w:tcMar>
          </w:tcPr>
          <w:p>
            <w:r>
              <w:t xml:space="preserve">Consumer's answer in the form or WhatsApp</w:t>
            </w:r>
          </w:p>
        </w:tc>
      </w:tr>
      <w:tr>
        <w:trPr>
          <w:cantSplit/>
          <w:tblHeader w:val="false"/>
        </w:trPr>
        <w:tc>
          <w:tcPr>
            <w:tcW w:type="dxa" w:w="3099"/>
            <w:tcMar>
              <w:top w:type="dxa" w:w="60"/>
              <w:left w:type="dxa" w:w="100"/>
              <w:bottom w:type="dxa" w:w="60"/>
              <w:right w:type="dxa" w:w="100"/>
            </w:tcMar>
          </w:tcPr>
          <w:p>
            <w:r>
              <w:t xml:space="preserve">4</w:t>
            </w:r>
          </w:p>
        </w:tc>
        <w:tc>
          <w:tcPr>
            <w:tcW w:type="dxa" w:w="3099"/>
            <w:tcMar>
              <w:top w:type="dxa" w:w="60"/>
              <w:left w:type="dxa" w:w="100"/>
              <w:bottom w:type="dxa" w:w="60"/>
              <w:right w:type="dxa" w:w="100"/>
            </w:tcMar>
          </w:tcPr>
          <w:p>
            <w:r>
              <w:t xml:space="preserve">Self-reported monthly premium budget of R750 or more (A-tier R1,500+; B-tier R750 to R1,499)</w:t>
            </w:r>
          </w:p>
        </w:tc>
        <w:tc>
          <w:tcPr>
            <w:tcW w:type="dxa" w:w="3099"/>
            <w:tcMar>
              <w:top w:type="dxa" w:w="60"/>
              <w:left w:type="dxa" w:w="100"/>
              <w:bottom w:type="dxa" w:w="60"/>
              <w:right w:type="dxa" w:w="100"/>
            </w:tcMar>
          </w:tcPr>
          <w:p>
            <w:r>
              <w:t xml:space="preserve">Consumer's answer in the form or WhatsApp</w:t>
            </w:r>
          </w:p>
        </w:tc>
      </w:tr>
      <w:tr>
        <w:trPr>
          <w:cantSplit/>
          <w:tblHeader w:val="false"/>
        </w:trPr>
        <w:tc>
          <w:tcPr>
            <w:tcW w:type="dxa" w:w="3099"/>
            <w:tcMar>
              <w:top w:type="dxa" w:w="60"/>
              <w:left w:type="dxa" w:w="100"/>
              <w:bottom w:type="dxa" w:w="60"/>
              <w:right w:type="dxa" w:w="100"/>
            </w:tcMar>
          </w:tcPr>
          <w:p>
            <w:r>
              <w:t xml:space="preserve">5</w:t>
            </w:r>
          </w:p>
        </w:tc>
        <w:tc>
          <w:tcPr>
            <w:tcW w:type="dxa" w:w="3099"/>
            <w:tcMar>
              <w:top w:type="dxa" w:w="60"/>
              <w:left w:type="dxa" w:w="100"/>
              <w:bottom w:type="dxa" w:w="60"/>
              <w:right w:type="dxa" w:w="100"/>
            </w:tcMar>
          </w:tcPr>
          <w:p>
            <w:r>
              <w:t xml:space="preserve">For a B-tier lead only: accepted by the Client (clause 5.7)</w:t>
            </w:r>
          </w:p>
        </w:tc>
        <w:tc>
          <w:tcPr>
            <w:tcW w:type="dxa" w:w="3099"/>
            <w:tcMar>
              <w:top w:type="dxa" w:w="60"/>
              <w:left w:type="dxa" w:w="100"/>
              <w:bottom w:type="dxa" w:w="60"/>
              <w:right w:type="dxa" w:w="100"/>
            </w:tcMar>
          </w:tcPr>
          <w:p>
            <w:r>
              <w:t xml:space="preserve">Client's Accept tap, time-stamped</w:t>
            </w:r>
          </w:p>
        </w:tc>
      </w:tr>
      <w:tr>
        <w:trPr>
          <w:cantSplit/>
          <w:tblHeader w:val="false"/>
        </w:trPr>
        <w:tc>
          <w:tcPr>
            <w:tcW w:type="dxa" w:w="3099"/>
            <w:tcMar>
              <w:top w:type="dxa" w:w="60"/>
              <w:left w:type="dxa" w:w="100"/>
              <w:bottom w:type="dxa" w:w="60"/>
              <w:right w:type="dxa" w:w="100"/>
            </w:tcMar>
          </w:tcPr>
          <w:p>
            <w:r>
              <w:t xml:space="preserve">6</w:t>
            </w:r>
          </w:p>
        </w:tc>
        <w:tc>
          <w:tcPr>
            <w:tcW w:type="dxa" w:w="3099"/>
            <w:tcMar>
              <w:top w:type="dxa" w:w="60"/>
              <w:left w:type="dxa" w:w="100"/>
              <w:bottom w:type="dxa" w:w="60"/>
              <w:right w:type="dxa" w:w="100"/>
            </w:tcMar>
          </w:tcPr>
          <w:p>
            <w:r>
              <w:t xml:space="preserve">Confirmed a booked appointment with the Client and confirmed they will attend</w:t>
            </w:r>
          </w:p>
        </w:tc>
        <w:tc>
          <w:tcPr>
            <w:tcW w:type="dxa" w:w="3099"/>
            <w:tcMar>
              <w:top w:type="dxa" w:w="60"/>
              <w:left w:type="dxa" w:w="100"/>
              <w:bottom w:type="dxa" w:w="60"/>
              <w:right w:type="dxa" w:w="100"/>
            </w:tcMar>
          </w:tcPr>
          <w:p>
            <w:r>
              <w:t xml:space="preserve">WhatsApp message log (Consumer's reply or button tap)</w:t>
            </w:r>
          </w:p>
        </w:tc>
      </w:tr>
    </w:tbl>
    <w:p>
      <w:pPr>
        <w:spacing w:after="120"/>
      </w:pPr>
    </w:p>
    <w:p>
      <w:pPr>
        <w:tabs>
          <w:tab w:val="left" w:pos="720"/>
        </w:tabs>
        <w:spacing w:after="120"/>
        <w:ind w:left="720" w:hanging="720"/>
      </w:pPr>
      <w:r>
        <w:t xml:space="preserve">S2.2	</w:t>
      </w:r>
      <w:r>
        <w:rPr>
          <w:b/>
          <w:bCs/>
        </w:rPr>
        <w:t xml:space="preserve">Questions asked.</w:t>
      </w:r>
      <w:r>
        <w:t xml:space="preserve"> The same questions are asked for every client. Criteria 3 and 4 are self-declared. Lead Velocity asks them as simple bands, does not ask for exact income, ID numbers or existing cover details, and does not verify or underwrite.</w:t>
      </w:r>
    </w:p>
    <w:tbl>
      <w:tblPr>
        <w:tblW w:type="dxa" w:w="9298"/>
        <w:tblBorders>
          <w:top w:val="single" w:color="auto" w:sz="4"/>
          <w:left w:val="single" w:color="auto" w:sz="4"/>
          <w:bottom w:val="single" w:color="auto" w:sz="4"/>
          <w:right w:val="single" w:color="auto" w:sz="4"/>
          <w:insideH w:val="single" w:color="auto" w:sz="4"/>
          <w:insideV w:val="single" w:color="auto" w:sz="4"/>
        </w:tblBorders>
      </w:tblPr>
      <w:tblGrid>
        <w:gridCol w:w="3099"/>
        <w:gridCol w:w="3099"/>
        <w:gridCol w:w="3099"/>
      </w:tblGrid>
      <w:tr>
        <w:trPr>
          <w:cantSplit/>
          <w:tblHeader/>
        </w:trPr>
        <w:tc>
          <w:tcPr>
            <w:tcW w:type="dxa" w:w="3099"/>
            <w:shd w:fill="D9E2F3" w:color="auto" w:val="clear"/>
            <w:tcMar>
              <w:top w:type="dxa" w:w="60"/>
              <w:left w:type="dxa" w:w="100"/>
              <w:bottom w:type="dxa" w:w="60"/>
              <w:right w:type="dxa" w:w="100"/>
            </w:tcMar>
          </w:tcPr>
          <w:p>
            <w:r>
              <w:rPr>
                <w:b/>
                <w:bCs/>
              </w:rPr>
              <w:t xml:space="preserve">Question</w:t>
            </w:r>
          </w:p>
        </w:tc>
        <w:tc>
          <w:tcPr>
            <w:tcW w:type="dxa" w:w="3099"/>
            <w:shd w:fill="D9E2F3" w:color="auto" w:val="clear"/>
            <w:tcMar>
              <w:top w:type="dxa" w:w="60"/>
              <w:left w:type="dxa" w:w="100"/>
              <w:bottom w:type="dxa" w:w="60"/>
              <w:right w:type="dxa" w:w="100"/>
            </w:tcMar>
          </w:tcPr>
          <w:p>
            <w:r>
              <w:rPr>
                <w:b/>
                <w:bCs/>
              </w:rPr>
              <w:t xml:space="preserve">Required?</w:t>
            </w:r>
          </w:p>
        </w:tc>
        <w:tc>
          <w:tcPr>
            <w:tcW w:type="dxa" w:w="3099"/>
            <w:shd w:fill="D9E2F3" w:color="auto" w:val="clear"/>
            <w:tcMar>
              <w:top w:type="dxa" w:w="60"/>
              <w:left w:type="dxa" w:w="100"/>
              <w:bottom w:type="dxa" w:w="60"/>
              <w:right w:type="dxa" w:w="100"/>
            </w:tcMar>
          </w:tcPr>
          <w:p>
            <w:r>
              <w:rPr>
                <w:b/>
                <w:bCs/>
              </w:rPr>
              <w:t xml:space="preserve">Notes</w:t>
            </w:r>
          </w:p>
        </w:tc>
      </w:tr>
      <w:tr>
        <w:trPr>
          <w:cantSplit/>
          <w:tblHeader w:val="false"/>
        </w:trPr>
        <w:tc>
          <w:tcPr>
            <w:tcW w:type="dxa" w:w="3099"/>
            <w:tcMar>
              <w:top w:type="dxa" w:w="60"/>
              <w:left w:type="dxa" w:w="100"/>
              <w:bottom w:type="dxa" w:w="60"/>
              <w:right w:type="dxa" w:w="100"/>
            </w:tcMar>
          </w:tcPr>
          <w:p>
            <w:r>
              <w:t xml:space="preserve">Name and surname</w:t>
            </w:r>
          </w:p>
        </w:tc>
        <w:tc>
          <w:tcPr>
            <w:tcW w:type="dxa" w:w="3099"/>
            <w:tcMar>
              <w:top w:type="dxa" w:w="60"/>
              <w:left w:type="dxa" w:w="100"/>
              <w:bottom w:type="dxa" w:w="60"/>
              <w:right w:type="dxa" w:w="100"/>
            </w:tcMar>
          </w:tcPr>
          <w:p>
            <w:r>
              <w:t xml:space="preserve">Required</w:t>
            </w:r>
          </w:p>
        </w:tc>
        <w:tc>
          <w:tcPr>
            <w:tcW w:type="dxa" w:w="3099"/>
            <w:tcMar>
              <w:top w:type="dxa" w:w="60"/>
              <w:left w:type="dxa" w:w="100"/>
              <w:bottom w:type="dxa" w:w="60"/>
              <w:right w:type="dxa" w:w="100"/>
            </w:tcMar>
          </w:tcPr>
          <w:p/>
        </w:tc>
      </w:tr>
      <w:tr>
        <w:trPr>
          <w:cantSplit/>
          <w:tblHeader w:val="false"/>
        </w:trPr>
        <w:tc>
          <w:tcPr>
            <w:tcW w:type="dxa" w:w="3099"/>
            <w:tcMar>
              <w:top w:type="dxa" w:w="60"/>
              <w:left w:type="dxa" w:w="100"/>
              <w:bottom w:type="dxa" w:w="60"/>
              <w:right w:type="dxa" w:w="100"/>
            </w:tcMar>
          </w:tcPr>
          <w:p>
            <w:r>
              <w:t xml:space="preserve">Email address</w:t>
            </w:r>
          </w:p>
        </w:tc>
        <w:tc>
          <w:tcPr>
            <w:tcW w:type="dxa" w:w="3099"/>
            <w:tcMar>
              <w:top w:type="dxa" w:w="60"/>
              <w:left w:type="dxa" w:w="100"/>
              <w:bottom w:type="dxa" w:w="60"/>
              <w:right w:type="dxa" w:w="100"/>
            </w:tcMar>
          </w:tcPr>
          <w:p>
            <w:r>
              <w:t xml:space="preserve">Required</w:t>
            </w:r>
          </w:p>
        </w:tc>
        <w:tc>
          <w:tcPr>
            <w:tcW w:type="dxa" w:w="3099"/>
            <w:tcMar>
              <w:top w:type="dxa" w:w="60"/>
              <w:left w:type="dxa" w:w="100"/>
              <w:bottom w:type="dxa" w:w="60"/>
              <w:right w:type="dxa" w:w="100"/>
            </w:tcMar>
          </w:tcPr>
          <w:p>
            <w:r>
              <w:t xml:space="preserve">Confirmed by one-tap code or link (clause 5.8)</w:t>
            </w:r>
          </w:p>
        </w:tc>
      </w:tr>
      <w:tr>
        <w:trPr>
          <w:cantSplit/>
          <w:tblHeader w:val="false"/>
        </w:trPr>
        <w:tc>
          <w:tcPr>
            <w:tcW w:type="dxa" w:w="3099"/>
            <w:tcMar>
              <w:top w:type="dxa" w:w="60"/>
              <w:left w:type="dxa" w:w="100"/>
              <w:bottom w:type="dxa" w:w="60"/>
              <w:right w:type="dxa" w:w="100"/>
            </w:tcMar>
          </w:tcPr>
          <w:p>
            <w:r>
              <w:t xml:space="preserve">Alternative email</w:t>
            </w:r>
          </w:p>
        </w:tc>
        <w:tc>
          <w:tcPr>
            <w:tcW w:type="dxa" w:w="3099"/>
            <w:tcMar>
              <w:top w:type="dxa" w:w="60"/>
              <w:left w:type="dxa" w:w="100"/>
              <w:bottom w:type="dxa" w:w="60"/>
              <w:right w:type="dxa" w:w="100"/>
            </w:tcMar>
          </w:tcPr>
          <w:p>
            <w:r>
              <w:t xml:space="preserve">Optional</w:t>
            </w:r>
          </w:p>
        </w:tc>
        <w:tc>
          <w:tcPr>
            <w:tcW w:type="dxa" w:w="3099"/>
            <w:tcMar>
              <w:top w:type="dxa" w:w="60"/>
              <w:left w:type="dxa" w:w="100"/>
              <w:bottom w:type="dxa" w:w="60"/>
              <w:right w:type="dxa" w:w="100"/>
            </w:tcMar>
          </w:tcPr>
          <w:p/>
        </w:tc>
      </w:tr>
      <w:tr>
        <w:trPr>
          <w:cantSplit/>
          <w:tblHeader w:val="false"/>
        </w:trPr>
        <w:tc>
          <w:tcPr>
            <w:tcW w:type="dxa" w:w="3099"/>
            <w:tcMar>
              <w:top w:type="dxa" w:w="60"/>
              <w:left w:type="dxa" w:w="100"/>
              <w:bottom w:type="dxa" w:w="60"/>
              <w:right w:type="dxa" w:w="100"/>
            </w:tcMar>
          </w:tcPr>
          <w:p>
            <w:r>
              <w:t xml:space="preserve">Contact number</w:t>
            </w:r>
          </w:p>
        </w:tc>
        <w:tc>
          <w:tcPr>
            <w:tcW w:type="dxa" w:w="3099"/>
            <w:tcMar>
              <w:top w:type="dxa" w:w="60"/>
              <w:left w:type="dxa" w:w="100"/>
              <w:bottom w:type="dxa" w:w="60"/>
              <w:right w:type="dxa" w:w="100"/>
            </w:tcMar>
          </w:tcPr>
          <w:p>
            <w:r>
              <w:t xml:space="preserve">Required</w:t>
            </w:r>
          </w:p>
        </w:tc>
        <w:tc>
          <w:tcPr>
            <w:tcW w:type="dxa" w:w="3099"/>
            <w:tcMar>
              <w:top w:type="dxa" w:w="60"/>
              <w:left w:type="dxa" w:w="100"/>
              <w:bottom w:type="dxa" w:w="60"/>
              <w:right w:type="dxa" w:w="100"/>
            </w:tcMar>
          </w:tcPr>
          <w:p>
            <w:r>
              <w:t xml:space="preserve">"Same as WhatsApp" or another number</w:t>
            </w:r>
          </w:p>
        </w:tc>
      </w:tr>
      <w:tr>
        <w:trPr>
          <w:cantSplit/>
          <w:tblHeader w:val="false"/>
        </w:trPr>
        <w:tc>
          <w:tcPr>
            <w:tcW w:type="dxa" w:w="3099"/>
            <w:tcMar>
              <w:top w:type="dxa" w:w="60"/>
              <w:left w:type="dxa" w:w="100"/>
              <w:bottom w:type="dxa" w:w="60"/>
              <w:right w:type="dxa" w:w="100"/>
            </w:tcMar>
          </w:tcPr>
          <w:p>
            <w:r>
              <w:t xml:space="preserve">Reason(s) for the call</w:t>
            </w:r>
          </w:p>
        </w:tc>
        <w:tc>
          <w:tcPr>
            <w:tcW w:type="dxa" w:w="3099"/>
            <w:tcMar>
              <w:top w:type="dxa" w:w="60"/>
              <w:left w:type="dxa" w:w="100"/>
              <w:bottom w:type="dxa" w:w="60"/>
              <w:right w:type="dxa" w:w="100"/>
            </w:tcMar>
          </w:tcPr>
          <w:p>
            <w:r>
              <w:t xml:space="preserve">Required (one or more)</w:t>
            </w:r>
          </w:p>
        </w:tc>
        <w:tc>
          <w:tcPr>
            <w:tcW w:type="dxa" w:w="3099"/>
            <w:tcMar>
              <w:top w:type="dxa" w:w="60"/>
              <w:left w:type="dxa" w:w="100"/>
              <w:bottom w:type="dxa" w:w="60"/>
              <w:right w:type="dxa" w:w="100"/>
            </w:tcMar>
          </w:tcPr>
          <w:p>
            <w:r>
              <w:t xml:space="preserve">Life cover · Funeral cover · Retirement planning · Investments · Disability · "I feel like I'm paying too much" · Other. Reasons outside the Client's licence categories are flagged (clause 5.9)</w:t>
            </w:r>
          </w:p>
        </w:tc>
      </w:tr>
      <w:tr>
        <w:trPr>
          <w:cantSplit/>
          <w:tblHeader w:val="false"/>
        </w:trPr>
        <w:tc>
          <w:tcPr>
            <w:tcW w:type="dxa" w:w="3099"/>
            <w:tcMar>
              <w:top w:type="dxa" w:w="60"/>
              <w:left w:type="dxa" w:w="100"/>
              <w:bottom w:type="dxa" w:w="60"/>
              <w:right w:type="dxa" w:w="100"/>
            </w:tcMar>
          </w:tcPr>
          <w:p>
            <w:r>
              <w:t xml:space="preserve">Age band</w:t>
            </w:r>
          </w:p>
        </w:tc>
        <w:tc>
          <w:tcPr>
            <w:tcW w:type="dxa" w:w="3099"/>
            <w:tcMar>
              <w:top w:type="dxa" w:w="60"/>
              <w:left w:type="dxa" w:w="100"/>
              <w:bottom w:type="dxa" w:w="60"/>
              <w:right w:type="dxa" w:w="100"/>
            </w:tcMar>
          </w:tcPr>
          <w:p>
            <w:r>
              <w:t xml:space="preserve">Required</w:t>
            </w:r>
          </w:p>
        </w:tc>
        <w:tc>
          <w:tcPr>
            <w:tcW w:type="dxa" w:w="3099"/>
            <w:tcMar>
              <w:top w:type="dxa" w:w="60"/>
              <w:left w:type="dxa" w:w="100"/>
              <w:bottom w:type="dxa" w:w="60"/>
              <w:right w:type="dxa" w:w="100"/>
            </w:tcMar>
          </w:tcPr>
          <w:p>
            <w:r>
              <w:t xml:space="preserve">Under 35 · 35 to 44 · 45 to 50 · 51+</w:t>
            </w:r>
          </w:p>
        </w:tc>
      </w:tr>
      <w:tr>
        <w:trPr>
          <w:cantSplit/>
          <w:tblHeader w:val="false"/>
        </w:trPr>
        <w:tc>
          <w:tcPr>
            <w:tcW w:type="dxa" w:w="3099"/>
            <w:tcMar>
              <w:top w:type="dxa" w:w="60"/>
              <w:left w:type="dxa" w:w="100"/>
              <w:bottom w:type="dxa" w:w="60"/>
              <w:right w:type="dxa" w:w="100"/>
            </w:tcMar>
          </w:tcPr>
          <w:p>
            <w:r>
              <w:t xml:space="preserve">Monthly premium budget band</w:t>
            </w:r>
          </w:p>
        </w:tc>
        <w:tc>
          <w:tcPr>
            <w:tcW w:type="dxa" w:w="3099"/>
            <w:tcMar>
              <w:top w:type="dxa" w:w="60"/>
              <w:left w:type="dxa" w:w="100"/>
              <w:bottom w:type="dxa" w:w="60"/>
              <w:right w:type="dxa" w:w="100"/>
            </w:tcMar>
          </w:tcPr>
          <w:p>
            <w:r>
              <w:t xml:space="preserve">Required</w:t>
            </w:r>
          </w:p>
        </w:tc>
        <w:tc>
          <w:tcPr>
            <w:tcW w:type="dxa" w:w="3099"/>
            <w:tcMar>
              <w:top w:type="dxa" w:w="60"/>
              <w:left w:type="dxa" w:w="100"/>
              <w:bottom w:type="dxa" w:w="60"/>
              <w:right w:type="dxa" w:w="100"/>
            </w:tcMar>
          </w:tcPr>
          <w:p>
            <w:r>
              <w:t xml:space="preserve">Under R750 (filtered out) · R750 to R1,499 (B-tier) · R1,500+ (A-tier)</w:t>
            </w:r>
          </w:p>
        </w:tc>
      </w:tr>
      <w:tr>
        <w:trPr>
          <w:cantSplit/>
          <w:tblHeader w:val="false"/>
        </w:trPr>
        <w:tc>
          <w:tcPr>
            <w:tcW w:type="dxa" w:w="3099"/>
            <w:tcMar>
              <w:top w:type="dxa" w:w="60"/>
              <w:left w:type="dxa" w:w="100"/>
              <w:bottom w:type="dxa" w:w="60"/>
              <w:right w:type="dxa" w:w="100"/>
            </w:tcMar>
          </w:tcPr>
          <w:p>
            <w:r>
              <w:t xml:space="preserve">What you pay now (band)</w:t>
            </w:r>
          </w:p>
        </w:tc>
        <w:tc>
          <w:tcPr>
            <w:tcW w:type="dxa" w:w="3099"/>
            <w:tcMar>
              <w:top w:type="dxa" w:w="60"/>
              <w:left w:type="dxa" w:w="100"/>
              <w:bottom w:type="dxa" w:w="60"/>
              <w:right w:type="dxa" w:w="100"/>
            </w:tcMar>
          </w:tcPr>
          <w:p>
            <w:r>
              <w:t xml:space="preserve">Optional</w:t>
            </w:r>
          </w:p>
        </w:tc>
        <w:tc>
          <w:tcPr>
            <w:tcW w:type="dxa" w:w="3099"/>
            <w:tcMar>
              <w:top w:type="dxa" w:w="60"/>
              <w:left w:type="dxa" w:w="100"/>
              <w:bottom w:type="dxa" w:w="60"/>
              <w:right w:type="dxa" w:w="100"/>
            </w:tcMar>
          </w:tcPr>
          <w:p/>
        </w:tc>
      </w:tr>
      <w:tr>
        <w:trPr>
          <w:cantSplit/>
          <w:tblHeader w:val="false"/>
        </w:trPr>
        <w:tc>
          <w:tcPr>
            <w:tcW w:type="dxa" w:w="3099"/>
            <w:tcMar>
              <w:top w:type="dxa" w:w="60"/>
              <w:left w:type="dxa" w:w="100"/>
              <w:bottom w:type="dxa" w:w="60"/>
              <w:right w:type="dxa" w:w="100"/>
            </w:tcMar>
          </w:tcPr>
          <w:p>
            <w:r>
              <w:t xml:space="preserve">Smoker status</w:t>
            </w:r>
          </w:p>
        </w:tc>
        <w:tc>
          <w:tcPr>
            <w:tcW w:type="dxa" w:w="3099"/>
            <w:tcMar>
              <w:top w:type="dxa" w:w="60"/>
              <w:left w:type="dxa" w:w="100"/>
              <w:bottom w:type="dxa" w:w="60"/>
              <w:right w:type="dxa" w:w="100"/>
            </w:tcMar>
          </w:tcPr>
          <w:p>
            <w:r>
              <w:t xml:space="preserve">Optional, with express consent</w:t>
            </w:r>
          </w:p>
        </w:tc>
        <w:tc>
          <w:tcPr>
            <w:tcW w:type="dxa" w:w="3099"/>
            <w:tcMar>
              <w:top w:type="dxa" w:w="60"/>
              <w:left w:type="dxa" w:w="100"/>
              <w:bottom w:type="dxa" w:w="60"/>
              <w:right w:type="dxa" w:w="100"/>
            </w:tcMar>
          </w:tcPr>
          <w:p>
            <w:r>
              <w:t xml:space="preserve">Consent line: "used only to brief your adviser, named in the question," (clause 13.2A)</w:t>
            </w:r>
          </w:p>
        </w:tc>
      </w:tr>
      <w:tr>
        <w:trPr>
          <w:cantSplit/>
          <w:tblHeader w:val="false"/>
        </w:trPr>
        <w:tc>
          <w:tcPr>
            <w:tcW w:type="dxa" w:w="3099"/>
            <w:tcMar>
              <w:top w:type="dxa" w:w="60"/>
              <w:left w:type="dxa" w:w="100"/>
              <w:bottom w:type="dxa" w:w="60"/>
              <w:right w:type="dxa" w:w="100"/>
            </w:tcMar>
          </w:tcPr>
          <w:p>
            <w:r>
              <w:t xml:space="preserve">Income band</w:t>
            </w:r>
          </w:p>
        </w:tc>
        <w:tc>
          <w:tcPr>
            <w:tcW w:type="dxa" w:w="3099"/>
            <w:tcMar>
              <w:top w:type="dxa" w:w="60"/>
              <w:left w:type="dxa" w:w="100"/>
              <w:bottom w:type="dxa" w:w="60"/>
              <w:right w:type="dxa" w:w="100"/>
            </w:tcMar>
          </w:tcPr>
          <w:p>
            <w:r>
              <w:t xml:space="preserve">Optional</w:t>
            </w:r>
          </w:p>
        </w:tc>
        <w:tc>
          <w:tcPr>
            <w:tcW w:type="dxa" w:w="3099"/>
            <w:tcMar>
              <w:top w:type="dxa" w:w="60"/>
              <w:left w:type="dxa" w:w="100"/>
              <w:bottom w:type="dxa" w:w="60"/>
              <w:right w:type="dxa" w:w="100"/>
            </w:tcMar>
          </w:tcPr>
          <w:p>
            <w:r>
              <w:t xml:space="preserve">Band only, never exact income</w:t>
            </w:r>
          </w:p>
        </w:tc>
      </w:tr>
    </w:tbl>
    <w:p>
      <w:pPr>
        <w:spacing w:after="120"/>
      </w:pPr>
    </w:p>
    <w:p>
      <w:pPr>
        <w:tabs>
          <w:tab w:val="left" w:pos="720"/>
        </w:tabs>
        <w:spacing w:after="120"/>
        <w:ind w:left="720" w:hanging="720"/>
      </w:pPr>
      <w:r>
        <w:t xml:space="preserve">S2.3	</w:t>
      </w:r>
      <w:r>
        <w:rPr>
          <w:b/>
          <w:bCs/>
        </w:rPr>
        <w:t xml:space="preserve">Exclusions.</w:t>
      </w:r>
      <w:r>
        <w:t xml:space="preserve"> The following do not count as a Qualified Lead: (a) a Consumer under 18; (b) a Consumer whose details Lead Velocity already Delivered to the Client in the previous 90 days for the same enquiry; (c) a Consumer who withdrew consent or replied STOP before the delivery point in S2.4; (d) a Consumer whose contact details failed the checks in clause 5.8; (e) a Consumer whose stated budget is under R750; and (f) a B-tier lead the Client declined.</w:t>
      </w:r>
    </w:p>
    <w:p>
      <w:pPr>
        <w:tabs>
          <w:tab w:val="left" w:pos="720"/>
        </w:tabs>
        <w:spacing w:after="120"/>
        <w:ind w:left="720" w:hanging="720"/>
      </w:pPr>
      <w:r>
        <w:t xml:space="preserve">S2.4	</w:t>
      </w:r>
      <w:r>
        <w:rPr>
          <w:b/>
          <w:bCs/>
        </w:rPr>
        <w:t xml:space="preserve">Delivery point.</w:t>
      </w:r>
      <w:r>
        <w:t xml:space="preserve"> A Qualified Lead is Delivered at the moment criterion 6 is met (clause 5.2). Lead Velocity then sends the Client, through the channel in Schedule 4, the Consumer's tier label (A or B), name and surname, contact numbers, email, appointment details (a Microsoft Teams appointment in the Client's calendar) and answers to the questions in S2.2.</w:t>
      </w:r>
    </w:p>
    <w:p>
      <w:pPr>
        <w:tabs>
          <w:tab w:val="left" w:pos="720"/>
        </w:tabs>
        <w:spacing w:after="120"/>
        <w:ind w:left="720" w:hanging="720"/>
      </w:pPr>
      <w:r>
        <w:t xml:space="preserve">S2.5	</w:t>
      </w:r>
      <w:r>
        <w:rPr>
          <w:b/>
          <w:bCs/>
        </w:rPr>
        <w:t xml:space="preserve">Reminders.</w:t>
      </w:r>
      <w:r>
        <w:t xml:space="preserve"> Lead Velocity sends logistics-only reminders to the Consumer up to 10 minutes before the appointment (clauses 3.8 and 5.4).</w:t>
      </w:r>
    </w:p>
    <w:p>
      <w:pPr>
        <w:tabs>
          <w:tab w:val="left" w:pos="720"/>
        </w:tabs>
        <w:spacing w:after="120"/>
        <w:ind w:left="720" w:hanging="720"/>
      </w:pPr>
      <w:r>
        <w:t xml:space="preserve">S2.6	</w:t>
      </w:r>
      <w:r>
        <w:rPr>
          <w:b/>
          <w:bCs/>
        </w:rPr>
        <w:t xml:space="preserve">After Delivery.</w:t>
      </w:r>
      <w:r>
        <w:t xml:space="preserve"> What happens during and after the appointment is solely the Client's responsibility (clause 4.4). Lead Velocity does not guarantee attendance, suitability, sales or policy outcomes (clause 15).</w:t>
      </w:r>
    </w:p>
    <w:p>
      <w:pPr>
        <w:pStyle w:val="Heading1"/>
        <w:keepNext/>
        <w:pageBreakBefore/>
      </w:pPr>
      <w:r>
        <w:t xml:space="preserve">Schedule 3 — Replacement proof protocol (no-shows and uncontactable leads)</w:t>
      </w:r>
    </w:p>
    <w:p>
      <w:pPr>
        <w:tabs>
          <w:tab w:val="left" w:pos="720"/>
        </w:tabs>
        <w:spacing w:after="120"/>
        <w:ind w:left="720" w:hanging="720"/>
      </w:pPr>
      <w:r>
        <w:t xml:space="preserve">S3.1	</w:t>
      </w:r>
      <w:r>
        <w:rPr>
          <w:b/>
          <w:bCs/>
        </w:rPr>
        <w:t xml:space="preserve">When a Consumer is a no-show.</w:t>
      </w:r>
      <w:r>
        <w:t xml:space="preserve"> A Qualified Lead is a No-Show Lead only if the Consumer has not joined or arrived at the appointment by 10 minutes after the booked start time, and the Client has followed this Schedule.</w:t>
      </w:r>
    </w:p>
    <w:p>
      <w:pPr>
        <w:tabs>
          <w:tab w:val="left" w:pos="720"/>
        </w:tabs>
        <w:spacing w:after="120"/>
        <w:ind w:left="720" w:hanging="720"/>
      </w:pPr>
      <w:r>
        <w:t xml:space="preserve">S3.2	</w:t>
      </w:r>
      <w:r>
        <w:rPr>
          <w:b/>
          <w:bCs/>
        </w:rPr>
        <w:t xml:space="preserve">Wait.</w:t>
      </w:r>
      <w:r>
        <w:t xml:space="preserve"> The Client must wait at least 10 minutes past the booked start time, at the booked location or in the booked virtual meeting.</w:t>
      </w:r>
    </w:p>
    <w:p>
      <w:pPr>
        <w:tabs>
          <w:tab w:val="left" w:pos="720"/>
        </w:tabs>
        <w:spacing w:after="120"/>
        <w:ind w:left="720" w:hanging="720"/>
      </w:pPr>
      <w:r>
        <w:t xml:space="preserve">S3.3	</w:t>
      </w:r>
      <w:r>
        <w:rPr>
          <w:b/>
          <w:bCs/>
        </w:rPr>
        <w:t xml:space="preserve">Send proof immediately.</w:t>
      </w:r>
      <w:r>
        <w:t xml:space="preserve"> Immediately after the 10-minute wait, and in any event no later than </w:t>
      </w:r>
      <w:r>
        <w:rPr>
          <w:highlight w:val="yellow"/>
          <w:highlightCs w:val="yellow"/>
        </w:rPr>
        <w:t xml:space="preserve">[30]</w:t>
      </w:r>
      <w:r>
        <w:t xml:space="preserve"> minutes after the booked start time, the Client must send Lead Velocity, through the channel in Schedule 4:</w:t>
      </w:r>
    </w:p>
    <w:p>
      <w:pPr>
        <w:tabs>
          <w:tab w:val="left" w:pos="1287"/>
        </w:tabs>
        <w:spacing w:after="80"/>
        <w:ind w:left="1287" w:hanging="567"/>
      </w:pPr>
      <w:r>
        <w:t xml:space="preserve">(a)	</w:t>
      </w:r>
      <w:r>
        <w:t xml:space="preserve">for a face-to-face appointment: a photograph of the meeting location showing a visible time indication (for example a clock, a phone lock screen or a time-stamped receipt), showing the type of place only, with no people, no street address and no house number visible; or</w:t>
      </w:r>
    </w:p>
    <w:p>
      <w:pPr>
        <w:tabs>
          <w:tab w:val="left" w:pos="1287"/>
        </w:tabs>
        <w:spacing w:after="80"/>
        <w:ind w:left="1287" w:hanging="567"/>
      </w:pPr>
      <w:r>
        <w:t xml:space="preserve">(b)	</w:t>
      </w:r>
      <w:r>
        <w:t xml:space="preserve">for a Microsoft Teams or other virtual appointment: a screenshot of the call showing the time and that only the Client was present.</w:t>
      </w:r>
    </w:p>
    <w:p>
      <w:pPr>
        <w:tabs>
          <w:tab w:val="left" w:pos="720"/>
        </w:tabs>
        <w:spacing w:after="120"/>
        <w:ind w:left="720" w:hanging="720"/>
      </w:pPr>
      <w:r>
        <w:t xml:space="preserve">S3.4	</w:t>
      </w:r>
      <w:r>
        <w:rPr>
          <w:b/>
          <w:bCs/>
        </w:rPr>
        <w:t xml:space="preserve">When a Consumer is uncontactable.</w:t>
      </w:r>
      <w:r>
        <w:t xml:space="preserve"> A Qualified Lead is an Uncontactable Lead only if one of the following applies and the Client has followed this Schedule:</w:t>
      </w:r>
    </w:p>
    <w:p>
      <w:pPr>
        <w:tabs>
          <w:tab w:val="left" w:pos="1287"/>
        </w:tabs>
        <w:spacing w:after="80"/>
        <w:ind w:left="1287" w:hanging="567"/>
      </w:pPr>
      <w:r>
        <w:t xml:space="preserve">(a)	</w:t>
      </w:r>
      <w:r>
        <w:t xml:space="preserve">for an appointment held by phone or WhatsApp call: the Client called the Consumer at the booked start time and again at least 10 minutes later, on every phone number in the Lead Data, and the Consumer answered neither call; or</w:t>
      </w:r>
    </w:p>
    <w:p>
      <w:pPr>
        <w:tabs>
          <w:tab w:val="left" w:pos="1287"/>
        </w:tabs>
        <w:spacing w:after="80"/>
        <w:ind w:left="1287" w:hanging="567"/>
      </w:pPr>
      <w:r>
        <w:t xml:space="preserve">(b)	</w:t>
      </w:r>
      <w:r>
        <w:t xml:space="preserve">in any other case after Delivery, and before the Consumer has attended any appointment with the Client: the Client made at least 3 attempts to reach the Consumer, by phone call or WhatsApp message to the numbers in the Lead Data, over at least 72 hours, and the Consumer did not answer or reply to any of them.</w:t>
      </w:r>
    </w:p>
    <w:p>
      <w:pPr>
        <w:spacing w:after="120"/>
      </w:pPr>
      <w:r>
        <w:t xml:space="preserve">An appointment held by phone or WhatsApp call is dealt with only under this S3.4 and S3.5, never as a no-show under S3.1 to S3.3. A lead whose contact details are shown to be wrong, disconnected or someone else's is dealt with under clause 5.8(d), not under this Schedule.</w:t>
      </w:r>
    </w:p>
    <w:p>
      <w:pPr>
        <w:tabs>
          <w:tab w:val="left" w:pos="720"/>
        </w:tabs>
        <w:spacing w:after="120"/>
        <w:ind w:left="720" w:hanging="720"/>
      </w:pPr>
      <w:r>
        <w:t xml:space="preserve">S3.5	</w:t>
      </w:r>
      <w:r>
        <w:rPr>
          <w:b/>
          <w:bCs/>
        </w:rPr>
        <w:t xml:space="preserve">Proof of an uncontactable lead.</w:t>
      </w:r>
      <w:r>
        <w:t xml:space="preserve"> The Client must send Lead Velocity, through the channel in Schedule 4, a screenshot of its call log or message thread showing the Consumer's number, the date and time of each attempt, that no call was answered and that no reply was received, no later than </w:t>
      </w:r>
      <w:r>
        <w:rPr>
          <w:highlight w:val="yellow"/>
          <w:highlightCs w:val="yellow"/>
        </w:rPr>
        <w:t xml:space="preserve">[30]</w:t>
      </w:r>
      <w:r>
        <w:t xml:space="preserve"> minutes after the booked start time (for S3.4(a)) or no later than </w:t>
      </w:r>
      <w:r>
        <w:rPr>
          <w:highlight w:val="yellow"/>
          <w:highlightCs w:val="yellow"/>
        </w:rPr>
        <w:t xml:space="preserve">[24 hours]</w:t>
      </w:r>
      <w:r>
        <w:t xml:space="preserve"> after the Client's last attempt (for S3.4(b)). The screenshot must show only the Consumer's entries, with no other person's name or number visible.</w:t>
      </w:r>
    </w:p>
    <w:p>
      <w:pPr>
        <w:tabs>
          <w:tab w:val="left" w:pos="720"/>
        </w:tabs>
        <w:spacing w:after="120"/>
        <w:ind w:left="720" w:hanging="720"/>
      </w:pPr>
      <w:r>
        <w:t xml:space="preserve">S3.6	</w:t>
      </w:r>
      <w:r>
        <w:rPr>
          <w:b/>
          <w:bCs/>
        </w:rPr>
        <w:t xml:space="preserve">Late or missing proof.</w:t>
      </w:r>
      <w:r>
        <w:t xml:space="preserve"> If proof is sent late, is incomplete or is not sent, the lead stands as Delivered and no replacement will be considered.</w:t>
      </w:r>
    </w:p>
    <w:p>
      <w:pPr>
        <w:tabs>
          <w:tab w:val="left" w:pos="720"/>
        </w:tabs>
        <w:spacing w:after="120"/>
        <w:ind w:left="720" w:hanging="720"/>
      </w:pPr>
      <w:r>
        <w:t xml:space="preserve">S3.7	</w:t>
      </w:r>
      <w:r>
        <w:rPr>
          <w:b/>
          <w:bCs/>
        </w:rPr>
        <w:t xml:space="preserve">Lead Velocity's check.</w:t>
      </w:r>
      <w:r>
        <w:t xml:space="preserve"> Lead Velocity may contact the Consumer to confirm what happened and to offer a new appointment with the Client. If the Consumer says the Client did not attend, cancelled or moved the appointment, or did not call or message them, no replacement is due.</w:t>
      </w:r>
    </w:p>
    <w:p>
      <w:pPr>
        <w:tabs>
          <w:tab w:val="left" w:pos="720"/>
        </w:tabs>
        <w:spacing w:after="120"/>
        <w:ind w:left="720" w:hanging="720"/>
      </w:pPr>
      <w:r>
        <w:t xml:space="preserve">S3.8	</w:t>
      </w:r>
      <w:r>
        <w:rPr>
          <w:b/>
          <w:bCs/>
        </w:rPr>
        <w:t xml:space="preserve">Decision.</w:t>
      </w:r>
      <w:r>
        <w:t xml:space="preserve"> Lead Velocity decides each request in its discretion under clause 7, within the weekly maximum of 3 per Calendar Week for No-Show Leads and Uncontactable Leads together, and notifies the Client of its decision in writing. A lead earns at most one Replacement Lead.</w:t>
      </w:r>
    </w:p>
    <w:p>
      <w:pPr>
        <w:tabs>
          <w:tab w:val="left" w:pos="720"/>
        </w:tabs>
        <w:spacing w:after="120"/>
        <w:ind w:left="720" w:hanging="720"/>
      </w:pPr>
      <w:r>
        <w:t xml:space="preserve">S3.9	</w:t>
      </w:r>
      <w:r>
        <w:rPr>
          <w:b/>
          <w:bCs/>
        </w:rPr>
        <w:t xml:space="preserve">Not a replacement trigger.</w:t>
      </w:r>
      <w:r>
        <w:t xml:space="preserve"> A Consumer who attends but does not buy, is unsuitable, or is not interested after the appointment is not a no-show. A Consumer who answers or replies to any of the Client's attempts, or who has attended an appointment with the Client and later stops answering, is not an Uncontactable Lead.</w:t>
      </w:r>
    </w:p>
    <w:p>
      <w:pPr>
        <w:tabs>
          <w:tab w:val="left" w:pos="720"/>
        </w:tabs>
        <w:spacing w:after="120"/>
        <w:ind w:left="720" w:hanging="720"/>
      </w:pPr>
      <w:r>
        <w:t xml:space="preserve">S3.10	</w:t>
      </w:r>
      <w:r>
        <w:rPr>
          <w:b/>
          <w:bCs/>
        </w:rPr>
        <w:t xml:space="preserve">Retention of proof.</w:t>
      </w:r>
      <w:r>
        <w:t xml:space="preserve"> Lead Velocity keeps no-show and uncontactable-lead proof only for as long as needed to decide the request and any dispute about it, and in any event deletes it within </w:t>
      </w:r>
      <w:r>
        <w:rPr>
          <w:highlight w:val="yellow"/>
          <w:highlightCs w:val="yellow"/>
        </w:rPr>
        <w:t xml:space="preserve">[90]</w:t>
      </w:r>
      <w:r>
        <w:t xml:space="preserve"> days.</w:t>
      </w:r>
    </w:p>
    <w:p>
      <w:pPr>
        <w:pStyle w:val="Heading1"/>
        <w:keepNext/>
        <w:pageBreakBefore/>
      </w:pPr>
      <w:r>
        <w:t xml:space="preserve">Schedule 4 — Data sharing terms</w:t>
      </w:r>
    </w:p>
    <w:p>
      <w:pPr>
        <w:tabs>
          <w:tab w:val="left" w:pos="720"/>
        </w:tabs>
        <w:spacing w:after="120"/>
        <w:ind w:left="720" w:hanging="720"/>
      </w:pPr>
      <w:r>
        <w:t xml:space="preserve">S4.1	</w:t>
      </w:r>
      <w:r>
        <w:rPr>
          <w:b/>
          <w:bCs/>
        </w:rPr>
        <w:t xml:space="preserve">Roles.</w:t>
      </w:r>
      <w:r>
        <w:t xml:space="preserve"> Lead Velocity and the Client are each independent responsible parties (clause 13.1).</w:t>
      </w:r>
    </w:p>
    <w:p>
      <w:pPr>
        <w:tabs>
          <w:tab w:val="left" w:pos="720"/>
        </w:tabs>
        <w:spacing w:after="120"/>
        <w:ind w:left="720" w:hanging="720"/>
      </w:pPr>
      <w:r>
        <w:t xml:space="preserve">S4.2	</w:t>
      </w:r>
      <w:r>
        <w:rPr>
          <w:b/>
          <w:bCs/>
        </w:rPr>
        <w:t xml:space="preserve">Data shared with the Client.</w:t>
      </w:r>
      <w:r>
        <w:t xml:space="preserve"> For each Qualified Lead (and, for the Accept / Decline choice, each B-tier lead offered): tier label (A or B), name and surname, mobile and contact numbers, email address (and alternative email if given), reason(s) for the call (with any flag under clause 5.9), age band, budget band, and, if the Consumer chose to give them, current spend band, income band and smoker status (smoker status only with the Consumer's express consent under clause 13.2A), appointment date, time and Microsoft Teams link, and any appointment question the Consumer asked (with any other health or identity details removed).</w:t>
      </w:r>
    </w:p>
    <w:p>
      <w:pPr>
        <w:tabs>
          <w:tab w:val="left" w:pos="720"/>
        </w:tabs>
        <w:spacing w:after="120"/>
        <w:ind w:left="720" w:hanging="720"/>
      </w:pPr>
      <w:r>
        <w:t xml:space="preserve">S4.3	</w:t>
      </w:r>
      <w:r>
        <w:rPr>
          <w:b/>
          <w:bCs/>
        </w:rPr>
        <w:t xml:space="preserve">Data shared with Lead Velocity by the Client.</w:t>
      </w:r>
      <w:r>
        <w:t xml:space="preserve"> Calendar availability, Client Materials, Accept / Decline choices for B-tier leads, and attendance and contactability feedback and no-show and uncontactable-lead proof under Schedule 3.</w:t>
      </w:r>
    </w:p>
    <w:p>
      <w:pPr>
        <w:tabs>
          <w:tab w:val="left" w:pos="720"/>
        </w:tabs>
        <w:spacing w:after="120"/>
        <w:ind w:left="720" w:hanging="720"/>
      </w:pPr>
      <w:r>
        <w:t xml:space="preserve">S4.4	</w:t>
      </w:r>
      <w:r>
        <w:rPr>
          <w:b/>
          <w:bCs/>
        </w:rPr>
        <w:t xml:space="preserve">Channel.</w:t>
      </w:r>
      <w:r>
        <w:t xml:space="preserve"> Lead Data is shared with the Client only by WhatsApp to the Client's business WhatsApp number and by email to the Client's notice email address, or through the Lead Velocity client portal once Lead Velocity makes it available. Lead Data is never sent as an unencrypted spreadsheet attachment.</w:t>
      </w:r>
    </w:p>
    <w:p>
      <w:pPr>
        <w:tabs>
          <w:tab w:val="left" w:pos="720"/>
        </w:tabs>
        <w:spacing w:after="120"/>
        <w:ind w:left="720" w:hanging="720"/>
      </w:pPr>
      <w:r>
        <w:t xml:space="preserve">S4.5	</w:t>
      </w:r>
      <w:r>
        <w:rPr>
          <w:b/>
          <w:bCs/>
        </w:rPr>
        <w:t xml:space="preserve">Intro Card and first message.</w:t>
      </w:r>
      <w:r>
        <w:t xml:space="preserve"> The first WhatsApp message to each Consumer is the Client's welcome card. It states the Client's name, practice name and FSP number, and that SortMyCover gives no financial advice, product comparisons or premium quotes. Lead Velocity keeps the approved text with the Origin Records.</w:t>
      </w:r>
    </w:p>
    <w:p>
      <w:pPr>
        <w:tabs>
          <w:tab w:val="left" w:pos="720"/>
        </w:tabs>
        <w:spacing w:after="120"/>
        <w:ind w:left="720" w:hanging="720"/>
      </w:pPr>
      <w:r>
        <w:t xml:space="preserve">S4.6	</w:t>
      </w:r>
      <w:r>
        <w:rPr>
          <w:b/>
          <w:bCs/>
        </w:rPr>
        <w:t xml:space="preserve">Lead Velocity's retention.</w:t>
      </w:r>
      <w:r>
        <w:t xml:space="preserve"> Lead Velocity keeps:</w:t>
      </w:r>
    </w:p>
    <w:p>
      <w:pPr>
        <w:tabs>
          <w:tab w:val="left" w:pos="1287"/>
        </w:tabs>
        <w:spacing w:after="80"/>
        <w:ind w:left="1287" w:hanging="567"/>
      </w:pPr>
      <w:r>
        <w:t xml:space="preserve">(a)	</w:t>
      </w:r>
      <w:r>
        <w:t xml:space="preserve">Lead Data used for introductions: </w:t>
      </w:r>
      <w:r>
        <w:rPr>
          <w:highlight w:val="yellow"/>
          <w:highlightCs w:val="yellow"/>
        </w:rPr>
        <w:t xml:space="preserve">[12]</w:t>
      </w:r>
      <w:r>
        <w:t xml:space="preserve"> months after last contact with the Consumer;</w:t>
      </w:r>
    </w:p>
    <w:p>
      <w:pPr>
        <w:tabs>
          <w:tab w:val="left" w:pos="1287"/>
        </w:tabs>
        <w:spacing w:after="80"/>
        <w:ind w:left="1287" w:hanging="567"/>
      </w:pPr>
      <w:r>
        <w:t xml:space="preserve">(b)	</w:t>
      </w:r>
      <w:r>
        <w:t xml:space="preserve">Origin Records (consent text, time stamp, Campaign and UTM data, submission record and message log): </w:t>
      </w:r>
      <w:r>
        <w:rPr>
          <w:highlight w:val="yellow"/>
          <w:highlightCs w:val="yellow"/>
        </w:rPr>
        <w:t xml:space="preserve">[5]</w:t>
      </w:r>
      <w:r>
        <w:t xml:space="preserve"> years, for audit, dispute and regulatory purposes;</w:t>
      </w:r>
    </w:p>
    <w:p>
      <w:pPr>
        <w:tabs>
          <w:tab w:val="left" w:pos="1287"/>
        </w:tabs>
        <w:spacing w:after="80"/>
        <w:ind w:left="1287" w:hanging="567"/>
      </w:pPr>
      <w:r>
        <w:t xml:space="preserve">(c)	</w:t>
      </w:r>
      <w:r>
        <w:t xml:space="preserve">hashed or anonymised data used for marketing optimisation: for as long as it is used for that purpose, subject to the Consumer's right to object; and</w:t>
      </w:r>
    </w:p>
    <w:p>
      <w:pPr>
        <w:tabs>
          <w:tab w:val="left" w:pos="1287"/>
        </w:tabs>
        <w:spacing w:after="80"/>
        <w:ind w:left="1287" w:hanging="567"/>
      </w:pPr>
      <w:r>
        <w:t xml:space="preserve">(d)	</w:t>
      </w:r>
      <w:r>
        <w:t xml:space="preserve">smoker status: </w:t>
      </w:r>
      <w:r>
        <w:rPr>
          <w:highlight w:val="yellow"/>
          <w:highlightCs w:val="yellow"/>
        </w:rPr>
        <w:t xml:space="preserve">[30]</w:t>
      </w:r>
      <w:r>
        <w:t xml:space="preserve"> days after the appointment, then deleted.</w:t>
      </w:r>
    </w:p>
    <w:p>
      <w:pPr>
        <w:pBdr>
          <w:left w:val="single" w:color="A6A6A6" w:sz="18" w:space="6"/>
        </w:pBdr>
        <w:shd w:fill="F2F2F2" w:color="auto" w:val="clear"/>
        <w:spacing w:after="160" w:before="60"/>
        <w:ind w:left="720" w:right="0"/>
      </w:pPr>
      <w:r>
        <w:rPr>
          <w:i/>
          <w:iCs/>
          <w:color w:val="595959"/>
          <w:sz w:val="18"/>
          <w:szCs w:val="18"/>
        </w:rPr>
        <w:t xml:space="preserve">[LAWYER REVIEW (D6): confirm the 30-day retention period for smoker status.]</w:t>
      </w:r>
    </w:p>
    <w:p>
      <w:pPr>
        <w:tabs>
          <w:tab w:val="left" w:pos="720"/>
        </w:tabs>
        <w:spacing w:after="120"/>
        <w:ind w:left="720" w:hanging="720"/>
      </w:pPr>
      <w:r>
        <w:t xml:space="preserve">S4.7	</w:t>
      </w:r>
      <w:r>
        <w:rPr>
          <w:b/>
          <w:bCs/>
        </w:rPr>
        <w:t xml:space="preserve">Client's retention.</w:t>
      </w:r>
      <w:r>
        <w:t xml:space="preserve"> The Client keeps Lead Data in line with its own obligations under POPIA and the FAIS Act (including record-keeping under section 18 of the FAIS Act).</w:t>
      </w:r>
    </w:p>
    <w:p>
      <w:pPr>
        <w:tabs>
          <w:tab w:val="left" w:pos="720"/>
        </w:tabs>
        <w:spacing w:after="120"/>
        <w:ind w:left="720" w:hanging="720"/>
      </w:pPr>
      <w:r>
        <w:t xml:space="preserve">S4.8	</w:t>
      </w:r>
      <w:r>
        <w:rPr>
          <w:b/>
          <w:bCs/>
        </w:rPr>
        <w:t xml:space="preserve">Opt-outs.</w:t>
      </w:r>
      <w:r>
        <w:t xml:space="preserve"> Each Party notifies the other of an opt-out, objection or deletion request within 2 Business Days (clause 13.4). Lead Velocity keeps a suppression list so that it never contacts an opted-out Consumer again.</w:t>
      </w:r>
    </w:p>
    <w:p>
      <w:pPr>
        <w:tabs>
          <w:tab w:val="left" w:pos="720"/>
        </w:tabs>
        <w:spacing w:after="120"/>
        <w:ind w:left="720" w:hanging="720"/>
      </w:pPr>
      <w:r>
        <w:t xml:space="preserve">S4.9	</w:t>
      </w:r>
      <w:r>
        <w:rPr>
          <w:b/>
          <w:bCs/>
        </w:rPr>
        <w:t xml:space="preserve">Breach contact.</w:t>
      </w:r>
      <w:r>
        <w:t xml:space="preserve"> Security breach notices under clause 13.7 go to: for Lead Velocity, Jonathan Jettoo (Information Officer), howzit@leadvelocity.co.za; for the Client, </w:t>
      </w:r>
      <w:r>
        <w:rPr>
          <w:highlight w:val="yellow"/>
          <w:highlightCs w:val="yellow"/>
        </w:rPr>
        <w:t xml:space="preserve">[CLIENT INFORMATION OFFICER NAME]</w:t>
      </w:r>
      <w:r>
        <w:t xml:space="preserve">, </w:t>
      </w:r>
      <w:r>
        <w:rPr>
          <w:highlight w:val="yellow"/>
          <w:highlightCs w:val="yellow"/>
        </w:rPr>
        <w:t xml:space="preserve">[CLIENT EMAIL]</w:t>
      </w:r>
      <w:r>
        <w:t xml:space="preserve">.</w:t>
      </w:r>
    </w:p>
    <w:p>
      <w:pPr>
        <w:tabs>
          <w:tab w:val="left" w:pos="720"/>
        </w:tabs>
        <w:spacing w:after="120"/>
        <w:ind w:left="720" w:hanging="720"/>
      </w:pPr>
      <w:r>
        <w:t xml:space="preserve">S4.10	</w:t>
      </w:r>
      <w:r>
        <w:rPr>
          <w:b/>
          <w:bCs/>
        </w:rPr>
        <w:t xml:space="preserve">Cross-border.</w:t>
      </w:r>
      <w:r>
        <w:t xml:space="preserve"> Lead Velocity's service providers that may process Lead Data outside South Africa are listed in its privacy notice at sortmycover.co.za/privacy (clause 13.8).</w:t>
      </w:r>
    </w:p>
    <w:p>
      <w:pPr>
        <w:spacing w:after="120"/>
      </w:pPr>
      <w:r>
        <w:t xml:space="preserve">---</w:t>
      </w:r>
    </w:p>
    <w:sectPr>
      <w:headerReference w:type="default" r:id="rId7"/>
      <w:footerReference w:type="default" r:id="rId8"/>
      <w:pgSz w:w="11906" w:h="16838" w:orient="portrait"/>
      <w:pgMar w:top="1304" w:right="1304" w:bottom="1304" w:left="1304" w:header="600" w:footer="6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Lead Velocity — Lead Generation Services Agreement LGSA-v0.3   ·   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b/>
        <w:bCs/>
        <w:color w:val="C00000"/>
        <w:sz w:val="18"/>
        <w:szCs w:val="18"/>
      </w:rPr>
      <w:t xml:space="preserve">DRAFT — for attorney review. Not legal advice.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pPr>
        <w:spacing w:line="264"/>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240" w:before="120"/>
      <w:jc w:val="center"/>
    </w:pPr>
    <w:rPr>
      <w:rFonts w:ascii="Arial" w:cs="Arial" w:eastAsia="Arial" w:hAnsi="Arial"/>
      <w:b/>
      <w:bCs/>
      <w:color w:val="1F3864"/>
      <w:sz w:val="32"/>
      <w:szCs w:val="32"/>
    </w:rPr>
  </w:style>
  <w:style w:type="paragraph" w:styleId="Heading1">
    <w:name w:val="Heading 1"/>
    <w:basedOn w:val="Normal"/>
    <w:next w:val="Normal"/>
    <w:qFormat/>
    <w:pPr>
      <w:spacing w:after="120" w:before="240"/>
      <w:outlineLvl w:val="0"/>
    </w:pPr>
    <w:rPr>
      <w:rFonts w:ascii="Arial" w:cs="Arial" w:eastAsia="Arial" w:hAnsi="Arial"/>
      <w:b/>
      <w:bCs/>
      <w:color w:val="1F3864"/>
      <w:sz w:val="24"/>
      <w:szCs w:val="24"/>
    </w:rPr>
  </w:style>
  <w:style w:type="paragraph" w:styleId="Heading2">
    <w:name w:val="Heading 2"/>
    <w:basedOn w:val="Normal"/>
    <w:next w:val="Normal"/>
    <w:qFormat/>
    <w:pPr>
      <w:spacing w:after="120" w:before="240"/>
      <w:outlineLvl w:val="1"/>
    </w:pPr>
    <w:rPr>
      <w:rFonts w:ascii="Arial" w:cs="Arial" w:eastAsia="Arial" w:hAnsi="Arial"/>
      <w:b/>
      <w:bCs/>
      <w:color w:val="1F386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Lead Generation Services Agreement</dc:title>
  <dc:creator>Lead Velocity (Pty) Ltd</dc:creator>
  <dc:description>DRAFT — for attorney review. Not legal advice.</dc:description>
  <cp:lastModifiedBy>Un-named</cp:lastModifiedBy>
  <cp:revision>1</cp:revision>
  <dcterms:created xsi:type="dcterms:W3CDTF">2026-10-12T22:13:03.316Z</dcterms:created>
  <dcterms:modified xsi:type="dcterms:W3CDTF">2026-10-12T22:13:03.326Z</dcterms:modified>
</cp:coreProperties>
</file>

<file path=docProps/custom.xml><?xml version="1.0" encoding="utf-8"?>
<Properties xmlns="http://schemas.openxmlformats.org/officeDocument/2006/custom-properties" xmlns:vt="http://schemas.openxmlformats.org/officeDocument/2006/docPropsVTypes"/>
</file>