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E0E1C"/>
          <w:sz w:val="44"/>
        </w:rPr>
        <w:br/>
        <w:br/>
        <w:br/>
        <w:br/>
        <w:t>LAB REPORT OCR SYSTEM USING YOLOV8 AND MULTI-ENGINE OCR</w:t>
        <w:br/>
      </w:r>
    </w:p>
    <w:p>
      <w:pPr>
        <w:jc w:val="center"/>
      </w:pPr>
      <w:r>
        <w:rPr>
          <w:color w:val="64646E"/>
          <w:sz w:val="28"/>
        </w:rPr>
        <w:t>A Deep Learning Based Computer Vision and Fallback OCR System for Laboratory Report Digitization</w:t>
        <w:br/>
        <w:br/>
        <w:br/>
        <w:br/>
      </w:r>
    </w:p>
    <w:p>
      <w:pPr>
        <w:jc w:val="center"/>
      </w:pPr>
      <w:r>
        <w:rPr>
          <w:i/>
          <w:sz w:val="22"/>
        </w:rPr>
        <w:t>Submitted for Project Documentation &amp; Portfolio Reference</w:t>
        <w:br/>
      </w:r>
    </w:p>
    <w:p>
      <w:pPr>
        <w:jc w:val="center"/>
      </w:pPr>
      <w:r>
        <w:rPr>
          <w:sz w:val="22"/>
        </w:rPr>
        <w:br/>
        <w:t>Date: July 1, 2026</w:t>
        <w:br/>
      </w:r>
    </w:p>
    <w:p>
      <w:r>
        <w:br w:type="page"/>
      </w:r>
    </w:p>
    <w:p>
      <w:pPr>
        <w:pStyle w:val="Heading1"/>
      </w:pPr>
      <w:r>
        <w:t>Certificate of Completion</w:t>
      </w:r>
    </w:p>
    <w:p>
      <w:r>
        <w:br/>
        <w:t>This is to certify that the project titled 'Lab Report OCR System Using YOLOv8 and Multi-Engine OCR' has been successfully completed. The project exhibits modular software architecture, high-performance object detection using YOLOv8, robust dual-engine fallback optical character recognition, and a futuristic user interface built on Streamlit.</w:t>
        <w:br/>
        <w:br/>
      </w:r>
    </w:p>
    <w:p>
      <w:r>
        <w:t>_________________________</w:t>
        <w:br/>
        <w:t>Project Guide / Supervisor</w:t>
      </w:r>
    </w:p>
    <w:p>
      <w:r>
        <w:br w:type="page"/>
      </w:r>
    </w:p>
    <w:p>
      <w:pPr>
        <w:pStyle w:val="Heading1"/>
      </w:pPr>
      <w:r>
        <w:t>Acknowledgement</w:t>
      </w:r>
    </w:p>
    <w:p>
      <w:r>
        <w:br/>
        <w:t>We express our deepest gratitude to our project guide, mentors, and peers who provided invaluable feedback throughout the development of the Lab Report OCR System. We also acknowledge the open-source community behind Ultralytics YOLOv8, Tesseract OCR, EasyOCR, and Streamlit, without whom this deep learning pipeline could not have been realized.</w:t>
        <w:br/>
        <w:br/>
      </w:r>
    </w:p>
    <w:p>
      <w:r>
        <w:br w:type="page"/>
      </w:r>
    </w:p>
    <w:p>
      <w:pPr>
        <w:pStyle w:val="Heading1"/>
      </w:pPr>
      <w:r>
        <w:t>Abstract</w:t>
      </w:r>
    </w:p>
    <w:p>
      <w:r>
        <w:br/>
        <w:t>Laboratory report digitization is a crucial task in modern medical informatics, yet it is often hampered by the structural variety of reports and OCR limitations on low-contrast elements. This document describes the design, implementation, and evaluation of the 'Lab Report OCR System'. The system employs a custom-trained YOLOv8 object detection model to identify nine distinct structural classes-including Patient Name, Test Name, Value, Unit, Reference Range, and Clinical Significance-with a mean Average Precision (mAP@50) of 98.7% over a 50-epoch training run. Following localization, detected bounding boxes are sorted using a horizontal band reading-order algorithm to maintain context. Extracted fields are processed through an image preprocessing pipeline (resizing, denoising, sharpening, and binarization) and dispatched to a multi-engine OCR module (Tesseract and EasyOCR) with an automatic fallback scheme. The system runs locally via a responsive Streamlit interface, manages run logs structurally, and exports results to CSV, JSON, Excel, and unified ZIP archives. Testing validation across unit, integration, and user-acceptance phases proves the system's operational viability and performance efficiency in clinical digitization tasks.</w:t>
      </w:r>
    </w:p>
    <w:p>
      <w:r>
        <w:br w:type="page"/>
      </w:r>
    </w:p>
    <w:p>
      <w:pPr>
        <w:pStyle w:val="Heading1"/>
      </w:pPr>
      <w:r>
        <w:t>Chapter 1: Introduction</w:t>
      </w:r>
    </w:p>
    <w:p>
      <w:pPr>
        <w:pStyle w:val="Heading2"/>
      </w:pPr>
      <w:r>
        <w:t>1.1 Background</w:t>
      </w:r>
    </w:p>
    <w:p>
      <w:r>
        <w:t>Medical informatics has experienced a significant paradigm shift towards complete digital transformation. However, a major bottleneck remains in processing incoming physical records or legacy formats. Laboratory reports, which hold critical physiological parameters, are routinely generated as unstructured scans or physical paper. Converting these documents manually is time-consuming and error-prone.</w:t>
      </w:r>
    </w:p>
    <w:p>
      <w:pPr>
        <w:pStyle w:val="Heading2"/>
      </w:pPr>
      <w:r>
        <w:t>1.2 Problem Statement</w:t>
      </w:r>
    </w:p>
    <w:p>
      <w:r>
        <w:t>Standard optical character recognition (OCR) tools process documents linearly, resulting in unstructured text blobs. In medical digitization, spatial relationships are vital. For example, associating a 'Value' and a 'Unit' with the correct 'Test Name' requires spatial understanding. Furthermore, direct OCR of scanned reports fails on poor contrast or specialized medical fonts.</w:t>
      </w:r>
    </w:p>
    <w:p>
      <w:pPr>
        <w:pStyle w:val="Heading2"/>
      </w:pPr>
      <w:r>
        <w:t>1.3 Existing System</w:t>
      </w:r>
    </w:p>
    <w:p>
      <w:r>
        <w:t>Existing systems either rely on manual data entry by trained clerks, which is highly inefficient and error-prone, or use general-purpose commercial OCR services. Commercial OCR tools lack field classification capabilities, requiring custom post-processing scripts for every report template type.</w:t>
      </w:r>
    </w:p>
    <w:p>
      <w:pPr>
        <w:pStyle w:val="Heading2"/>
      </w:pPr>
      <w:r>
        <w:t>1.4 Proposed System</w:t>
      </w:r>
    </w:p>
    <w:p>
      <w:r>
        <w:t>The proposed Lab Report OCR System combines deep learning object detection (YOLOv8) with a robust multi-engine OCR fallback (Tesseract and EasyOCR). By first identifying regions of interest (ROI) representing report fields, the system crops and processes only relevant segments, ensuring high extraction accuracy and structured output.</w:t>
      </w:r>
    </w:p>
    <w:p>
      <w:pPr>
        <w:pStyle w:val="Heading2"/>
      </w:pPr>
      <w:r>
        <w:t>1.5 Objectives</w:t>
      </w:r>
    </w:p>
    <w:p>
      <w:r>
        <w:t>* Design a deep learning pipeline to segment laboratory reports.</w:t>
        <w:br/>
        <w:t>* Fine-tune a YOLOv8 object detector for nine specific report fields.</w:t>
        <w:br/>
        <w:t>* Implement a natural reading-order sorting algorithm for localized fields.</w:t>
        <w:br/>
        <w:t>* Build a multi-engine OCR runner featuring auto-fallback.</w:t>
        <w:br/>
        <w:t>* Provide a responsive, futuristic interface with rich export formats (Excel, JSON, ZIP).</w:t>
      </w:r>
    </w:p>
    <w:p>
      <w:r>
        <w:br w:type="page"/>
      </w:r>
    </w:p>
    <w:p>
      <w:pPr>
        <w:pStyle w:val="Heading1"/>
      </w:pPr>
      <w:r>
        <w:t>Chapter 2: Literature Review</w:t>
      </w:r>
    </w:p>
    <w:p>
      <w:pPr>
        <w:pStyle w:val="Heading2"/>
      </w:pPr>
      <w:r>
        <w:t>2.1 Optical Character Recognition</w:t>
      </w:r>
    </w:p>
    <w:p>
      <w:r>
        <w:t>OCR technology has evolved from simple template matching to complex deep learning sequence-to-sequence networks. Modern engines like Tesseract utilize Long Short-Term Memory (LSTM) recurrent networks to perform sequence recognition, while EasyOCR pairs the CRAFT text detector with a CRNN classifier.</w:t>
      </w:r>
    </w:p>
    <w:p>
      <w:pPr>
        <w:pStyle w:val="Heading2"/>
      </w:pPr>
      <w:r>
        <w:t>2.2 Computer Vision in Healthcare</w:t>
      </w:r>
    </w:p>
    <w:p>
      <w:r>
        <w:t>Computer vision in medical domains covers anatomical segmentation, diagnostic classification, and document layout analysis. Document Layout Analysis (DLA) is the foundation of digital record parsing, enabling downstream automated clinical decision systems.</w:t>
      </w:r>
    </w:p>
    <w:p>
      <w:pPr>
        <w:pStyle w:val="Heading2"/>
      </w:pPr>
      <w:r>
        <w:t>2.3 Object Detection &amp; YOLO</w:t>
      </w:r>
    </w:p>
    <w:p>
      <w:r>
        <w:t>YOLO (You Only Look Once) revolutionized object detection by treating localization as a regression task. YOLOv8, developed by Ultralytics, is an anchor-free model that separates the box regression and classification heads, yielding state-of-the-art accuracy and inference speeds.</w:t>
      </w:r>
    </w:p>
    <w:p>
      <w:pPr>
        <w:pStyle w:val="Heading2"/>
      </w:pPr>
      <w:r>
        <w:t>2.4 Related Research and References</w:t>
      </w:r>
    </w:p>
    <w:p>
      <w:r>
        <w:t>1. J. Redmon et al., 'You Only Look Once: Unified, Real-Time Object Detection,' IEEE CVPR, 2016.</w:t>
        <w:br/>
        <w:t>2. R. Smith, 'An Overview of the Tesseract OCR Engine,' ICDAR, 2007.</w:t>
        <w:br/>
        <w:t>3. CRAFT Text Detector: Baek et al., 'Character Region Awareness for Text Detection,' CVPR, 2019.</w:t>
      </w:r>
    </w:p>
    <w:p>
      <w:r>
        <w:br w:type="page"/>
      </w:r>
    </w:p>
    <w:p>
      <w:pPr>
        <w:pStyle w:val="Heading1"/>
      </w:pPr>
      <w:r>
        <w:t>Chapter 3: Requirement Analysis</w:t>
      </w:r>
    </w:p>
    <w:p>
      <w:pPr>
        <w:pStyle w:val="Heading2"/>
      </w:pPr>
      <w:r>
        <w:t>3.1 Functional Requirements</w:t>
      </w:r>
    </w:p>
    <w:tbl>
      <w:tblPr>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 Name</w:t>
            </w:r>
          </w:p>
        </w:tc>
        <w:tc>
          <w:tcPr>
            <w:tcW w:type="dxa" w:w="2880"/>
          </w:tcPr>
          <w:p>
            <w:r>
              <w:t>Description</w:t>
            </w:r>
          </w:p>
        </w:tc>
      </w:tr>
      <w:tr>
        <w:tc>
          <w:tcPr>
            <w:tcW w:type="dxa" w:w="2880"/>
          </w:tcPr>
          <w:p>
            <w:r>
              <w:t>FR-01</w:t>
            </w:r>
          </w:p>
        </w:tc>
        <w:tc>
          <w:tcPr>
            <w:tcW w:type="dxa" w:w="2880"/>
          </w:tcPr>
          <w:p>
            <w:r>
              <w:t>File Upload</w:t>
            </w:r>
          </w:p>
        </w:tc>
        <w:tc>
          <w:tcPr>
            <w:tcW w:type="dxa" w:w="2880"/>
          </w:tcPr>
          <w:p>
            <w:r>
              <w:t>Supports uploading JPEG, PNG, and multi-page PDF files.</w:t>
            </w:r>
          </w:p>
        </w:tc>
      </w:tr>
      <w:tr>
        <w:tc>
          <w:tcPr>
            <w:tcW w:type="dxa" w:w="2880"/>
          </w:tcPr>
          <w:p>
            <w:r>
              <w:t>FR-02</w:t>
            </w:r>
          </w:p>
        </w:tc>
        <w:tc>
          <w:tcPr>
            <w:tcW w:type="dxa" w:w="2880"/>
          </w:tcPr>
          <w:p>
            <w:r>
              <w:t>YOLO Inference</w:t>
            </w:r>
          </w:p>
        </w:tc>
        <w:tc>
          <w:tcPr>
            <w:tcW w:type="dxa" w:w="2880"/>
          </w:tcPr>
          <w:p>
            <w:r>
              <w:t>Detects classes like Name, Test_Name, Value, Unit, Reference_Range.</w:t>
            </w:r>
          </w:p>
        </w:tc>
      </w:tr>
      <w:tr>
        <w:tc>
          <w:tcPr>
            <w:tcW w:type="dxa" w:w="2880"/>
          </w:tcPr>
          <w:p>
            <w:r>
              <w:t>FR-03</w:t>
            </w:r>
          </w:p>
        </w:tc>
        <w:tc>
          <w:tcPr>
            <w:tcW w:type="dxa" w:w="2880"/>
          </w:tcPr>
          <w:p>
            <w:r>
              <w:t>Multi-Engine OCR</w:t>
            </w:r>
          </w:p>
        </w:tc>
        <w:tc>
          <w:tcPr>
            <w:tcW w:type="dxa" w:w="2880"/>
          </w:tcPr>
          <w:p>
            <w:r>
              <w:t>Supports Tesseract, EasyOCR, and Auto fallback engines.</w:t>
            </w:r>
          </w:p>
        </w:tc>
      </w:tr>
      <w:tr>
        <w:tc>
          <w:tcPr>
            <w:tcW w:type="dxa" w:w="2880"/>
          </w:tcPr>
          <w:p>
            <w:r>
              <w:t>FR-04</w:t>
            </w:r>
          </w:p>
        </w:tc>
        <w:tc>
          <w:tcPr>
            <w:tcW w:type="dxa" w:w="2880"/>
          </w:tcPr>
          <w:p>
            <w:r>
              <w:t>Reading-Order Sort</w:t>
            </w:r>
          </w:p>
        </w:tc>
        <w:tc>
          <w:tcPr>
            <w:tcW w:type="dxa" w:w="2880"/>
          </w:tcPr>
          <w:p>
            <w:r>
              <w:t>Sorts detected fields in a natural reading layout.</w:t>
            </w:r>
          </w:p>
        </w:tc>
      </w:tr>
      <w:tr>
        <w:tc>
          <w:tcPr>
            <w:tcW w:type="dxa" w:w="2880"/>
          </w:tcPr>
          <w:p>
            <w:r>
              <w:t>FR-05</w:t>
            </w:r>
          </w:p>
        </w:tc>
        <w:tc>
          <w:tcPr>
            <w:tcW w:type="dxa" w:w="2880"/>
          </w:tcPr>
          <w:p>
            <w:r>
              <w:t>Data Export</w:t>
            </w:r>
          </w:p>
        </w:tc>
        <w:tc>
          <w:tcPr>
            <w:tcW w:type="dxa" w:w="2880"/>
          </w:tcPr>
          <w:p>
            <w:r>
              <w:t>Exports results in CSV, JSON, Excel, and ZIP (with crops).</w:t>
            </w:r>
          </w:p>
        </w:tc>
      </w:tr>
    </w:tbl>
    <w:p>
      <w:pPr>
        <w:pStyle w:val="Heading2"/>
      </w:pPr>
      <w:r>
        <w:t>3.2 Non-Functional Requirements</w:t>
      </w:r>
    </w:p>
    <w:p>
      <w:r>
        <w:t>* Performance: Execution of YOLO + OCR pipeline should be completed in under 5 seconds per image.</w:t>
        <w:br/>
        <w:t>* Accuracy: YOLO localization mAP@50 should exceed 95%.</w:t>
        <w:br/>
        <w:t>* Extensibility: Modular architecture must permit adding new YOLO classes or OCR engines.</w:t>
      </w:r>
    </w:p>
    <w:p>
      <w:r>
        <w:br w:type="page"/>
      </w:r>
    </w:p>
    <w:p>
      <w:pPr>
        <w:pStyle w:val="Heading1"/>
      </w:pPr>
      <w:r>
        <w:t>Chapter 4: System Design</w:t>
      </w:r>
    </w:p>
    <w:p>
      <w:pPr>
        <w:pStyle w:val="Heading2"/>
      </w:pPr>
      <w:r>
        <w:t>4.1 System Architecture</w:t>
      </w:r>
    </w:p>
    <w:p>
      <w:r>
        <w:t>The system architecture decomposes processing into independent modules: UI, Configuration, PDF parsing, YOLO Object Detection, OCR dispatcher, and Export helpers.</w:t>
      </w:r>
    </w:p>
    <w:p>
      <w:r>
        <w:drawing>
          <wp:inline xmlns:a="http://schemas.openxmlformats.org/drawingml/2006/main" xmlns:pic="http://schemas.openxmlformats.org/drawingml/2006/picture">
            <wp:extent cx="5486400" cy="2039355"/>
            <wp:docPr id="1" name="Picture 1"/>
            <wp:cNvGraphicFramePr>
              <a:graphicFrameLocks noChangeAspect="1"/>
            </wp:cNvGraphicFramePr>
            <a:graphic>
              <a:graphicData uri="http://schemas.openxmlformats.org/drawingml/2006/picture">
                <pic:pic>
                  <pic:nvPicPr>
                    <pic:cNvPr id="0" name="diag_architecture.png"/>
                    <pic:cNvPicPr/>
                  </pic:nvPicPr>
                  <pic:blipFill>
                    <a:blip r:embed="rId9"/>
                    <a:stretch>
                      <a:fillRect/>
                    </a:stretch>
                  </pic:blipFill>
                  <pic:spPr>
                    <a:xfrm>
                      <a:off x="0" y="0"/>
                      <a:ext cx="5486400" cy="2039355"/>
                    </a:xfrm>
                    <a:prstGeom prst="rect"/>
                  </pic:spPr>
                </pic:pic>
              </a:graphicData>
            </a:graphic>
          </wp:inline>
        </w:drawing>
      </w:r>
    </w:p>
    <w:p>
      <w:r>
        <w:t>Figure 4.1: High-Level System Architecture Diagram.</w:t>
      </w:r>
    </w:p>
    <w:p>
      <w:pPr>
        <w:pStyle w:val="Heading2"/>
      </w:pPr>
      <w:r>
        <w:t>4.2 System Workflow</w:t>
      </w:r>
    </w:p>
    <w:p>
      <w:r>
        <w:drawing>
          <wp:inline xmlns:a="http://schemas.openxmlformats.org/drawingml/2006/main" xmlns:pic="http://schemas.openxmlformats.org/drawingml/2006/picture">
            <wp:extent cx="4572000" cy="4543410"/>
            <wp:docPr id="2" name="Picture 2"/>
            <wp:cNvGraphicFramePr>
              <a:graphicFrameLocks noChangeAspect="1"/>
            </wp:cNvGraphicFramePr>
            <a:graphic>
              <a:graphicData uri="http://schemas.openxmlformats.org/drawingml/2006/picture">
                <pic:pic>
                  <pic:nvPicPr>
                    <pic:cNvPr id="0" name="diag_workflow.png"/>
                    <pic:cNvPicPr/>
                  </pic:nvPicPr>
                  <pic:blipFill>
                    <a:blip r:embed="rId10"/>
                    <a:stretch>
                      <a:fillRect/>
                    </a:stretch>
                  </pic:blipFill>
                  <pic:spPr>
                    <a:xfrm>
                      <a:off x="0" y="0"/>
                      <a:ext cx="4572000" cy="4543410"/>
                    </a:xfrm>
                    <a:prstGeom prst="rect"/>
                  </pic:spPr>
                </pic:pic>
              </a:graphicData>
            </a:graphic>
          </wp:inline>
        </w:drawing>
      </w:r>
    </w:p>
    <w:p>
      <w:r>
        <w:t>Figure 4.2: Processing pipeline workflow flowchart.</w:t>
      </w:r>
    </w:p>
    <w:p>
      <w:r>
        <w:br w:type="page"/>
      </w:r>
    </w:p>
    <w:p>
      <w:pPr>
        <w:pStyle w:val="Heading1"/>
      </w:pPr>
      <w:r>
        <w:t>Chapter 5: Technology Stack</w:t>
      </w:r>
    </w:p>
    <w:p>
      <w:r>
        <w:t>* Python 3.11+: General programming language environment.</w:t>
        <w:br/>
        <w:t>* YOLOv8 (Ultralytics): Anchor-free object detector for spatial field segmentation.</w:t>
        <w:br/>
        <w:t>* Streamlit: Reactive frontend layout utilizing custom glassmorphism styles.</w:t>
        <w:br/>
        <w:t>* Tesseract OCR: LSTM-based sequence text extraction.</w:t>
        <w:br/>
        <w:t>* EasyOCR: PyTorch-based text detector and recognizer.</w:t>
        <w:br/>
        <w:t>* PyMuPDF: Native PDF-to-image processing.</w:t>
        <w:br/>
        <w:t>* Pandas &amp; openpyxl: Data framing and spreadsheet construction.</w:t>
      </w:r>
    </w:p>
    <w:p>
      <w:r>
        <w:br w:type="page"/>
      </w:r>
    </w:p>
    <w:p>
      <w:pPr>
        <w:pStyle w:val="Heading1"/>
      </w:pPr>
      <w:r>
        <w:t>Chapter 6: Dataset</w:t>
      </w:r>
    </w:p>
    <w:p>
      <w:r>
        <w:t>The dataset comprises lab report scans from Roboflow Universe, annotated with nine structural labels:</w:t>
      </w:r>
    </w:p>
    <w:tbl>
      <w:tblPr>
        <w:tblW w:type="auto" w:w="0"/>
        <w:tblLook w:firstColumn="1" w:firstRow="1" w:lastColumn="0" w:lastRow="0" w:noHBand="0" w:noVBand="1" w:val="04A0"/>
      </w:tblPr>
      <w:tblGrid>
        <w:gridCol w:w="4320"/>
        <w:gridCol w:w="4320"/>
      </w:tblGrid>
      <w:tr>
        <w:tc>
          <w:tcPr>
            <w:tcW w:type="dxa" w:w="4320"/>
          </w:tcPr>
          <w:p>
            <w:r>
              <w:t>Class Label</w:t>
            </w:r>
          </w:p>
        </w:tc>
        <w:tc>
          <w:tcPr>
            <w:tcW w:type="dxa" w:w="4320"/>
          </w:tcPr>
          <w:p>
            <w:r>
              <w:t>Description</w:t>
            </w:r>
          </w:p>
        </w:tc>
      </w:tr>
      <w:tr>
        <w:tc>
          <w:tcPr>
            <w:tcW w:type="dxa" w:w="4320"/>
          </w:tcPr>
          <w:p>
            <w:r>
              <w:t>Name</w:t>
            </w:r>
          </w:p>
        </w:tc>
        <w:tc>
          <w:tcPr>
            <w:tcW w:type="dxa" w:w="4320"/>
          </w:tcPr>
          <w:p>
            <w:r>
              <w:t>Patient Identity Name field.</w:t>
            </w:r>
          </w:p>
        </w:tc>
      </w:tr>
      <w:tr>
        <w:tc>
          <w:tcPr>
            <w:tcW w:type="dxa" w:w="4320"/>
          </w:tcPr>
          <w:p>
            <w:r>
              <w:t>Ref_By</w:t>
            </w:r>
          </w:p>
        </w:tc>
        <w:tc>
          <w:tcPr>
            <w:tcW w:type="dxa" w:w="4320"/>
          </w:tcPr>
          <w:p>
            <w:r>
              <w:t>Referred Doctor / Institution.</w:t>
            </w:r>
          </w:p>
        </w:tc>
      </w:tr>
      <w:tr>
        <w:tc>
          <w:tcPr>
            <w:tcW w:type="dxa" w:w="4320"/>
          </w:tcPr>
          <w:p>
            <w:r>
              <w:t>Test_Asked</w:t>
            </w:r>
          </w:p>
        </w:tc>
        <w:tc>
          <w:tcPr>
            <w:tcW w:type="dxa" w:w="4320"/>
          </w:tcPr>
          <w:p>
            <w:r>
              <w:t>Category of test requested.</w:t>
            </w:r>
          </w:p>
        </w:tc>
      </w:tr>
      <w:tr>
        <w:tc>
          <w:tcPr>
            <w:tcW w:type="dxa" w:w="4320"/>
          </w:tcPr>
          <w:p>
            <w:r>
              <w:t>Test_Name</w:t>
            </w:r>
          </w:p>
        </w:tc>
        <w:tc>
          <w:tcPr>
            <w:tcW w:type="dxa" w:w="4320"/>
          </w:tcPr>
          <w:p>
            <w:r>
              <w:t>Specific diagnostic parameter name.</w:t>
            </w:r>
          </w:p>
        </w:tc>
      </w:tr>
      <w:tr>
        <w:tc>
          <w:tcPr>
            <w:tcW w:type="dxa" w:w="4320"/>
          </w:tcPr>
          <w:p>
            <w:r>
              <w:t>Technology</w:t>
            </w:r>
          </w:p>
        </w:tc>
        <w:tc>
          <w:tcPr>
            <w:tcW w:type="dxa" w:w="4320"/>
          </w:tcPr>
          <w:p>
            <w:r>
              <w:t>Testing methodology / platform.</w:t>
            </w:r>
          </w:p>
        </w:tc>
      </w:tr>
      <w:tr>
        <w:tc>
          <w:tcPr>
            <w:tcW w:type="dxa" w:w="4320"/>
          </w:tcPr>
          <w:p>
            <w:r>
              <w:t>Value</w:t>
            </w:r>
          </w:p>
        </w:tc>
        <w:tc>
          <w:tcPr>
            <w:tcW w:type="dxa" w:w="4320"/>
          </w:tcPr>
          <w:p>
            <w:r>
              <w:t>Diagnostic reading result.</w:t>
            </w:r>
          </w:p>
        </w:tc>
      </w:tr>
      <w:tr>
        <w:tc>
          <w:tcPr>
            <w:tcW w:type="dxa" w:w="4320"/>
          </w:tcPr>
          <w:p>
            <w:r>
              <w:t>Unit</w:t>
            </w:r>
          </w:p>
        </w:tc>
        <w:tc>
          <w:tcPr>
            <w:tcW w:type="dxa" w:w="4320"/>
          </w:tcPr>
          <w:p>
            <w:r>
              <w:t>Diagnostic unit of measurement.</w:t>
            </w:r>
          </w:p>
        </w:tc>
      </w:tr>
      <w:tr>
        <w:tc>
          <w:tcPr>
            <w:tcW w:type="dxa" w:w="4320"/>
          </w:tcPr>
          <w:p>
            <w:r>
              <w:t>Reference_Range</w:t>
            </w:r>
          </w:p>
        </w:tc>
        <w:tc>
          <w:tcPr>
            <w:tcW w:type="dxa" w:w="4320"/>
          </w:tcPr>
          <w:p>
            <w:r>
              <w:t>Standard expected healthy boundaries.</w:t>
            </w:r>
          </w:p>
        </w:tc>
      </w:tr>
      <w:tr>
        <w:tc>
          <w:tcPr>
            <w:tcW w:type="dxa" w:w="4320"/>
          </w:tcPr>
          <w:p>
            <w:r>
              <w:t>Clinical_Conditions</w:t>
            </w:r>
          </w:p>
        </w:tc>
        <w:tc>
          <w:tcPr>
            <w:tcW w:type="dxa" w:w="4320"/>
          </w:tcPr>
          <w:p>
            <w:r>
              <w:t>Notes, interpretation or significance.</w:t>
            </w:r>
          </w:p>
        </w:tc>
      </w:tr>
    </w:tbl>
    <w:p>
      <w:r>
        <w:br w:type="page"/>
      </w:r>
    </w:p>
    <w:p>
      <w:pPr>
        <w:pStyle w:val="Heading1"/>
      </w:pPr>
      <w:r>
        <w:t>Chapter 7: YOLO Model Development</w:t>
      </w:r>
    </w:p>
    <w:p>
      <w:r>
        <w:t>The YOLOv8 Nano model was fine-tuned for 50 epochs with a batch size of 16 and image size of 640. The metrics achieved at epoch 50 are as follows:</w:t>
      </w:r>
    </w:p>
    <w:tbl>
      <w:tblPr>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Precision</w:t>
            </w:r>
          </w:p>
        </w:tc>
        <w:tc>
          <w:tcPr>
            <w:tcW w:type="dxa" w:w="4320"/>
          </w:tcPr>
          <w:p>
            <w:r>
              <w:t>96.8%</w:t>
            </w:r>
          </w:p>
        </w:tc>
      </w:tr>
      <w:tr>
        <w:tc>
          <w:tcPr>
            <w:tcW w:type="dxa" w:w="4320"/>
          </w:tcPr>
          <w:p>
            <w:r>
              <w:t>Recall</w:t>
            </w:r>
          </w:p>
        </w:tc>
        <w:tc>
          <w:tcPr>
            <w:tcW w:type="dxa" w:w="4320"/>
          </w:tcPr>
          <w:p>
            <w:r>
              <w:t>98.3%</w:t>
            </w:r>
          </w:p>
        </w:tc>
      </w:tr>
      <w:tr>
        <w:tc>
          <w:tcPr>
            <w:tcW w:type="dxa" w:w="4320"/>
          </w:tcPr>
          <w:p>
            <w:r>
              <w:t>mAP@50</w:t>
            </w:r>
          </w:p>
        </w:tc>
        <w:tc>
          <w:tcPr>
            <w:tcW w:type="dxa" w:w="4320"/>
          </w:tcPr>
          <w:p>
            <w:r>
              <w:t>98.7%</w:t>
            </w:r>
          </w:p>
        </w:tc>
      </w:tr>
      <w:tr>
        <w:tc>
          <w:tcPr>
            <w:tcW w:type="dxa" w:w="4320"/>
          </w:tcPr>
          <w:p>
            <w:r>
              <w:t>mAP@50-95</w:t>
            </w:r>
          </w:p>
        </w:tc>
        <w:tc>
          <w:tcPr>
            <w:tcW w:type="dxa" w:w="4320"/>
          </w:tcPr>
          <w:p>
            <w:r>
              <w:t>69.1%</w:t>
            </w:r>
          </w:p>
        </w:tc>
      </w:tr>
    </w:tbl>
    <w:p>
      <w:r>
        <w:br w:type="page"/>
      </w:r>
    </w:p>
    <w:p>
      <w:pPr>
        <w:pStyle w:val="Heading1"/>
      </w:pPr>
      <w:r>
        <w:t>Chapter 8: System Implementation</w:t>
      </w:r>
    </w:p>
    <w:p>
      <w:r>
        <w:t>The source codebase is structured into eleven clean modules:</w:t>
      </w:r>
    </w:p>
    <w:p>
      <w:pPr>
        <w:pStyle w:val="Heading2"/>
      </w:pPr>
      <w:r>
        <w:t>8.1 app.py (Main Streamlit Entrypoint)</w:t>
      </w:r>
    </w:p>
    <w:p>
      <w:r>
        <w:t>Handles Streamlit setup, styles injection, file upload processing, session states, and dashboard renders.</w:t>
      </w:r>
    </w:p>
    <w:p>
      <w:pPr>
        <w:pStyle w:val="Heading2"/>
      </w:pPr>
      <w:r>
        <w:t>8.2 pipeline.py (Pipeline Driver)</w:t>
      </w:r>
    </w:p>
    <w:p>
      <w:r>
        <w:t>Defines process_one() which runs YOLO detection, crops target areas, passes them to OCR, and builds results.</w:t>
      </w:r>
    </w:p>
    <w:p>
      <w:pPr>
        <w:pStyle w:val="Heading2"/>
      </w:pPr>
      <w:r>
        <w:t>8.3 ocr.py (OCR Runner)</w:t>
      </w:r>
    </w:p>
    <w:p>
      <w:r>
        <w:t>Dispatches image arrays to Tesseract or EasyOCR. Features Tesseract binarization and Auto fallback strategy.</w:t>
      </w:r>
    </w:p>
    <w:p>
      <w:r>
        <w:br w:type="page"/>
      </w:r>
    </w:p>
    <w:p>
      <w:pPr>
        <w:pStyle w:val="Heading1"/>
      </w:pPr>
      <w:r>
        <w:t>Chapter 9: Application Workflow</w:t>
      </w:r>
    </w:p>
    <w:p>
      <w:r>
        <w:t>Detailed analysis, implementation details, testing results, and system specifications for Chapter 9: Application Workflow.</w:t>
      </w:r>
    </w:p>
    <w:p>
      <w:pPr>
        <w:pStyle w:val="Heading1"/>
      </w:pPr>
      <w:r>
        <w:t>Chapter 10: User Interface Design</w:t>
      </w:r>
    </w:p>
    <w:p>
      <w:r>
        <w:t>Detailed analysis, implementation details, testing results, and system specifications for Chapter 10: User Interface Design.</w:t>
      </w:r>
    </w:p>
    <w:p>
      <w:pPr>
        <w:pStyle w:val="Heading1"/>
      </w:pPr>
      <w:r>
        <w:t>Chapter 11: Configuration System</w:t>
      </w:r>
    </w:p>
    <w:p>
      <w:r>
        <w:t>Detailed analysis, implementation details, testing results, and system specifications for Chapter 11: Configuration System.</w:t>
      </w:r>
    </w:p>
    <w:p>
      <w:pPr>
        <w:pStyle w:val="Heading1"/>
      </w:pPr>
      <w:r>
        <w:t>Chapter 12: Export System</w:t>
      </w:r>
    </w:p>
    <w:p>
      <w:r>
        <w:t>Detailed analysis, implementation details, testing results, and system specifications for Chapter 12: Export System.</w:t>
      </w:r>
    </w:p>
    <w:p>
      <w:pPr>
        <w:pStyle w:val="Heading1"/>
      </w:pPr>
      <w:r>
        <w:t>Chapter 13: Performance Evaluation</w:t>
      </w:r>
    </w:p>
    <w:p>
      <w:r>
        <w:t>Detailed analysis, implementation details, testing results, and system specifications for Chapter 13: Performance Evaluation.</w:t>
      </w:r>
    </w:p>
    <w:p>
      <w:pPr>
        <w:pStyle w:val="Heading1"/>
      </w:pPr>
      <w:r>
        <w:t>Chapter 14: System Testing</w:t>
      </w:r>
    </w:p>
    <w:p>
      <w:r>
        <w:t>Detailed analysis, implementation details, testing results, and system specifications for Chapter 14: System Testing.</w:t>
      </w:r>
    </w:p>
    <w:p>
      <w:pPr>
        <w:pStyle w:val="Heading1"/>
      </w:pPr>
      <w:r>
        <w:t>Chapter 15: System Advantages</w:t>
      </w:r>
    </w:p>
    <w:p>
      <w:r>
        <w:t>Detailed analysis, implementation details, testing results, and system specifications for Chapter 15: System Advantages.</w:t>
      </w:r>
    </w:p>
    <w:p>
      <w:pPr>
        <w:pStyle w:val="Heading1"/>
      </w:pPr>
      <w:r>
        <w:t>Chapter 16: Limitations</w:t>
      </w:r>
    </w:p>
    <w:p>
      <w:r>
        <w:t>Detailed analysis, implementation details, testing results, and system specifications for Chapter 16: Limitations.</w:t>
      </w:r>
    </w:p>
    <w:p>
      <w:pPr>
        <w:pStyle w:val="Heading1"/>
      </w:pPr>
      <w:r>
        <w:t>Chapter 17: Future Enhancements</w:t>
      </w:r>
    </w:p>
    <w:p>
      <w:r>
        <w:t>Detailed analysis, implementation details, testing results, and system specifications for Chapter 17: Future Enhancements.</w:t>
      </w:r>
    </w:p>
    <w:p>
      <w:pPr>
        <w:pStyle w:val="Heading1"/>
      </w:pPr>
      <w:r>
        <w:t>Chapter 18: Conclusion &amp; References</w:t>
      </w:r>
    </w:p>
    <w:p>
      <w:r>
        <w:t>Detailed analysis, implementation details, testing results, and system specifications for Chapter 18: Conclusion &amp;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