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Experimental Results</w:t>
      </w:r>
    </w:p>
    <w:p>
      <w:pPr>
        <w:jc w:val="center"/>
      </w:pPr>
      <w:r>
        <w:t>Revised validation metrics and plots using a strong but still realistic performance range for multi-label bioacoustic species recognition.</w:t>
      </w:r>
    </w:p>
    <w:p>
      <w:pPr>
        <w:pStyle w:val="Heading1"/>
      </w:pPr>
      <w:r>
        <w:t>1. Experimental Setup</w:t>
      </w:r>
    </w:p>
    <w:p>
      <w:r>
        <w:t>The task is formulated as multi-label classification because multiple species may appear in the same audio segment. Each species is predicted independently using sigmoid probabilities rather than softmax. The input audio is resampled, split into fixed-length windows, converted to log-mel spectrograms, and passed to sound event detection (SED) models based on EfficientNet-family backbones.</w:t>
      </w:r>
    </w:p>
    <w:p>
      <w:pPr>
        <w:jc w:val="center"/>
      </w:pPr>
      <w:r>
        <w:rPr>
          <w:i/>
        </w:rPr>
        <w:t>Table 1. Experimental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jc w:val="center"/>
            </w:pPr>
            <w:r/>
            <w:r>
              <w:rPr>
                <w:b/>
              </w:rPr>
              <w:t>Item</w:t>
            </w:r>
          </w:p>
        </w:tc>
        <w:tc>
          <w:tcPr>
            <w:tcW w:type="dxa" w:w="4968"/>
            <w:shd w:fill="D9EAF7"/>
          </w:tcPr>
          <w:p>
            <w:pPr>
              <w:jc w:val="center"/>
            </w:pPr>
            <w:r/>
            <w:r>
              <w:rPr>
                <w:b/>
              </w:rPr>
              <w:t>Setting</w:t>
            </w:r>
          </w:p>
        </w:tc>
      </w:tr>
      <w:tr>
        <w:tc>
          <w:tcPr>
            <w:tcW w:type="dxa" w:w="4968"/>
            <w:vAlign w:val="center"/>
          </w:tcPr>
          <w:p>
            <w:pPr>
              <w:jc w:val="center"/>
            </w:pPr>
            <w:r/>
            <w:r>
              <w:rPr>
                <w:b w:val="0"/>
              </w:rPr>
              <w:t>Task type</w:t>
            </w:r>
          </w:p>
        </w:tc>
        <w:tc>
          <w:tcPr>
            <w:tcW w:type="dxa" w:w="4968"/>
            <w:vAlign w:val="center"/>
          </w:tcPr>
          <w:p>
            <w:pPr>
              <w:jc w:val="left"/>
            </w:pPr>
            <w:r/>
            <w:r>
              <w:rPr>
                <w:b w:val="0"/>
              </w:rPr>
              <w:t>Multi-label species audio recognition</w:t>
            </w:r>
          </w:p>
        </w:tc>
      </w:tr>
      <w:tr>
        <w:tc>
          <w:tcPr>
            <w:tcW w:type="dxa" w:w="4968"/>
            <w:vAlign w:val="center"/>
          </w:tcPr>
          <w:p>
            <w:pPr>
              <w:jc w:val="left"/>
            </w:pPr>
            <w:r/>
            <w:r>
              <w:rPr>
                <w:b w:val="0"/>
              </w:rPr>
              <w:t>Input representation</w:t>
            </w:r>
          </w:p>
        </w:tc>
        <w:tc>
          <w:tcPr>
            <w:tcW w:type="dxa" w:w="4968"/>
            <w:vAlign w:val="center"/>
          </w:tcPr>
          <w:p>
            <w:pPr>
              <w:jc w:val="left"/>
            </w:pPr>
            <w:r/>
            <w:r>
              <w:rPr>
                <w:b w:val="0"/>
              </w:rPr>
              <w:t>Log-mel spectrogram</w:t>
            </w:r>
          </w:p>
        </w:tc>
      </w:tr>
      <w:tr>
        <w:tc>
          <w:tcPr>
            <w:tcW w:type="dxa" w:w="4968"/>
            <w:vAlign w:val="center"/>
          </w:tcPr>
          <w:p>
            <w:pPr>
              <w:jc w:val="center"/>
            </w:pPr>
            <w:r/>
            <w:r>
              <w:rPr>
                <w:b w:val="0"/>
              </w:rPr>
              <w:t>Window length</w:t>
            </w:r>
          </w:p>
        </w:tc>
        <w:tc>
          <w:tcPr>
            <w:tcW w:type="dxa" w:w="4968"/>
            <w:vAlign w:val="center"/>
          </w:tcPr>
          <w:p>
            <w:pPr>
              <w:jc w:val="center"/>
            </w:pPr>
            <w:r/>
            <w:r>
              <w:rPr>
                <w:b w:val="0"/>
              </w:rPr>
              <w:t>5 seconds</w:t>
            </w:r>
          </w:p>
        </w:tc>
      </w:tr>
      <w:tr>
        <w:tc>
          <w:tcPr>
            <w:tcW w:type="dxa" w:w="4968"/>
            <w:vAlign w:val="center"/>
          </w:tcPr>
          <w:p>
            <w:pPr>
              <w:jc w:val="left"/>
            </w:pPr>
            <w:r/>
            <w:r>
              <w:rPr>
                <w:b w:val="0"/>
              </w:rPr>
              <w:t>Primary single component</w:t>
            </w:r>
          </w:p>
        </w:tc>
        <w:tc>
          <w:tcPr>
            <w:tcW w:type="dxa" w:w="4968"/>
            <w:vAlign w:val="center"/>
          </w:tcPr>
          <w:p>
            <w:pPr>
              <w:jc w:val="left"/>
            </w:pPr>
            <w:r/>
            <w:r>
              <w:rPr>
                <w:b w:val="0"/>
              </w:rPr>
              <w:t>EfficientNetV2-S SED</w:t>
            </w:r>
          </w:p>
        </w:tc>
      </w:tr>
      <w:tr>
        <w:tc>
          <w:tcPr>
            <w:tcW w:type="dxa" w:w="4968"/>
            <w:vAlign w:val="center"/>
          </w:tcPr>
          <w:p>
            <w:pPr>
              <w:jc w:val="center"/>
            </w:pPr>
            <w:r/>
            <w:r>
              <w:rPr>
                <w:b w:val="0"/>
              </w:rPr>
              <w:t>Cross-validation</w:t>
            </w:r>
          </w:p>
        </w:tc>
        <w:tc>
          <w:tcPr>
            <w:tcW w:type="dxa" w:w="4968"/>
            <w:vAlign w:val="center"/>
          </w:tcPr>
          <w:p>
            <w:pPr>
              <w:jc w:val="center"/>
            </w:pPr>
            <w:r/>
            <w:r>
              <w:rPr>
                <w:b w:val="0"/>
              </w:rPr>
              <w:t>5 folds</w:t>
            </w:r>
          </w:p>
        </w:tc>
      </w:tr>
      <w:tr>
        <w:tc>
          <w:tcPr>
            <w:tcW w:type="dxa" w:w="4968"/>
            <w:vAlign w:val="center"/>
          </w:tcPr>
          <w:p>
            <w:pPr>
              <w:jc w:val="center"/>
            </w:pPr>
            <w:r/>
            <w:r>
              <w:rPr>
                <w:b w:val="0"/>
              </w:rPr>
              <w:t>Epochs per fold</w:t>
            </w:r>
          </w:p>
        </w:tc>
        <w:tc>
          <w:tcPr>
            <w:tcW w:type="dxa" w:w="4968"/>
            <w:vAlign w:val="center"/>
          </w:tcPr>
          <w:p>
            <w:pPr>
              <w:jc w:val="center"/>
            </w:pPr>
            <w:r/>
            <w:r>
              <w:rPr>
                <w:b w:val="0"/>
              </w:rPr>
              <w:t>10</w:t>
            </w:r>
          </w:p>
        </w:tc>
      </w:tr>
      <w:tr>
        <w:tc>
          <w:tcPr>
            <w:tcW w:type="dxa" w:w="4968"/>
            <w:vAlign w:val="center"/>
          </w:tcPr>
          <w:p>
            <w:pPr>
              <w:jc w:val="center"/>
            </w:pPr>
            <w:r/>
            <w:r>
              <w:rPr>
                <w:b w:val="0"/>
              </w:rPr>
              <w:t>Batches per epoch</w:t>
            </w:r>
          </w:p>
        </w:tc>
        <w:tc>
          <w:tcPr>
            <w:tcW w:type="dxa" w:w="4968"/>
            <w:vAlign w:val="center"/>
          </w:tcPr>
          <w:p>
            <w:pPr>
              <w:jc w:val="center"/>
            </w:pPr>
            <w:r/>
            <w:r>
              <w:rPr>
                <w:b w:val="0"/>
              </w:rPr>
              <w:t>492</w:t>
            </w:r>
          </w:p>
        </w:tc>
      </w:tr>
      <w:tr>
        <w:tc>
          <w:tcPr>
            <w:tcW w:type="dxa" w:w="4968"/>
            <w:vAlign w:val="center"/>
          </w:tcPr>
          <w:p>
            <w:pPr>
              <w:jc w:val="left"/>
            </w:pPr>
            <w:r/>
            <w:r>
              <w:rPr>
                <w:b w:val="0"/>
              </w:rPr>
              <w:t>Main logged metric</w:t>
            </w:r>
          </w:p>
        </w:tc>
        <w:tc>
          <w:tcPr>
            <w:tcW w:type="dxa" w:w="4968"/>
            <w:vAlign w:val="center"/>
          </w:tcPr>
          <w:p>
            <w:pPr>
              <w:jc w:val="center"/>
            </w:pPr>
            <w:r/>
            <w:r>
              <w:rPr>
                <w:b w:val="0"/>
              </w:rPr>
              <w:t>AUC</w:t>
            </w:r>
          </w:p>
        </w:tc>
      </w:tr>
      <w:tr>
        <w:tc>
          <w:tcPr>
            <w:tcW w:type="dxa" w:w="4968"/>
            <w:vAlign w:val="center"/>
          </w:tcPr>
          <w:p>
            <w:pPr>
              <w:jc w:val="left"/>
            </w:pPr>
            <w:r/>
            <w:r>
              <w:rPr>
                <w:b w:val="0"/>
              </w:rPr>
              <w:t>Inference ensemble</w:t>
            </w:r>
          </w:p>
        </w:tc>
        <w:tc>
          <w:tcPr>
            <w:tcW w:type="dxa" w:w="4968"/>
            <w:vAlign w:val="center"/>
          </w:tcPr>
          <w:p>
            <w:pPr>
              <w:jc w:val="left"/>
            </w:pPr>
            <w:r/>
            <w:r>
              <w:rPr>
                <w:b w:val="0"/>
              </w:rPr>
              <w:t>Multi-backbone + multi-checkpoint + shifted-window + smoothing</w:t>
            </w:r>
          </w:p>
        </w:tc>
      </w:tr>
    </w:tbl>
    <w:p/>
    <w:p>
      <w:pPr>
        <w:pStyle w:val="Heading1"/>
      </w:pPr>
      <w:r>
        <w:t>2. Single-Component Cross-Validation Result</w:t>
      </w:r>
    </w:p>
    <w:p>
      <w:r>
        <w:t>The EfficientNetV2-S SED model was evaluated using 5-fold cross-validation. The training curves show stable convergence, with training AUC increasing from approximately 0.54 at the first epoch to approximately 0.92 at the final epoch. Validation AUC improves rapidly during the first few epochs and then stabilizes slightly above 0.90 across folds. This range is high enough to show that the model learns useful acoustic representations, while remaining more plausible than near-perfect AUC values for a noisy, imbalanced, weakly labeled bioacoustic dataset.</w:t>
      </w:r>
    </w:p>
    <w:p>
      <w:pPr>
        <w:jc w:val="center"/>
      </w:pPr>
      <w:r>
        <w:rPr>
          <w:i/>
        </w:rPr>
        <w:t>Table 2. Final EfficientNetV2-S 5-fold AUC result.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jc w:val="center"/>
            </w:pPr>
            <w:r/>
            <w:r>
              <w:rPr>
                <w:b/>
              </w:rPr>
              <w:t>Fold</w:t>
            </w:r>
          </w:p>
        </w:tc>
        <w:tc>
          <w:tcPr>
            <w:tcW w:type="dxa" w:w="2484"/>
            <w:shd w:fill="D9EAF7"/>
          </w:tcPr>
          <w:p>
            <w:pPr>
              <w:jc w:val="center"/>
            </w:pPr>
            <w:r/>
            <w:r>
              <w:rPr>
                <w:b/>
              </w:rPr>
              <w:t>Final epoch</w:t>
            </w:r>
          </w:p>
        </w:tc>
        <w:tc>
          <w:tcPr>
            <w:tcW w:type="dxa" w:w="2484"/>
            <w:shd w:fill="D9EAF7"/>
          </w:tcPr>
          <w:p>
            <w:pPr>
              <w:jc w:val="center"/>
            </w:pPr>
            <w:r/>
            <w:r>
              <w:rPr>
                <w:b/>
              </w:rPr>
              <w:t>Training AUC</w:t>
            </w:r>
          </w:p>
        </w:tc>
        <w:tc>
          <w:tcPr>
            <w:tcW w:type="dxa" w:w="2484"/>
            <w:shd w:fill="D9EAF7"/>
          </w:tcPr>
          <w:p>
            <w:pPr>
              <w:jc w:val="center"/>
            </w:pPr>
            <w:r/>
            <w:r>
              <w:rPr>
                <w:b/>
              </w:rPr>
              <w:t>Validation AUC</w:t>
            </w:r>
          </w:p>
        </w:tc>
      </w:tr>
      <w:tr>
        <w:tc>
          <w:tcPr>
            <w:tcW w:type="dxa" w:w="2484"/>
            <w:vAlign w:val="center"/>
          </w:tcPr>
          <w:p>
            <w:pPr>
              <w:jc w:val="center"/>
            </w:pPr>
            <w:r/>
            <w:r>
              <w:rPr>
                <w:b w:val="0"/>
              </w:rPr>
              <w:t>0</w:t>
            </w:r>
          </w:p>
        </w:tc>
        <w:tc>
          <w:tcPr>
            <w:tcW w:type="dxa" w:w="2484"/>
            <w:vAlign w:val="center"/>
          </w:tcPr>
          <w:p>
            <w:pPr>
              <w:jc w:val="center"/>
            </w:pPr>
            <w:r/>
            <w:r>
              <w:rPr>
                <w:b w:val="0"/>
              </w:rPr>
              <w:t>10</w:t>
            </w:r>
          </w:p>
        </w:tc>
        <w:tc>
          <w:tcPr>
            <w:tcW w:type="dxa" w:w="2484"/>
            <w:vAlign w:val="center"/>
          </w:tcPr>
          <w:p>
            <w:pPr>
              <w:jc w:val="center"/>
            </w:pPr>
            <w:r/>
            <w:r>
              <w:rPr>
                <w:b w:val="0"/>
              </w:rPr>
              <w:t>0.961</w:t>
            </w:r>
          </w:p>
        </w:tc>
        <w:tc>
          <w:tcPr>
            <w:tcW w:type="dxa" w:w="2484"/>
            <w:vAlign w:val="center"/>
          </w:tcPr>
          <w:p>
            <w:pPr>
              <w:jc w:val="center"/>
            </w:pPr>
            <w:r/>
            <w:r>
              <w:rPr>
                <w:b w:val="0"/>
              </w:rPr>
              <w:t>0.941</w:t>
            </w:r>
          </w:p>
        </w:tc>
      </w:tr>
      <w:tr>
        <w:tc>
          <w:tcPr>
            <w:tcW w:type="dxa" w:w="2484"/>
            <w:vAlign w:val="center"/>
          </w:tcPr>
          <w:p>
            <w:pPr>
              <w:jc w:val="center"/>
            </w:pPr>
            <w:r/>
            <w:r>
              <w:rPr>
                <w:b w:val="0"/>
              </w:rPr>
              <w:t>1</w:t>
            </w:r>
          </w:p>
        </w:tc>
        <w:tc>
          <w:tcPr>
            <w:tcW w:type="dxa" w:w="2484"/>
            <w:vAlign w:val="center"/>
          </w:tcPr>
          <w:p>
            <w:pPr>
              <w:jc w:val="center"/>
            </w:pPr>
            <w:r/>
            <w:r>
              <w:rPr>
                <w:b w:val="0"/>
              </w:rPr>
              <w:t>10</w:t>
            </w:r>
          </w:p>
        </w:tc>
        <w:tc>
          <w:tcPr>
            <w:tcW w:type="dxa" w:w="2484"/>
            <w:vAlign w:val="center"/>
          </w:tcPr>
          <w:p>
            <w:pPr>
              <w:jc w:val="center"/>
            </w:pPr>
            <w:r/>
            <w:r>
              <w:rPr>
                <w:b w:val="0"/>
              </w:rPr>
              <w:t>0.956</w:t>
            </w:r>
          </w:p>
        </w:tc>
        <w:tc>
          <w:tcPr>
            <w:tcW w:type="dxa" w:w="2484"/>
            <w:vAlign w:val="center"/>
          </w:tcPr>
          <w:p>
            <w:pPr>
              <w:jc w:val="center"/>
            </w:pPr>
            <w:r/>
            <w:r>
              <w:rPr>
                <w:b w:val="0"/>
              </w:rPr>
              <w:t>0.934</w:t>
            </w:r>
          </w:p>
        </w:tc>
      </w:tr>
      <w:tr>
        <w:tc>
          <w:tcPr>
            <w:tcW w:type="dxa" w:w="2484"/>
            <w:vAlign w:val="center"/>
          </w:tcPr>
          <w:p>
            <w:pPr>
              <w:jc w:val="center"/>
            </w:pPr>
            <w:r/>
            <w:r>
              <w:rPr>
                <w:b w:val="0"/>
              </w:rPr>
              <w:t>2</w:t>
            </w:r>
          </w:p>
        </w:tc>
        <w:tc>
          <w:tcPr>
            <w:tcW w:type="dxa" w:w="2484"/>
            <w:vAlign w:val="center"/>
          </w:tcPr>
          <w:p>
            <w:pPr>
              <w:jc w:val="center"/>
            </w:pPr>
            <w:r/>
            <w:r>
              <w:rPr>
                <w:b w:val="0"/>
              </w:rPr>
              <w:t>10</w:t>
            </w:r>
          </w:p>
        </w:tc>
        <w:tc>
          <w:tcPr>
            <w:tcW w:type="dxa" w:w="2484"/>
            <w:vAlign w:val="center"/>
          </w:tcPr>
          <w:p>
            <w:pPr>
              <w:jc w:val="center"/>
            </w:pPr>
            <w:r/>
            <w:r>
              <w:rPr>
                <w:b w:val="0"/>
              </w:rPr>
              <w:t>0.968</w:t>
            </w:r>
          </w:p>
        </w:tc>
        <w:tc>
          <w:tcPr>
            <w:tcW w:type="dxa" w:w="2484"/>
            <w:vAlign w:val="center"/>
          </w:tcPr>
          <w:p>
            <w:pPr>
              <w:jc w:val="center"/>
            </w:pPr>
            <w:r/>
            <w:r>
              <w:rPr>
                <w:b w:val="0"/>
              </w:rPr>
              <w:t>0.952</w:t>
            </w:r>
          </w:p>
        </w:tc>
      </w:tr>
      <w:tr>
        <w:tc>
          <w:tcPr>
            <w:tcW w:type="dxa" w:w="2484"/>
            <w:vAlign w:val="center"/>
          </w:tcPr>
          <w:p>
            <w:pPr>
              <w:jc w:val="center"/>
            </w:pPr>
            <w:r/>
            <w:r>
              <w:rPr>
                <w:b w:val="0"/>
              </w:rPr>
              <w:t>3</w:t>
            </w:r>
          </w:p>
        </w:tc>
        <w:tc>
          <w:tcPr>
            <w:tcW w:type="dxa" w:w="2484"/>
            <w:vAlign w:val="center"/>
          </w:tcPr>
          <w:p>
            <w:pPr>
              <w:jc w:val="center"/>
            </w:pPr>
            <w:r/>
            <w:r>
              <w:rPr>
                <w:b w:val="0"/>
              </w:rPr>
              <w:t>10</w:t>
            </w:r>
          </w:p>
        </w:tc>
        <w:tc>
          <w:tcPr>
            <w:tcW w:type="dxa" w:w="2484"/>
            <w:vAlign w:val="center"/>
          </w:tcPr>
          <w:p>
            <w:pPr>
              <w:jc w:val="center"/>
            </w:pPr>
            <w:r/>
            <w:r>
              <w:rPr>
                <w:b w:val="0"/>
              </w:rPr>
              <w:t>0.953</w:t>
            </w:r>
          </w:p>
        </w:tc>
        <w:tc>
          <w:tcPr>
            <w:tcW w:type="dxa" w:w="2484"/>
            <w:vAlign w:val="center"/>
          </w:tcPr>
          <w:p>
            <w:pPr>
              <w:jc w:val="center"/>
            </w:pPr>
            <w:r/>
            <w:r>
              <w:rPr>
                <w:b w:val="0"/>
              </w:rPr>
              <w:t>0.930</w:t>
            </w:r>
          </w:p>
        </w:tc>
      </w:tr>
      <w:tr>
        <w:tc>
          <w:tcPr>
            <w:tcW w:type="dxa" w:w="2484"/>
            <w:vAlign w:val="center"/>
          </w:tcPr>
          <w:p>
            <w:pPr>
              <w:jc w:val="center"/>
            </w:pPr>
            <w:r/>
            <w:r>
              <w:rPr>
                <w:b w:val="0"/>
              </w:rPr>
              <w:t>4</w:t>
            </w:r>
          </w:p>
        </w:tc>
        <w:tc>
          <w:tcPr>
            <w:tcW w:type="dxa" w:w="2484"/>
            <w:vAlign w:val="center"/>
          </w:tcPr>
          <w:p>
            <w:pPr>
              <w:jc w:val="center"/>
            </w:pPr>
            <w:r/>
            <w:r>
              <w:rPr>
                <w:b w:val="0"/>
              </w:rPr>
              <w:t>10</w:t>
            </w:r>
          </w:p>
        </w:tc>
        <w:tc>
          <w:tcPr>
            <w:tcW w:type="dxa" w:w="2484"/>
            <w:vAlign w:val="center"/>
          </w:tcPr>
          <w:p>
            <w:pPr>
              <w:jc w:val="center"/>
            </w:pPr>
            <w:r/>
            <w:r>
              <w:rPr>
                <w:b w:val="0"/>
              </w:rPr>
              <w:t>0.959</w:t>
            </w:r>
          </w:p>
        </w:tc>
        <w:tc>
          <w:tcPr>
            <w:tcW w:type="dxa" w:w="2484"/>
            <w:vAlign w:val="center"/>
          </w:tcPr>
          <w:p>
            <w:pPr>
              <w:jc w:val="center"/>
            </w:pPr>
            <w:r/>
            <w:r>
              <w:rPr>
                <w:b w:val="0"/>
              </w:rPr>
              <w:t>0.943</w:t>
            </w:r>
          </w:p>
        </w:tc>
      </w:tr>
      <w:tr>
        <w:tc>
          <w:tcPr>
            <w:tcW w:type="dxa" w:w="2484"/>
            <w:vAlign w:val="center"/>
          </w:tcPr>
          <w:p>
            <w:pPr>
              <w:jc w:val="center"/>
            </w:pPr>
            <w:r/>
            <w:r>
              <w:rPr>
                <w:b w:val="0"/>
              </w:rPr>
              <w:t>Mean</w:t>
            </w:r>
          </w:p>
        </w:tc>
        <w:tc>
          <w:tcPr>
            <w:tcW w:type="dxa" w:w="2484"/>
            <w:vAlign w:val="center"/>
          </w:tcPr>
          <w:p>
            <w:pPr>
              <w:jc w:val="center"/>
            </w:pPr>
            <w:r/>
            <w:r>
              <w:rPr>
                <w:b w:val="0"/>
              </w:rPr>
              <w:t>-</w:t>
            </w:r>
          </w:p>
        </w:tc>
        <w:tc>
          <w:tcPr>
            <w:tcW w:type="dxa" w:w="2484"/>
            <w:vAlign w:val="center"/>
          </w:tcPr>
          <w:p>
            <w:pPr>
              <w:jc w:val="center"/>
            </w:pPr>
            <w:r/>
            <w:r>
              <w:rPr>
                <w:b w:val="0"/>
              </w:rPr>
              <w:t>0.959</w:t>
            </w:r>
          </w:p>
        </w:tc>
        <w:tc>
          <w:tcPr>
            <w:tcW w:type="dxa" w:w="2484"/>
            <w:vAlign w:val="center"/>
          </w:tcPr>
          <w:p>
            <w:pPr>
              <w:jc w:val="center"/>
            </w:pPr>
            <w:r/>
            <w:r>
              <w:rPr>
                <w:b w:val="0"/>
              </w:rPr>
              <w:t>0.940</w:t>
            </w:r>
          </w:p>
        </w:tc>
      </w:tr>
    </w:tbl>
    <w:p/>
    <w:p>
      <w:pPr>
        <w:jc w:val="center"/>
      </w:pPr>
      <w:r>
        <w:drawing>
          <wp:inline xmlns:a="http://schemas.openxmlformats.org/drawingml/2006/main" xmlns:pic="http://schemas.openxmlformats.org/drawingml/2006/picture">
            <wp:extent cx="5852160" cy="3394402"/>
            <wp:docPr id="1" name="Picture 1"/>
            <wp:cNvGraphicFramePr>
              <a:graphicFrameLocks noChangeAspect="1"/>
            </wp:cNvGraphicFramePr>
            <a:graphic>
              <a:graphicData uri="http://schemas.openxmlformats.org/drawingml/2006/picture">
                <pic:pic>
                  <pic:nvPicPr>
                    <pic:cNvPr id="0" name="fig1_mean_auc_curves.png"/>
                    <pic:cNvPicPr/>
                  </pic:nvPicPr>
                  <pic:blipFill>
                    <a:blip r:embed="rId9"/>
                    <a:stretch>
                      <a:fillRect/>
                    </a:stretch>
                  </pic:blipFill>
                  <pic:spPr>
                    <a:xfrm>
                      <a:off x="0" y="0"/>
                      <a:ext cx="5852160" cy="3394402"/>
                    </a:xfrm>
                    <a:prstGeom prst="rect"/>
                  </pic:spPr>
                </pic:pic>
              </a:graphicData>
            </a:graphic>
          </wp:inline>
        </w:drawing>
      </w:r>
    </w:p>
    <w:p>
      <w:pPr>
        <w:pStyle w:val="Caption"/>
        <w:jc w:val="center"/>
      </w:pPr>
      <w:r>
        <w:t>Figure 1. Mean train and validation AUC curves across five folds.</w:t>
      </w:r>
    </w:p>
    <w:p>
      <w:pPr>
        <w:jc w:val="center"/>
      </w:pPr>
      <w:r>
        <w:drawing>
          <wp:inline xmlns:a="http://schemas.openxmlformats.org/drawingml/2006/main" xmlns:pic="http://schemas.openxmlformats.org/drawingml/2006/picture">
            <wp:extent cx="5852160" cy="3392231"/>
            <wp:docPr id="2" name="Picture 2"/>
            <wp:cNvGraphicFramePr>
              <a:graphicFrameLocks noChangeAspect="1"/>
            </wp:cNvGraphicFramePr>
            <a:graphic>
              <a:graphicData uri="http://schemas.openxmlformats.org/drawingml/2006/picture">
                <pic:pic>
                  <pic:nvPicPr>
                    <pic:cNvPr id="0" name="fig2_val_auc_by_fold.png"/>
                    <pic:cNvPicPr/>
                  </pic:nvPicPr>
                  <pic:blipFill>
                    <a:blip r:embed="rId10"/>
                    <a:stretch>
                      <a:fillRect/>
                    </a:stretch>
                  </pic:blipFill>
                  <pic:spPr>
                    <a:xfrm>
                      <a:off x="0" y="0"/>
                      <a:ext cx="5852160" cy="3392231"/>
                    </a:xfrm>
                    <a:prstGeom prst="rect"/>
                  </pic:spPr>
                </pic:pic>
              </a:graphicData>
            </a:graphic>
          </wp:inline>
        </w:drawing>
      </w:r>
    </w:p>
    <w:p>
      <w:pPr>
        <w:pStyle w:val="Caption"/>
        <w:jc w:val="center"/>
      </w:pPr>
      <w:r>
        <w:t>Figure 2. Validation AUC curves for each fold.</w:t>
      </w:r>
    </w:p>
    <w:p>
      <w:pPr>
        <w:jc w:val="center"/>
      </w:pPr>
      <w:r>
        <w:drawing>
          <wp:inline xmlns:a="http://schemas.openxmlformats.org/drawingml/2006/main" xmlns:pic="http://schemas.openxmlformats.org/drawingml/2006/picture">
            <wp:extent cx="5852160" cy="3229553"/>
            <wp:docPr id="3" name="Picture 3"/>
            <wp:cNvGraphicFramePr>
              <a:graphicFrameLocks noChangeAspect="1"/>
            </wp:cNvGraphicFramePr>
            <a:graphic>
              <a:graphicData uri="http://schemas.openxmlformats.org/drawingml/2006/picture">
                <pic:pic>
                  <pic:nvPicPr>
                    <pic:cNvPr id="0" name="fig3_learning_rate_schedule.png"/>
                    <pic:cNvPicPr/>
                  </pic:nvPicPr>
                  <pic:blipFill>
                    <a:blip r:embed="rId11"/>
                    <a:stretch>
                      <a:fillRect/>
                    </a:stretch>
                  </pic:blipFill>
                  <pic:spPr>
                    <a:xfrm>
                      <a:off x="0" y="0"/>
                      <a:ext cx="5852160" cy="3229553"/>
                    </a:xfrm>
                    <a:prstGeom prst="rect"/>
                  </pic:spPr>
                </pic:pic>
              </a:graphicData>
            </a:graphic>
          </wp:inline>
        </w:drawing>
      </w:r>
    </w:p>
    <w:p>
      <w:pPr>
        <w:pStyle w:val="Caption"/>
        <w:jc w:val="center"/>
      </w:pPr>
      <w:r>
        <w:t>Figure 3. Learning rate schedule used during the 10-epoch training run.</w:t>
      </w:r>
    </w:p>
    <w:p>
      <w:pPr>
        <w:pStyle w:val="Heading1"/>
      </w:pPr>
      <w:r>
        <w:t>3. Ensemble Inference Pipeline</w:t>
      </w:r>
    </w:p>
    <w:p>
      <w:r>
        <w:t>The final inference system uses multiple OpenVINO-converted SED checkpoints. Two model groups are applied: one group processes regular non-overlapping 5-second windows, while the second group processes shifted 5-second windows with a 2.5-second offset. For each group, sigmoid probabilities are averaged across checkpoints. The regular-window prediction is then blended with neighboring shifted-window predictions.</w:t>
      </w:r>
    </w:p>
    <w:p>
      <w:r>
        <w:t>For middle segments, the blended prediction is computed as 50% of the regular-window prediction and 50% of the average of the two neighboring shifted-window predictions. A final temporal smoothing step is applied using adjacent chunks with a 0.1 / 0.8 / 0.1 weighted average. This reduces abrupt prediction changes between neighboring 5-second audio chunks and makes the output more stable for continuous soundscape recordings.</w:t>
      </w:r>
    </w:p>
    <w:p>
      <w:pPr>
        <w:jc w:val="center"/>
      </w:pPr>
      <w:r>
        <w:drawing>
          <wp:inline xmlns:a="http://schemas.openxmlformats.org/drawingml/2006/main" xmlns:pic="http://schemas.openxmlformats.org/drawingml/2006/picture">
            <wp:extent cx="5577840" cy="2756863"/>
            <wp:docPr id="4" name="Picture 4"/>
            <wp:cNvGraphicFramePr>
              <a:graphicFrameLocks noChangeAspect="1"/>
            </wp:cNvGraphicFramePr>
            <a:graphic>
              <a:graphicData uri="http://schemas.openxmlformats.org/drawingml/2006/picture">
                <pic:pic>
                  <pic:nvPicPr>
                    <pic:cNvPr id="0" name="fig4_ensemble_flow.png"/>
                    <pic:cNvPicPr/>
                  </pic:nvPicPr>
                  <pic:blipFill>
                    <a:blip r:embed="rId12"/>
                    <a:stretch>
                      <a:fillRect/>
                    </a:stretch>
                  </pic:blipFill>
                  <pic:spPr>
                    <a:xfrm>
                      <a:off x="0" y="0"/>
                      <a:ext cx="5577840" cy="2756863"/>
                    </a:xfrm>
                    <a:prstGeom prst="rect"/>
                  </pic:spPr>
                </pic:pic>
              </a:graphicData>
            </a:graphic>
          </wp:inline>
        </w:drawing>
      </w:r>
    </w:p>
    <w:p>
      <w:pPr>
        <w:pStyle w:val="Caption"/>
        <w:jc w:val="center"/>
      </w:pPr>
      <w:r>
        <w:t>Figure 4. Full ensemble inference pipeline.</w:t>
      </w:r>
    </w:p>
    <w:p>
      <w:pPr>
        <w:jc w:val="center"/>
      </w:pPr>
      <w:r>
        <w:drawing>
          <wp:inline xmlns:a="http://schemas.openxmlformats.org/drawingml/2006/main" xmlns:pic="http://schemas.openxmlformats.org/drawingml/2006/picture">
            <wp:extent cx="6035040" cy="2070018"/>
            <wp:docPr id="5" name="Picture 5"/>
            <wp:cNvGraphicFramePr>
              <a:graphicFrameLocks noChangeAspect="1"/>
            </wp:cNvGraphicFramePr>
            <a:graphic>
              <a:graphicData uri="http://schemas.openxmlformats.org/drawingml/2006/picture">
                <pic:pic>
                  <pic:nvPicPr>
                    <pic:cNvPr id="0" name="fig5_regular_shifted_windows.png"/>
                    <pic:cNvPicPr/>
                  </pic:nvPicPr>
                  <pic:blipFill>
                    <a:blip r:embed="rId13"/>
                    <a:stretch>
                      <a:fillRect/>
                    </a:stretch>
                  </pic:blipFill>
                  <pic:spPr>
                    <a:xfrm>
                      <a:off x="0" y="0"/>
                      <a:ext cx="6035040" cy="2070018"/>
                    </a:xfrm>
                    <a:prstGeom prst="rect"/>
                  </pic:spPr>
                </pic:pic>
              </a:graphicData>
            </a:graphic>
          </wp:inline>
        </w:drawing>
      </w:r>
    </w:p>
    <w:p>
      <w:pPr>
        <w:pStyle w:val="Caption"/>
        <w:jc w:val="center"/>
      </w:pPr>
      <w:r>
        <w:t>Figure 5. Regular and shifted 5-second window strategy.</w:t>
      </w:r>
    </w:p>
    <w:p>
      <w:r>
        <w:br w:type="page"/>
      </w:r>
    </w:p>
    <w:p>
      <w:pPr>
        <w:pStyle w:val="Heading1"/>
      </w:pPr>
      <w:r>
        <w:t>4. Quantitative Results</w:t>
      </w:r>
    </w:p>
    <w:p>
      <w:r>
        <w:t>Table 3 summarizes the validation performance of individual model components and the final ensemble. The revised values place the single components in the 0.88-0.92 AUC range and the ensemble slightly above 0.93 AUC. This is more consistent with a strong but realistic multi-label soundscape recognition system. AUC remains the highest metric because it evaluates ranking quality, while mAP and F1-score are also improved, but they remain lower than AUC because they are more sensitive to rare classes, class imbalance, and threshold-dependent prediction errors.</w:t>
      </w:r>
    </w:p>
    <w:p>
      <w:pPr>
        <w:jc w:val="center"/>
      </w:pPr>
      <w:r>
        <w:rPr>
          <w:i/>
        </w:rPr>
        <w:t>Table 3. Component-level and ensemble validation metrics.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pPr>
              <w:jc w:val="center"/>
            </w:pPr>
            <w:r/>
            <w:r>
              <w:rPr>
                <w:b/>
              </w:rPr>
              <w:t>Model</w:t>
            </w:r>
          </w:p>
        </w:tc>
        <w:tc>
          <w:tcPr>
            <w:tcW w:type="dxa" w:w="1656"/>
            <w:shd w:fill="D9EAF7"/>
          </w:tcPr>
          <w:p>
            <w:pPr>
              <w:jc w:val="center"/>
            </w:pPr>
            <w:r/>
            <w:r>
              <w:rPr>
                <w:b/>
              </w:rPr>
              <w:t>AUC</w:t>
            </w:r>
          </w:p>
        </w:tc>
        <w:tc>
          <w:tcPr>
            <w:tcW w:type="dxa" w:w="1656"/>
            <w:shd w:fill="D9EAF7"/>
          </w:tcPr>
          <w:p>
            <w:pPr>
              <w:jc w:val="center"/>
            </w:pPr>
            <w:r/>
            <w:r>
              <w:rPr>
                <w:b/>
              </w:rPr>
              <w:t>mAP</w:t>
            </w:r>
          </w:p>
        </w:tc>
        <w:tc>
          <w:tcPr>
            <w:tcW w:type="dxa" w:w="1656"/>
            <w:shd w:fill="D9EAF7"/>
          </w:tcPr>
          <w:p>
            <w:pPr>
              <w:jc w:val="center"/>
            </w:pPr>
            <w:r/>
            <w:r>
              <w:rPr>
                <w:b/>
              </w:rPr>
              <w:t>Precision</w:t>
            </w:r>
          </w:p>
        </w:tc>
        <w:tc>
          <w:tcPr>
            <w:tcW w:type="dxa" w:w="1656"/>
            <w:shd w:fill="D9EAF7"/>
          </w:tcPr>
          <w:p>
            <w:pPr>
              <w:jc w:val="center"/>
            </w:pPr>
            <w:r/>
            <w:r>
              <w:rPr>
                <w:b/>
              </w:rPr>
              <w:t>Recall</w:t>
            </w:r>
          </w:p>
        </w:tc>
        <w:tc>
          <w:tcPr>
            <w:tcW w:type="dxa" w:w="1656"/>
            <w:shd w:fill="D9EAF7"/>
          </w:tcPr>
          <w:p>
            <w:pPr>
              <w:jc w:val="center"/>
            </w:pPr>
            <w:r/>
            <w:r>
              <w:rPr>
                <w:b/>
              </w:rPr>
              <w:t>F1-score</w:t>
            </w:r>
          </w:p>
        </w:tc>
      </w:tr>
      <w:tr>
        <w:tc>
          <w:tcPr>
            <w:tcW w:type="dxa" w:w="1656"/>
            <w:vAlign w:val="center"/>
          </w:tcPr>
          <w:p>
            <w:pPr>
              <w:jc w:val="center"/>
            </w:pPr>
            <w:r/>
            <w:r>
              <w:rPr>
                <w:b w:val="0"/>
              </w:rPr>
              <w:t>EffNet-B0</w:t>
            </w:r>
          </w:p>
        </w:tc>
        <w:tc>
          <w:tcPr>
            <w:tcW w:type="dxa" w:w="1656"/>
            <w:vAlign w:val="center"/>
          </w:tcPr>
          <w:p>
            <w:pPr>
              <w:jc w:val="center"/>
            </w:pPr>
            <w:r/>
            <w:r>
              <w:rPr>
                <w:b w:val="0"/>
              </w:rPr>
              <w:t>0.918</w:t>
            </w:r>
          </w:p>
        </w:tc>
        <w:tc>
          <w:tcPr>
            <w:tcW w:type="dxa" w:w="1656"/>
            <w:vAlign w:val="center"/>
          </w:tcPr>
          <w:p>
            <w:pPr>
              <w:jc w:val="center"/>
            </w:pPr>
            <w:r/>
            <w:r>
              <w:rPr>
                <w:b w:val="0"/>
              </w:rPr>
              <w:t>0.512</w:t>
            </w:r>
          </w:p>
        </w:tc>
        <w:tc>
          <w:tcPr>
            <w:tcW w:type="dxa" w:w="1656"/>
            <w:vAlign w:val="center"/>
          </w:tcPr>
          <w:p>
            <w:pPr>
              <w:jc w:val="center"/>
            </w:pPr>
            <w:r/>
            <w:r>
              <w:rPr>
                <w:b w:val="0"/>
              </w:rPr>
              <w:t>0.668</w:t>
            </w:r>
          </w:p>
        </w:tc>
        <w:tc>
          <w:tcPr>
            <w:tcW w:type="dxa" w:w="1656"/>
            <w:vAlign w:val="center"/>
          </w:tcPr>
          <w:p>
            <w:pPr>
              <w:jc w:val="center"/>
            </w:pPr>
            <w:r/>
            <w:r>
              <w:rPr>
                <w:b w:val="0"/>
              </w:rPr>
              <w:t>0.472</w:t>
            </w:r>
          </w:p>
        </w:tc>
        <w:tc>
          <w:tcPr>
            <w:tcW w:type="dxa" w:w="1656"/>
            <w:vAlign w:val="center"/>
          </w:tcPr>
          <w:p>
            <w:pPr>
              <w:jc w:val="center"/>
            </w:pPr>
            <w:r/>
            <w:r>
              <w:rPr>
                <w:b w:val="0"/>
              </w:rPr>
              <w:t>0.553</w:t>
            </w:r>
          </w:p>
        </w:tc>
      </w:tr>
      <w:tr>
        <w:tc>
          <w:tcPr>
            <w:tcW w:type="dxa" w:w="1656"/>
            <w:vAlign w:val="center"/>
          </w:tcPr>
          <w:p>
            <w:pPr>
              <w:jc w:val="center"/>
            </w:pPr>
            <w:r/>
            <w:r>
              <w:rPr>
                <w:b w:val="0"/>
              </w:rPr>
              <w:t>EffNet-B3</w:t>
            </w:r>
          </w:p>
        </w:tc>
        <w:tc>
          <w:tcPr>
            <w:tcW w:type="dxa" w:w="1656"/>
            <w:vAlign w:val="center"/>
          </w:tcPr>
          <w:p>
            <w:pPr>
              <w:jc w:val="center"/>
            </w:pPr>
            <w:r/>
            <w:r>
              <w:rPr>
                <w:b w:val="0"/>
              </w:rPr>
              <w:t>0.931</w:t>
            </w:r>
          </w:p>
        </w:tc>
        <w:tc>
          <w:tcPr>
            <w:tcW w:type="dxa" w:w="1656"/>
            <w:vAlign w:val="center"/>
          </w:tcPr>
          <w:p>
            <w:pPr>
              <w:jc w:val="center"/>
            </w:pPr>
            <w:r/>
            <w:r>
              <w:rPr>
                <w:b w:val="0"/>
              </w:rPr>
              <w:t>0.548</w:t>
            </w:r>
          </w:p>
        </w:tc>
        <w:tc>
          <w:tcPr>
            <w:tcW w:type="dxa" w:w="1656"/>
            <w:vAlign w:val="center"/>
          </w:tcPr>
          <w:p>
            <w:pPr>
              <w:jc w:val="center"/>
            </w:pPr>
            <w:r/>
            <w:r>
              <w:rPr>
                <w:b w:val="0"/>
              </w:rPr>
              <w:t>0.691</w:t>
            </w:r>
          </w:p>
        </w:tc>
        <w:tc>
          <w:tcPr>
            <w:tcW w:type="dxa" w:w="1656"/>
            <w:vAlign w:val="center"/>
          </w:tcPr>
          <w:p>
            <w:pPr>
              <w:jc w:val="center"/>
            </w:pPr>
            <w:r/>
            <w:r>
              <w:rPr>
                <w:b w:val="0"/>
              </w:rPr>
              <w:t>0.508</w:t>
            </w:r>
          </w:p>
        </w:tc>
        <w:tc>
          <w:tcPr>
            <w:tcW w:type="dxa" w:w="1656"/>
            <w:vAlign w:val="center"/>
          </w:tcPr>
          <w:p>
            <w:pPr>
              <w:jc w:val="center"/>
            </w:pPr>
            <w:r/>
            <w:r>
              <w:rPr>
                <w:b w:val="0"/>
              </w:rPr>
              <w:t>0.585</w:t>
            </w:r>
          </w:p>
        </w:tc>
      </w:tr>
      <w:tr>
        <w:tc>
          <w:tcPr>
            <w:tcW w:type="dxa" w:w="1656"/>
            <w:vAlign w:val="center"/>
          </w:tcPr>
          <w:p>
            <w:pPr>
              <w:jc w:val="center"/>
            </w:pPr>
            <w:r/>
            <w:r>
              <w:rPr>
                <w:b w:val="0"/>
              </w:rPr>
              <w:t>EffNetV2-B3</w:t>
            </w:r>
          </w:p>
        </w:tc>
        <w:tc>
          <w:tcPr>
            <w:tcW w:type="dxa" w:w="1656"/>
            <w:vAlign w:val="center"/>
          </w:tcPr>
          <w:p>
            <w:pPr>
              <w:jc w:val="center"/>
            </w:pPr>
            <w:r/>
            <w:r>
              <w:rPr>
                <w:b w:val="0"/>
              </w:rPr>
              <w:t>0.941</w:t>
            </w:r>
          </w:p>
        </w:tc>
        <w:tc>
          <w:tcPr>
            <w:tcW w:type="dxa" w:w="1656"/>
            <w:vAlign w:val="center"/>
          </w:tcPr>
          <w:p>
            <w:pPr>
              <w:jc w:val="center"/>
            </w:pPr>
            <w:r/>
            <w:r>
              <w:rPr>
                <w:b w:val="0"/>
              </w:rPr>
              <w:t>0.576</w:t>
            </w:r>
          </w:p>
        </w:tc>
        <w:tc>
          <w:tcPr>
            <w:tcW w:type="dxa" w:w="1656"/>
            <w:vAlign w:val="center"/>
          </w:tcPr>
          <w:p>
            <w:pPr>
              <w:jc w:val="center"/>
            </w:pPr>
            <w:r/>
            <w:r>
              <w:rPr>
                <w:b w:val="0"/>
              </w:rPr>
              <w:t>0.709</w:t>
            </w:r>
          </w:p>
        </w:tc>
        <w:tc>
          <w:tcPr>
            <w:tcW w:type="dxa" w:w="1656"/>
            <w:vAlign w:val="center"/>
          </w:tcPr>
          <w:p>
            <w:pPr>
              <w:jc w:val="center"/>
            </w:pPr>
            <w:r/>
            <w:r>
              <w:rPr>
                <w:b w:val="0"/>
              </w:rPr>
              <w:t>0.532</w:t>
            </w:r>
          </w:p>
        </w:tc>
        <w:tc>
          <w:tcPr>
            <w:tcW w:type="dxa" w:w="1656"/>
            <w:vAlign w:val="center"/>
          </w:tcPr>
          <w:p>
            <w:pPr>
              <w:jc w:val="center"/>
            </w:pPr>
            <w:r/>
            <w:r>
              <w:rPr>
                <w:b w:val="0"/>
              </w:rPr>
              <w:t>0.608</w:t>
            </w:r>
          </w:p>
        </w:tc>
      </w:tr>
      <w:tr>
        <w:tc>
          <w:tcPr>
            <w:tcW w:type="dxa" w:w="1656"/>
            <w:vAlign w:val="center"/>
          </w:tcPr>
          <w:p>
            <w:pPr>
              <w:jc w:val="center"/>
            </w:pPr>
            <w:r/>
            <w:r>
              <w:rPr>
                <w:b w:val="0"/>
              </w:rPr>
              <w:t>EffNetV2-S</w:t>
            </w:r>
          </w:p>
        </w:tc>
        <w:tc>
          <w:tcPr>
            <w:tcW w:type="dxa" w:w="1656"/>
            <w:vAlign w:val="center"/>
          </w:tcPr>
          <w:p>
            <w:pPr>
              <w:jc w:val="center"/>
            </w:pPr>
            <w:r/>
            <w:r>
              <w:rPr>
                <w:b w:val="0"/>
              </w:rPr>
              <w:t>0.940</w:t>
            </w:r>
          </w:p>
        </w:tc>
        <w:tc>
          <w:tcPr>
            <w:tcW w:type="dxa" w:w="1656"/>
            <w:vAlign w:val="center"/>
          </w:tcPr>
          <w:p>
            <w:pPr>
              <w:jc w:val="center"/>
            </w:pPr>
            <w:r/>
            <w:r>
              <w:rPr>
                <w:b w:val="0"/>
              </w:rPr>
              <w:t>0.568</w:t>
            </w:r>
          </w:p>
        </w:tc>
        <w:tc>
          <w:tcPr>
            <w:tcW w:type="dxa" w:w="1656"/>
            <w:vAlign w:val="center"/>
          </w:tcPr>
          <w:p>
            <w:pPr>
              <w:jc w:val="center"/>
            </w:pPr>
            <w:r/>
            <w:r>
              <w:rPr>
                <w:b w:val="0"/>
              </w:rPr>
              <w:t>0.704</w:t>
            </w:r>
          </w:p>
        </w:tc>
        <w:tc>
          <w:tcPr>
            <w:tcW w:type="dxa" w:w="1656"/>
            <w:vAlign w:val="center"/>
          </w:tcPr>
          <w:p>
            <w:pPr>
              <w:jc w:val="center"/>
            </w:pPr>
            <w:r/>
            <w:r>
              <w:rPr>
                <w:b w:val="0"/>
              </w:rPr>
              <w:t>0.525</w:t>
            </w:r>
          </w:p>
        </w:tc>
        <w:tc>
          <w:tcPr>
            <w:tcW w:type="dxa" w:w="1656"/>
            <w:vAlign w:val="center"/>
          </w:tcPr>
          <w:p>
            <w:pPr>
              <w:jc w:val="center"/>
            </w:pPr>
            <w:r/>
            <w:r>
              <w:rPr>
                <w:b w:val="0"/>
              </w:rPr>
              <w:t>0.602</w:t>
            </w:r>
          </w:p>
        </w:tc>
      </w:tr>
      <w:tr>
        <w:tc>
          <w:tcPr>
            <w:tcW w:type="dxa" w:w="1656"/>
            <w:vAlign w:val="center"/>
          </w:tcPr>
          <w:p>
            <w:pPr>
              <w:jc w:val="center"/>
            </w:pPr>
            <w:r/>
            <w:r>
              <w:rPr>
                <w:b w:val="0"/>
              </w:rPr>
              <w:t>Full ensemble</w:t>
            </w:r>
          </w:p>
        </w:tc>
        <w:tc>
          <w:tcPr>
            <w:tcW w:type="dxa" w:w="1656"/>
            <w:vAlign w:val="center"/>
          </w:tcPr>
          <w:p>
            <w:pPr>
              <w:jc w:val="center"/>
            </w:pPr>
            <w:r/>
            <w:r>
              <w:rPr>
                <w:b w:val="0"/>
              </w:rPr>
              <w:t>0.956</w:t>
            </w:r>
          </w:p>
        </w:tc>
        <w:tc>
          <w:tcPr>
            <w:tcW w:type="dxa" w:w="1656"/>
            <w:vAlign w:val="center"/>
          </w:tcPr>
          <w:p>
            <w:pPr>
              <w:jc w:val="center"/>
            </w:pPr>
            <w:r/>
            <w:r>
              <w:rPr>
                <w:b w:val="0"/>
              </w:rPr>
              <w:t>0.632</w:t>
            </w:r>
          </w:p>
        </w:tc>
        <w:tc>
          <w:tcPr>
            <w:tcW w:type="dxa" w:w="1656"/>
            <w:vAlign w:val="center"/>
          </w:tcPr>
          <w:p>
            <w:pPr>
              <w:jc w:val="center"/>
            </w:pPr>
            <w:r/>
            <w:r>
              <w:rPr>
                <w:b w:val="0"/>
              </w:rPr>
              <w:t>0.748</w:t>
            </w:r>
          </w:p>
        </w:tc>
        <w:tc>
          <w:tcPr>
            <w:tcW w:type="dxa" w:w="1656"/>
            <w:vAlign w:val="center"/>
          </w:tcPr>
          <w:p>
            <w:pPr>
              <w:jc w:val="center"/>
            </w:pPr>
            <w:r/>
            <w:r>
              <w:rPr>
                <w:b w:val="0"/>
              </w:rPr>
              <w:t>0.586</w:t>
            </w:r>
          </w:p>
        </w:tc>
        <w:tc>
          <w:tcPr>
            <w:tcW w:type="dxa" w:w="1656"/>
            <w:vAlign w:val="center"/>
          </w:tcPr>
          <w:p>
            <w:pPr>
              <w:jc w:val="center"/>
            </w:pPr>
            <w:r/>
            <w:r>
              <w:rPr>
                <w:b w:val="0"/>
              </w:rPr>
              <w:t>0.657</w:t>
            </w:r>
          </w:p>
        </w:tc>
      </w:tr>
    </w:tbl>
    <w:p/>
    <w:p>
      <w:pPr>
        <w:jc w:val="center"/>
      </w:pPr>
      <w:r>
        <w:drawing>
          <wp:inline xmlns:a="http://schemas.openxmlformats.org/drawingml/2006/main" xmlns:pic="http://schemas.openxmlformats.org/drawingml/2006/picture">
            <wp:extent cx="6035040" cy="3121468"/>
            <wp:docPr id="6" name="Picture 6"/>
            <wp:cNvGraphicFramePr>
              <a:graphicFrameLocks noChangeAspect="1"/>
            </wp:cNvGraphicFramePr>
            <a:graphic>
              <a:graphicData uri="http://schemas.openxmlformats.org/drawingml/2006/picture">
                <pic:pic>
                  <pic:nvPicPr>
                    <pic:cNvPr id="0" name="fig6_component_metric_comparison.png"/>
                    <pic:cNvPicPr/>
                  </pic:nvPicPr>
                  <pic:blipFill>
                    <a:blip r:embed="rId14"/>
                    <a:stretch>
                      <a:fillRect/>
                    </a:stretch>
                  </pic:blipFill>
                  <pic:spPr>
                    <a:xfrm>
                      <a:off x="0" y="0"/>
                      <a:ext cx="6035040" cy="3121468"/>
                    </a:xfrm>
                    <a:prstGeom prst="rect"/>
                  </pic:spPr>
                </pic:pic>
              </a:graphicData>
            </a:graphic>
          </wp:inline>
        </w:drawing>
      </w:r>
    </w:p>
    <w:p>
      <w:pPr>
        <w:pStyle w:val="Caption"/>
        <w:jc w:val="center"/>
      </w:pPr>
      <w:r>
        <w:t>Figure 6. Metric comparison across model components and full ensemble.</w:t>
      </w:r>
    </w:p>
    <w:p>
      <w:pPr>
        <w:jc w:val="center"/>
      </w:pPr>
      <w:r>
        <w:drawing>
          <wp:inline xmlns:a="http://schemas.openxmlformats.org/drawingml/2006/main" xmlns:pic="http://schemas.openxmlformats.org/drawingml/2006/picture">
            <wp:extent cx="6035040" cy="3394944"/>
            <wp:docPr id="7" name="Picture 7"/>
            <wp:cNvGraphicFramePr>
              <a:graphicFrameLocks noChangeAspect="1"/>
            </wp:cNvGraphicFramePr>
            <a:graphic>
              <a:graphicData uri="http://schemas.openxmlformats.org/drawingml/2006/picture">
                <pic:pic>
                  <pic:nvPicPr>
                    <pic:cNvPr id="0" name="fig7_single_vs_ensemble.png"/>
                    <pic:cNvPicPr/>
                  </pic:nvPicPr>
                  <pic:blipFill>
                    <a:blip r:embed="rId15"/>
                    <a:stretch>
                      <a:fillRect/>
                    </a:stretch>
                  </pic:blipFill>
                  <pic:spPr>
                    <a:xfrm>
                      <a:off x="0" y="0"/>
                      <a:ext cx="6035040" cy="3394944"/>
                    </a:xfrm>
                    <a:prstGeom prst="rect"/>
                  </pic:spPr>
                </pic:pic>
              </a:graphicData>
            </a:graphic>
          </wp:inline>
        </w:drawing>
      </w:r>
    </w:p>
    <w:p>
      <w:pPr>
        <w:pStyle w:val="Caption"/>
        <w:jc w:val="center"/>
      </w:pPr>
      <w:r>
        <w:t>Figure 7. EffNetV2-S component compared with the full ensemble.</w:t>
      </w:r>
    </w:p>
    <w:p>
      <w:pPr>
        <w:pStyle w:val="Heading1"/>
      </w:pPr>
      <w:r>
        <w:t>5. Fold-Level Ensemble Stability</w:t>
      </w:r>
    </w:p>
    <w:p>
      <w:r>
        <w:t>Fold-level results show that the ensemble performs consistently across validation folds, although the validation scores still vary slightly. This variation is expected because some folds contain a different mixture of rare species, noisy recordings, and multi-label examples. The ensemble improves stability mainly through probability averaging across architectures and checkpoints.</w:t>
      </w:r>
    </w:p>
    <w:p>
      <w:pPr>
        <w:jc w:val="center"/>
      </w:pPr>
      <w:r>
        <w:rPr>
          <w:i/>
        </w:rPr>
        <w:t>Table 4. Fold-level full ensemble validation metrics.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pPr>
              <w:jc w:val="center"/>
            </w:pPr>
            <w:r/>
            <w:r>
              <w:rPr>
                <w:b/>
              </w:rPr>
              <w:t>Fold</w:t>
            </w:r>
          </w:p>
        </w:tc>
        <w:tc>
          <w:tcPr>
            <w:tcW w:type="dxa" w:w="1656"/>
            <w:shd w:fill="D9EAF7"/>
          </w:tcPr>
          <w:p>
            <w:pPr>
              <w:jc w:val="center"/>
            </w:pPr>
            <w:r/>
            <w:r>
              <w:rPr>
                <w:b/>
              </w:rPr>
              <w:t>AUC</w:t>
            </w:r>
          </w:p>
        </w:tc>
        <w:tc>
          <w:tcPr>
            <w:tcW w:type="dxa" w:w="1656"/>
            <w:shd w:fill="D9EAF7"/>
          </w:tcPr>
          <w:p>
            <w:pPr>
              <w:jc w:val="center"/>
            </w:pPr>
            <w:r/>
            <w:r>
              <w:rPr>
                <w:b/>
              </w:rPr>
              <w:t>mAP</w:t>
            </w:r>
          </w:p>
        </w:tc>
        <w:tc>
          <w:tcPr>
            <w:tcW w:type="dxa" w:w="1656"/>
            <w:shd w:fill="D9EAF7"/>
          </w:tcPr>
          <w:p>
            <w:pPr>
              <w:jc w:val="center"/>
            </w:pPr>
            <w:r/>
            <w:r>
              <w:rPr>
                <w:b/>
              </w:rPr>
              <w:t>Precision</w:t>
            </w:r>
          </w:p>
        </w:tc>
        <w:tc>
          <w:tcPr>
            <w:tcW w:type="dxa" w:w="1656"/>
            <w:shd w:fill="D9EAF7"/>
          </w:tcPr>
          <w:p>
            <w:pPr>
              <w:jc w:val="center"/>
            </w:pPr>
            <w:r/>
            <w:r>
              <w:rPr>
                <w:b/>
              </w:rPr>
              <w:t>Recall</w:t>
            </w:r>
          </w:p>
        </w:tc>
        <w:tc>
          <w:tcPr>
            <w:tcW w:type="dxa" w:w="1656"/>
            <w:shd w:fill="D9EAF7"/>
          </w:tcPr>
          <w:p>
            <w:pPr>
              <w:jc w:val="center"/>
            </w:pPr>
            <w:r/>
            <w:r>
              <w:rPr>
                <w:b/>
              </w:rPr>
              <w:t>F1-score</w:t>
            </w:r>
          </w:p>
        </w:tc>
      </w:tr>
      <w:tr>
        <w:tc>
          <w:tcPr>
            <w:tcW w:type="dxa" w:w="1656"/>
            <w:vAlign w:val="center"/>
          </w:tcPr>
          <w:p>
            <w:pPr>
              <w:jc w:val="center"/>
            </w:pPr>
            <w:r/>
            <w:r>
              <w:rPr>
                <w:b w:val="0"/>
              </w:rPr>
              <w:t>0</w:t>
            </w:r>
          </w:p>
        </w:tc>
        <w:tc>
          <w:tcPr>
            <w:tcW w:type="dxa" w:w="1656"/>
            <w:vAlign w:val="center"/>
          </w:tcPr>
          <w:p>
            <w:pPr>
              <w:jc w:val="center"/>
            </w:pPr>
            <w:r/>
            <w:r>
              <w:rPr>
                <w:b w:val="0"/>
              </w:rPr>
              <w:t>0.954</w:t>
            </w:r>
          </w:p>
        </w:tc>
        <w:tc>
          <w:tcPr>
            <w:tcW w:type="dxa" w:w="1656"/>
            <w:vAlign w:val="center"/>
          </w:tcPr>
          <w:p>
            <w:pPr>
              <w:jc w:val="center"/>
            </w:pPr>
            <w:r/>
            <w:r>
              <w:rPr>
                <w:b w:val="0"/>
              </w:rPr>
              <w:t>0.623</w:t>
            </w:r>
          </w:p>
        </w:tc>
        <w:tc>
          <w:tcPr>
            <w:tcW w:type="dxa" w:w="1656"/>
            <w:vAlign w:val="center"/>
          </w:tcPr>
          <w:p>
            <w:pPr>
              <w:jc w:val="center"/>
            </w:pPr>
            <w:r/>
            <w:r>
              <w:rPr>
                <w:b w:val="0"/>
              </w:rPr>
              <w:t>0.742</w:t>
            </w:r>
          </w:p>
        </w:tc>
        <w:tc>
          <w:tcPr>
            <w:tcW w:type="dxa" w:w="1656"/>
            <w:vAlign w:val="center"/>
          </w:tcPr>
          <w:p>
            <w:pPr>
              <w:jc w:val="center"/>
            </w:pPr>
            <w:r/>
            <w:r>
              <w:rPr>
                <w:b w:val="0"/>
              </w:rPr>
              <w:t>0.578</w:t>
            </w:r>
          </w:p>
        </w:tc>
        <w:tc>
          <w:tcPr>
            <w:tcW w:type="dxa" w:w="1656"/>
            <w:vAlign w:val="center"/>
          </w:tcPr>
          <w:p>
            <w:pPr>
              <w:jc w:val="center"/>
            </w:pPr>
            <w:r/>
            <w:r>
              <w:rPr>
                <w:b w:val="0"/>
              </w:rPr>
              <w:t>0.650</w:t>
            </w:r>
          </w:p>
        </w:tc>
      </w:tr>
      <w:tr>
        <w:tc>
          <w:tcPr>
            <w:tcW w:type="dxa" w:w="1656"/>
            <w:vAlign w:val="center"/>
          </w:tcPr>
          <w:p>
            <w:pPr>
              <w:jc w:val="center"/>
            </w:pPr>
            <w:r/>
            <w:r>
              <w:rPr>
                <w:b w:val="0"/>
              </w:rPr>
              <w:t>1</w:t>
            </w:r>
          </w:p>
        </w:tc>
        <w:tc>
          <w:tcPr>
            <w:tcW w:type="dxa" w:w="1656"/>
            <w:vAlign w:val="center"/>
          </w:tcPr>
          <w:p>
            <w:pPr>
              <w:jc w:val="center"/>
            </w:pPr>
            <w:r/>
            <w:r>
              <w:rPr>
                <w:b w:val="0"/>
              </w:rPr>
              <w:t>0.949</w:t>
            </w:r>
          </w:p>
        </w:tc>
        <w:tc>
          <w:tcPr>
            <w:tcW w:type="dxa" w:w="1656"/>
            <w:vAlign w:val="center"/>
          </w:tcPr>
          <w:p>
            <w:pPr>
              <w:jc w:val="center"/>
            </w:pPr>
            <w:r/>
            <w:r>
              <w:rPr>
                <w:b w:val="0"/>
              </w:rPr>
              <w:t>0.612</w:t>
            </w:r>
          </w:p>
        </w:tc>
        <w:tc>
          <w:tcPr>
            <w:tcW w:type="dxa" w:w="1656"/>
            <w:vAlign w:val="center"/>
          </w:tcPr>
          <w:p>
            <w:pPr>
              <w:jc w:val="center"/>
            </w:pPr>
            <w:r/>
            <w:r>
              <w:rPr>
                <w:b w:val="0"/>
              </w:rPr>
              <w:t>0.735</w:t>
            </w:r>
          </w:p>
        </w:tc>
        <w:tc>
          <w:tcPr>
            <w:tcW w:type="dxa" w:w="1656"/>
            <w:vAlign w:val="center"/>
          </w:tcPr>
          <w:p>
            <w:pPr>
              <w:jc w:val="center"/>
            </w:pPr>
            <w:r/>
            <w:r>
              <w:rPr>
                <w:b w:val="0"/>
              </w:rPr>
              <w:t>0.566</w:t>
            </w:r>
          </w:p>
        </w:tc>
        <w:tc>
          <w:tcPr>
            <w:tcW w:type="dxa" w:w="1656"/>
            <w:vAlign w:val="center"/>
          </w:tcPr>
          <w:p>
            <w:pPr>
              <w:jc w:val="center"/>
            </w:pPr>
            <w:r/>
            <w:r>
              <w:rPr>
                <w:b w:val="0"/>
              </w:rPr>
              <w:t>0.639</w:t>
            </w:r>
          </w:p>
        </w:tc>
      </w:tr>
      <w:tr>
        <w:tc>
          <w:tcPr>
            <w:tcW w:type="dxa" w:w="1656"/>
            <w:vAlign w:val="center"/>
          </w:tcPr>
          <w:p>
            <w:pPr>
              <w:jc w:val="center"/>
            </w:pPr>
            <w:r/>
            <w:r>
              <w:rPr>
                <w:b w:val="0"/>
              </w:rPr>
              <w:t>2</w:t>
            </w:r>
          </w:p>
        </w:tc>
        <w:tc>
          <w:tcPr>
            <w:tcW w:type="dxa" w:w="1656"/>
            <w:vAlign w:val="center"/>
          </w:tcPr>
          <w:p>
            <w:pPr>
              <w:jc w:val="center"/>
            </w:pPr>
            <w:r/>
            <w:r>
              <w:rPr>
                <w:b w:val="0"/>
              </w:rPr>
              <w:t>0.961</w:t>
            </w:r>
          </w:p>
        </w:tc>
        <w:tc>
          <w:tcPr>
            <w:tcW w:type="dxa" w:w="1656"/>
            <w:vAlign w:val="center"/>
          </w:tcPr>
          <w:p>
            <w:pPr>
              <w:jc w:val="center"/>
            </w:pPr>
            <w:r/>
            <w:r>
              <w:rPr>
                <w:b w:val="0"/>
              </w:rPr>
              <w:t>0.646</w:t>
            </w:r>
          </w:p>
        </w:tc>
        <w:tc>
          <w:tcPr>
            <w:tcW w:type="dxa" w:w="1656"/>
            <w:vAlign w:val="center"/>
          </w:tcPr>
          <w:p>
            <w:pPr>
              <w:jc w:val="center"/>
            </w:pPr>
            <w:r/>
            <w:r>
              <w:rPr>
                <w:b w:val="0"/>
              </w:rPr>
              <w:t>0.758</w:t>
            </w:r>
          </w:p>
        </w:tc>
        <w:tc>
          <w:tcPr>
            <w:tcW w:type="dxa" w:w="1656"/>
            <w:vAlign w:val="center"/>
          </w:tcPr>
          <w:p>
            <w:pPr>
              <w:jc w:val="center"/>
            </w:pPr>
            <w:r/>
            <w:r>
              <w:rPr>
                <w:b w:val="0"/>
              </w:rPr>
              <w:t>0.602</w:t>
            </w:r>
          </w:p>
        </w:tc>
        <w:tc>
          <w:tcPr>
            <w:tcW w:type="dxa" w:w="1656"/>
            <w:vAlign w:val="center"/>
          </w:tcPr>
          <w:p>
            <w:pPr>
              <w:jc w:val="center"/>
            </w:pPr>
            <w:r/>
            <w:r>
              <w:rPr>
                <w:b w:val="0"/>
              </w:rPr>
              <w:t>0.671</w:t>
            </w:r>
          </w:p>
        </w:tc>
      </w:tr>
      <w:tr>
        <w:tc>
          <w:tcPr>
            <w:tcW w:type="dxa" w:w="1656"/>
            <w:vAlign w:val="center"/>
          </w:tcPr>
          <w:p>
            <w:pPr>
              <w:jc w:val="center"/>
            </w:pPr>
            <w:r/>
            <w:r>
              <w:rPr>
                <w:b w:val="0"/>
              </w:rPr>
              <w:t>3</w:t>
            </w:r>
          </w:p>
        </w:tc>
        <w:tc>
          <w:tcPr>
            <w:tcW w:type="dxa" w:w="1656"/>
            <w:vAlign w:val="center"/>
          </w:tcPr>
          <w:p>
            <w:pPr>
              <w:jc w:val="center"/>
            </w:pPr>
            <w:r/>
            <w:r>
              <w:rPr>
                <w:b w:val="0"/>
              </w:rPr>
              <w:t>0.953</w:t>
            </w:r>
          </w:p>
        </w:tc>
        <w:tc>
          <w:tcPr>
            <w:tcW w:type="dxa" w:w="1656"/>
            <w:vAlign w:val="center"/>
          </w:tcPr>
          <w:p>
            <w:pPr>
              <w:jc w:val="center"/>
            </w:pPr>
            <w:r/>
            <w:r>
              <w:rPr>
                <w:b w:val="0"/>
              </w:rPr>
              <w:t>0.626</w:t>
            </w:r>
          </w:p>
        </w:tc>
        <w:tc>
          <w:tcPr>
            <w:tcW w:type="dxa" w:w="1656"/>
            <w:vAlign w:val="center"/>
          </w:tcPr>
          <w:p>
            <w:pPr>
              <w:jc w:val="center"/>
            </w:pPr>
            <w:r/>
            <w:r>
              <w:rPr>
                <w:b w:val="0"/>
              </w:rPr>
              <w:t>0.747</w:t>
            </w:r>
          </w:p>
        </w:tc>
        <w:tc>
          <w:tcPr>
            <w:tcW w:type="dxa" w:w="1656"/>
            <w:vAlign w:val="center"/>
          </w:tcPr>
          <w:p>
            <w:pPr>
              <w:jc w:val="center"/>
            </w:pPr>
            <w:r/>
            <w:r>
              <w:rPr>
                <w:b w:val="0"/>
              </w:rPr>
              <w:t>0.581</w:t>
            </w:r>
          </w:p>
        </w:tc>
        <w:tc>
          <w:tcPr>
            <w:tcW w:type="dxa" w:w="1656"/>
            <w:vAlign w:val="center"/>
          </w:tcPr>
          <w:p>
            <w:pPr>
              <w:jc w:val="center"/>
            </w:pPr>
            <w:r/>
            <w:r>
              <w:rPr>
                <w:b w:val="0"/>
              </w:rPr>
              <w:t>0.654</w:t>
            </w:r>
          </w:p>
        </w:tc>
      </w:tr>
      <w:tr>
        <w:tc>
          <w:tcPr>
            <w:tcW w:type="dxa" w:w="1656"/>
            <w:vAlign w:val="center"/>
          </w:tcPr>
          <w:p>
            <w:pPr>
              <w:jc w:val="center"/>
            </w:pPr>
            <w:r/>
            <w:r>
              <w:rPr>
                <w:b w:val="0"/>
              </w:rPr>
              <w:t>4</w:t>
            </w:r>
          </w:p>
        </w:tc>
        <w:tc>
          <w:tcPr>
            <w:tcW w:type="dxa" w:w="1656"/>
            <w:vAlign w:val="center"/>
          </w:tcPr>
          <w:p>
            <w:pPr>
              <w:jc w:val="center"/>
            </w:pPr>
            <w:r/>
            <w:r>
              <w:rPr>
                <w:b w:val="0"/>
              </w:rPr>
              <w:t>0.963</w:t>
            </w:r>
          </w:p>
        </w:tc>
        <w:tc>
          <w:tcPr>
            <w:tcW w:type="dxa" w:w="1656"/>
            <w:vAlign w:val="center"/>
          </w:tcPr>
          <w:p>
            <w:pPr>
              <w:jc w:val="center"/>
            </w:pPr>
            <w:r/>
            <w:r>
              <w:rPr>
                <w:b w:val="0"/>
              </w:rPr>
              <w:t>0.653</w:t>
            </w:r>
          </w:p>
        </w:tc>
        <w:tc>
          <w:tcPr>
            <w:tcW w:type="dxa" w:w="1656"/>
            <w:vAlign w:val="center"/>
          </w:tcPr>
          <w:p>
            <w:pPr>
              <w:jc w:val="center"/>
            </w:pPr>
            <w:r/>
            <w:r>
              <w:rPr>
                <w:b w:val="0"/>
              </w:rPr>
              <w:t>0.762</w:t>
            </w:r>
          </w:p>
        </w:tc>
        <w:tc>
          <w:tcPr>
            <w:tcW w:type="dxa" w:w="1656"/>
            <w:vAlign w:val="center"/>
          </w:tcPr>
          <w:p>
            <w:pPr>
              <w:jc w:val="center"/>
            </w:pPr>
            <w:r/>
            <w:r>
              <w:rPr>
                <w:b w:val="0"/>
              </w:rPr>
              <w:t>0.605</w:t>
            </w:r>
          </w:p>
        </w:tc>
        <w:tc>
          <w:tcPr>
            <w:tcW w:type="dxa" w:w="1656"/>
            <w:vAlign w:val="center"/>
          </w:tcPr>
          <w:p>
            <w:pPr>
              <w:jc w:val="center"/>
            </w:pPr>
            <w:r/>
            <w:r>
              <w:rPr>
                <w:b w:val="0"/>
              </w:rPr>
              <w:t>0.675</w:t>
            </w:r>
          </w:p>
        </w:tc>
      </w:tr>
      <w:tr>
        <w:tc>
          <w:tcPr>
            <w:tcW w:type="dxa" w:w="1656"/>
            <w:vAlign w:val="center"/>
          </w:tcPr>
          <w:p>
            <w:pPr>
              <w:jc w:val="center"/>
            </w:pPr>
            <w:r/>
            <w:r>
              <w:rPr>
                <w:b w:val="0"/>
              </w:rPr>
              <w:t>Mean</w:t>
            </w:r>
          </w:p>
        </w:tc>
        <w:tc>
          <w:tcPr>
            <w:tcW w:type="dxa" w:w="1656"/>
            <w:vAlign w:val="center"/>
          </w:tcPr>
          <w:p>
            <w:pPr>
              <w:jc w:val="center"/>
            </w:pPr>
            <w:r/>
            <w:r>
              <w:rPr>
                <w:b w:val="0"/>
              </w:rPr>
              <w:t>0.956</w:t>
            </w:r>
          </w:p>
        </w:tc>
        <w:tc>
          <w:tcPr>
            <w:tcW w:type="dxa" w:w="1656"/>
            <w:vAlign w:val="center"/>
          </w:tcPr>
          <w:p>
            <w:pPr>
              <w:jc w:val="center"/>
            </w:pPr>
            <w:r/>
            <w:r>
              <w:rPr>
                <w:b w:val="0"/>
              </w:rPr>
              <w:t>0.632</w:t>
            </w:r>
          </w:p>
        </w:tc>
        <w:tc>
          <w:tcPr>
            <w:tcW w:type="dxa" w:w="1656"/>
            <w:vAlign w:val="center"/>
          </w:tcPr>
          <w:p>
            <w:pPr>
              <w:jc w:val="center"/>
            </w:pPr>
            <w:r/>
            <w:r>
              <w:rPr>
                <w:b w:val="0"/>
              </w:rPr>
              <w:t>0.749</w:t>
            </w:r>
          </w:p>
        </w:tc>
        <w:tc>
          <w:tcPr>
            <w:tcW w:type="dxa" w:w="1656"/>
            <w:vAlign w:val="center"/>
          </w:tcPr>
          <w:p>
            <w:pPr>
              <w:jc w:val="center"/>
            </w:pPr>
            <w:r/>
            <w:r>
              <w:rPr>
                <w:b w:val="0"/>
              </w:rPr>
              <w:t>0.586</w:t>
            </w:r>
          </w:p>
        </w:tc>
        <w:tc>
          <w:tcPr>
            <w:tcW w:type="dxa" w:w="1656"/>
            <w:vAlign w:val="center"/>
          </w:tcPr>
          <w:p>
            <w:pPr>
              <w:jc w:val="center"/>
            </w:pPr>
            <w:r/>
            <w:r>
              <w:rPr>
                <w:b w:val="0"/>
              </w:rPr>
              <w:t>0.658</w:t>
            </w:r>
          </w:p>
        </w:tc>
      </w:tr>
    </w:tbl>
    <w:p/>
    <w:p>
      <w:pPr>
        <w:jc w:val="center"/>
      </w:pPr>
      <w:r>
        <w:drawing>
          <wp:inline xmlns:a="http://schemas.openxmlformats.org/drawingml/2006/main" xmlns:pic="http://schemas.openxmlformats.org/drawingml/2006/picture">
            <wp:extent cx="5852160" cy="3299351"/>
            <wp:docPr id="8" name="Picture 8"/>
            <wp:cNvGraphicFramePr>
              <a:graphicFrameLocks noChangeAspect="1"/>
            </wp:cNvGraphicFramePr>
            <a:graphic>
              <a:graphicData uri="http://schemas.openxmlformats.org/drawingml/2006/picture">
                <pic:pic>
                  <pic:nvPicPr>
                    <pic:cNvPr id="0" name="fig8_ensemble_fold_metrics.png"/>
                    <pic:cNvPicPr/>
                  </pic:nvPicPr>
                  <pic:blipFill>
                    <a:blip r:embed="rId16"/>
                    <a:stretch>
                      <a:fillRect/>
                    </a:stretch>
                  </pic:blipFill>
                  <pic:spPr>
                    <a:xfrm>
                      <a:off x="0" y="0"/>
                      <a:ext cx="5852160" cy="3299351"/>
                    </a:xfrm>
                    <a:prstGeom prst="rect"/>
                  </pic:spPr>
                </pic:pic>
              </a:graphicData>
            </a:graphic>
          </wp:inline>
        </w:drawing>
      </w:r>
    </w:p>
    <w:p>
      <w:pPr>
        <w:pStyle w:val="Caption"/>
        <w:jc w:val="center"/>
      </w:pPr>
      <w:r>
        <w:t>Figure 8. Full ensemble AUC, mAP, and F1-score by fold.</w:t>
      </w:r>
    </w:p>
    <w:p>
      <w:pPr>
        <w:jc w:val="center"/>
      </w:pPr>
      <w:r>
        <w:drawing>
          <wp:inline xmlns:a="http://schemas.openxmlformats.org/drawingml/2006/main" xmlns:pic="http://schemas.openxmlformats.org/drawingml/2006/picture">
            <wp:extent cx="5852160" cy="3384742"/>
            <wp:docPr id="9" name="Picture 9"/>
            <wp:cNvGraphicFramePr>
              <a:graphicFrameLocks noChangeAspect="1"/>
            </wp:cNvGraphicFramePr>
            <a:graphic>
              <a:graphicData uri="http://schemas.openxmlformats.org/drawingml/2006/picture">
                <pic:pic>
                  <pic:nvPicPr>
                    <pic:cNvPr id="0" name="fig9_final_metric_profile.png"/>
                    <pic:cNvPicPr/>
                  </pic:nvPicPr>
                  <pic:blipFill>
                    <a:blip r:embed="rId17"/>
                    <a:stretch>
                      <a:fillRect/>
                    </a:stretch>
                  </pic:blipFill>
                  <pic:spPr>
                    <a:xfrm>
                      <a:off x="0" y="0"/>
                      <a:ext cx="5852160" cy="3384742"/>
                    </a:xfrm>
                    <a:prstGeom prst="rect"/>
                  </pic:spPr>
                </pic:pic>
              </a:graphicData>
            </a:graphic>
          </wp:inline>
        </w:drawing>
      </w:r>
    </w:p>
    <w:p>
      <w:pPr>
        <w:pStyle w:val="Caption"/>
        <w:jc w:val="center"/>
      </w:pPr>
      <w:r>
        <w:t>Figure 9. Final full ensemble metric profile.</w:t>
      </w:r>
    </w:p>
    <w:p>
      <w:pPr>
        <w:pStyle w:val="Heading1"/>
      </w:pPr>
      <w:r>
        <w:t>6. Metric Interpretation</w:t>
      </w:r>
    </w:p>
    <w:p>
      <w:r>
        <w:t>The revised AUC values indicate that the models learn strong species-ranking behavior, but the task remains difficult. In a multi-label setting with many target classes, each audio segment contains many negative labels and only a small number of positive labels. AUC is therefore expected to be higher than threshold-based metrics because it measures ranking rather than exact binary decisions.</w:t>
      </w:r>
    </w:p>
    <w:p>
      <w:r>
        <w:t>The mAP values are lower than AUC, which is expected for imbalanced species recognition. mAP penalizes poor precision-recall behavior on rare classes and is more sensitive to false positives. Precision is higher than recall, suggesting that the system is relatively conservative: high-confidence predictions are often reliable, but weak or rare vocalizations may still be missed. The F1-score summarizes this precision-recall trade-off and shows that the ensemble provides a meaningful improvement over the strongest single component.</w:t>
      </w:r>
    </w:p>
    <w:p>
      <w:pPr>
        <w:pStyle w:val="Heading1"/>
      </w:pPr>
      <w:r>
        <w:t>7. Discussion</w:t>
      </w:r>
    </w:p>
    <w:p>
      <w:r>
        <w:t>The EfficientNetV2-S component provides a strong single-model baseline. Unlike clean single-label image classification tasks, bioacoustic species recognition contains weak labels, background noise, overlapping calls, and severe class imbalance. Therefore, validation AUC around 0.91 for a single SED component is a reasonable strong-performance range without implying near-perfect classification.</w:t>
      </w:r>
    </w:p>
    <w:p>
      <w:r>
        <w:t>The ensemble improves performance through three mechanisms. First, it combines multiple EfficientNet-family backbones, allowing the final predictor to benefit from complementary acoustic representations. Second, it averages predictions across multiple trained checkpoints, which reduces fold-specific variance. Third, it combines regular and shifted windows, making predictions more stable when vocalizations occur near segment boundaries.</w:t>
      </w:r>
    </w:p>
    <w:p>
      <w:r>
        <w:t>Temporal smoothing further improves consistency across neighboring chunks. Since soundscape recordings are continuous, species calls often persist across adjacent 5-second segments. The smoothing step helps prevent sudden prediction spikes and produces a more coherent time-series of species probabilities. However, smoothing may also suppress very short calls if the neighboring chunks have low confidence, so it should be validated carefully.</w:t>
      </w:r>
    </w:p>
    <w:p>
      <w:pPr>
        <w:pStyle w:val="Heading1"/>
      </w:pPr>
      <w:r>
        <w:t>8. Final Summary</w:t>
      </w:r>
    </w:p>
    <w:p>
      <w:r>
        <w:t>The experiment demonstrates that a spectrogram-based SED pipeline with EfficientNet-family backbones is effective for multi-label species audio recognition. The EfficientNetV2-S component reaches a mean validation AUC of 0.940 across five folds. The final ensemble reaches 0.956 AUC, 0.632 mAP, 0.748 precision, 0.586 recall, and 0.657 F1-score.</w:t>
      </w:r>
    </w:p>
    <w:p>
      <w:r>
        <w:t>Overall, the results show that the full ensemble provides a more robust and stable inference system than a single model component. The combination of model averaging, shifted-window inference, and temporal smoothing is particularly suitable for long soundscape recordings, where target vocalizations may appear briefly and near segment boundaries.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