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640" w:after="80"/>
      </w:pPr>
      <w:r>
        <w:rPr>
          <w:rFonts w:ascii="Helvetica Neue" w:hAnsi="Helvetica Neue"/>
          <w:color w:val="60758A"/>
          <w:sz w:val="42"/>
        </w:rPr>
        <w:t>EE 616 Application Rationale</w:t>
      </w:r>
    </w:p>
    <w:p>
      <w:pPr>
        <w:pStyle w:val="Title"/>
        <w:spacing w:after="240"/>
        <w:jc w:val="left"/>
      </w:pPr>
      <w:r>
        <w:rPr>
          <w:rFonts w:ascii="Helvetica Neue" w:hAnsi="Helvetica Neue"/>
          <w:b/>
          <w:color w:val="000000"/>
          <w:sz w:val="56"/>
        </w:rPr>
        <w:t>Industry Application and System Rationale for Vision Only Leader Follower Warehouse Coordination</w:t>
      </w:r>
    </w:p>
    <w:p>
      <w:pPr>
        <w:spacing w:after="1160"/>
      </w:pPr>
      <w:r>
        <w:rPr>
          <w:rFonts w:ascii="Helvetica Neue" w:hAnsi="Helvetica Neue"/>
          <w:color w:val="34495E"/>
          <w:sz w:val="27"/>
        </w:rPr>
        <w:t>Proposed flexible material delivery convoy for faculty review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384"/>
            <w:vAlign w:val="center"/>
            <w:tcMar>
              <w:top w:w="85" w:type="dxa"/>
              <w:start w:w="45" w:type="dxa"/>
              <w:bottom w:w="85" w:type="dxa"/>
              <w:end w:w="45" w:type="dxa"/>
            </w:tcMar>
          </w:tcPr>
          <w:p>
            <w:pPr>
              <w:spacing w:after="80"/>
            </w:pPr>
            <w:r>
              <w:rPr>
                <w:rFonts w:ascii="Helvetica Neue" w:hAnsi="Helvetica Neue"/>
                <w:b/>
                <w:color w:val="60758A"/>
                <w:sz w:val="17"/>
              </w:rPr>
              <w:t>STATUS</w:t>
            </w:r>
          </w:p>
          <w:p>
            <w:pPr>
              <w:spacing w:after="0"/>
            </w:pPr>
            <w:r>
              <w:rPr>
                <w:rFonts w:ascii="Helvetica Neue" w:hAnsi="Helvetica Neue"/>
                <w:color w:val="24384D"/>
                <w:sz w:val="20"/>
              </w:rPr>
              <w:t>Draft for faculty review</w:t>
            </w:r>
          </w:p>
        </w:tc>
        <w:tc>
          <w:tcPr>
            <w:tcW w:type="dxa" w:w="3384"/>
            <w:vAlign w:val="center"/>
            <w:tcMar>
              <w:top w:w="85" w:type="dxa"/>
              <w:start w:w="45" w:type="dxa"/>
              <w:bottom w:w="85" w:type="dxa"/>
              <w:end w:w="45" w:type="dxa"/>
            </w:tcMar>
          </w:tcPr>
          <w:p>
            <w:pPr>
              <w:spacing w:after="80"/>
            </w:pPr>
            <w:r>
              <w:rPr>
                <w:rFonts w:ascii="Helvetica Neue" w:hAnsi="Helvetica Neue"/>
                <w:b/>
                <w:color w:val="60758A"/>
                <w:sz w:val="17"/>
              </w:rPr>
              <w:t>AUTHOR</w:t>
            </w:r>
          </w:p>
          <w:p>
            <w:pPr>
              <w:spacing w:after="0"/>
            </w:pPr>
            <w:r>
              <w:rPr>
                <w:rFonts w:ascii="Helvetica Neue" w:hAnsi="Helvetica Neue"/>
                <w:color w:val="24384D"/>
                <w:sz w:val="20"/>
              </w:rPr>
              <w:t>Neeraj Kumar Kanchani</w:t>
            </w:r>
          </w:p>
        </w:tc>
        <w:tc>
          <w:tcPr>
            <w:tcW w:type="dxa" w:w="3384"/>
            <w:vAlign w:val="center"/>
            <w:tcMar>
              <w:top w:w="85" w:type="dxa"/>
              <w:start w:w="45" w:type="dxa"/>
              <w:bottom w:w="85" w:type="dxa"/>
              <w:end w:w="45" w:type="dxa"/>
            </w:tcMar>
          </w:tcPr>
          <w:p>
            <w:pPr>
              <w:spacing w:after="80"/>
            </w:pPr>
            <w:r>
              <w:rPr>
                <w:rFonts w:ascii="Helvetica Neue" w:hAnsi="Helvetica Neue"/>
                <w:b/>
                <w:color w:val="60758A"/>
                <w:sz w:val="17"/>
              </w:rPr>
              <w:t>UPDATED</w:t>
            </w:r>
          </w:p>
          <w:p>
            <w:pPr>
              <w:spacing w:after="0"/>
            </w:pPr>
            <w:r>
              <w:rPr>
                <w:rFonts w:ascii="Helvetica Neue" w:hAnsi="Helvetica Neue"/>
                <w:color w:val="24384D"/>
                <w:sz w:val="20"/>
              </w:rPr>
              <w:t>September 17, 2026</w:t>
            </w:r>
          </w:p>
        </w:tc>
      </w:tr>
    </w:tbl>
    <w:p>
      <w:pPr>
        <w:spacing w:after="10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cantSplit/>
        </w:trPr>
        <w:tc>
          <w:tcPr>
            <w:tcW w:type="dxa" w:w="223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Field</w:t>
            </w:r>
          </w:p>
        </w:tc>
        <w:tc>
          <w:tcPr>
            <w:tcW w:type="dxa" w:w="7848"/>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Details</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8"/>
              </w:rPr>
              <w:t>Faculty reviewer</w:t>
            </w:r>
          </w:p>
        </w:tc>
        <w:tc>
          <w:tcPr>
            <w:tcW w:type="dxa" w:w="7848"/>
            <w:shd w:fill="E5F0F8"/>
            <w:vAlign w:val="center"/>
            <w:tcMar>
              <w:top w:w="105" w:type="dxa"/>
              <w:start w:w="120" w:type="dxa"/>
              <w:bottom w:w="105" w:type="dxa"/>
              <w:end w:w="120" w:type="dxa"/>
            </w:tcMar>
          </w:tcPr>
          <w:p>
            <w:pPr>
              <w:spacing w:after="0"/>
            </w:pPr>
            <w:r>
              <w:rPr>
                <w:rFonts w:ascii="Helvetica Neue" w:hAnsi="Helvetica Neue"/>
                <w:color w:val="24384D"/>
                <w:sz w:val="18"/>
              </w:rPr>
              <w:t>Professor Masudul Imtiaz</w:t>
            </w:r>
          </w:p>
        </w:tc>
      </w:tr>
      <w:tr>
        <w:trPr>
          <w:cantSplit/>
        </w:trP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8"/>
              </w:rPr>
              <w:t>Course</w:t>
            </w:r>
          </w:p>
        </w:tc>
        <w:tc>
          <w:tcPr>
            <w:tcW w:type="dxa" w:w="7848"/>
            <w:shd w:fill="F4F7FA"/>
            <w:vAlign w:val="center"/>
            <w:tcMar>
              <w:top w:w="105" w:type="dxa"/>
              <w:start w:w="120" w:type="dxa"/>
              <w:bottom w:w="105" w:type="dxa"/>
              <w:end w:w="120" w:type="dxa"/>
            </w:tcMar>
          </w:tcPr>
          <w:p>
            <w:pPr>
              <w:spacing w:after="0"/>
            </w:pPr>
            <w:r>
              <w:rPr>
                <w:rFonts w:ascii="Helvetica Neue" w:hAnsi="Helvetica Neue"/>
                <w:color w:val="24384D"/>
                <w:sz w:val="18"/>
              </w:rPr>
              <w:t>EE 616-57, section 9189, four credits</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8"/>
              </w:rPr>
              <w:t>Proposed application</w:t>
            </w:r>
          </w:p>
        </w:tc>
        <w:tc>
          <w:tcPr>
            <w:tcW w:type="dxa" w:w="7848"/>
            <w:shd w:fill="E5F0F8"/>
            <w:vAlign w:val="center"/>
            <w:tcMar>
              <w:top w:w="105" w:type="dxa"/>
              <w:start w:w="120" w:type="dxa"/>
              <w:bottom w:w="105" w:type="dxa"/>
              <w:end w:w="120" w:type="dxa"/>
            </w:tcMar>
          </w:tcPr>
          <w:p>
            <w:pPr>
              <w:spacing w:after="0"/>
            </w:pPr>
            <w:r>
              <w:rPr>
                <w:rFonts w:ascii="Helvetica Neue" w:hAnsi="Helvetica Neue"/>
                <w:color w:val="24384D"/>
                <w:sz w:val="18"/>
              </w:rPr>
              <w:t>Flexible autonomous material-delivery convoy for warehouse and manufacturing aisles</w:t>
            </w:r>
          </w:p>
        </w:tc>
      </w:tr>
      <w:tr>
        <w:trPr>
          <w:cantSplit/>
        </w:trP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8"/>
              </w:rPr>
              <w:t>Research boundary</w:t>
            </w:r>
          </w:p>
        </w:tc>
        <w:tc>
          <w:tcPr>
            <w:tcW w:type="dxa" w:w="7848"/>
            <w:shd w:fill="F4F7FA"/>
            <w:vAlign w:val="center"/>
            <w:tcMar>
              <w:top w:w="105" w:type="dxa"/>
              <w:start w:w="120" w:type="dxa"/>
              <w:bottom w:w="105" w:type="dxa"/>
              <w:end w:w="120" w:type="dxa"/>
            </w:tcMar>
          </w:tcPr>
          <w:p>
            <w:pPr>
              <w:spacing w:after="0"/>
            </w:pPr>
            <w:r>
              <w:rPr>
                <w:rFonts w:ascii="Helvetica Neue" w:hAnsi="Helvetica Neue"/>
                <w:color w:val="24384D"/>
                <w:sz w:val="18"/>
              </w:rPr>
              <w:t>Simulation study of decentralized visual following on constrained edge hardware</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8"/>
              </w:rPr>
              <w:t>Review requested</w:t>
            </w:r>
          </w:p>
        </w:tc>
        <w:tc>
          <w:tcPr>
            <w:tcW w:type="dxa" w:w="7848"/>
            <w:shd w:fill="E5F0F8"/>
            <w:vAlign w:val="center"/>
            <w:tcMar>
              <w:top w:w="105" w:type="dxa"/>
              <w:start w:w="120" w:type="dxa"/>
              <w:bottom w:w="105" w:type="dxa"/>
              <w:end w:w="120" w:type="dxa"/>
            </w:tcMar>
          </w:tcPr>
          <w:p>
            <w:pPr>
              <w:spacing w:after="0"/>
            </w:pPr>
            <w:r>
              <w:rPr>
                <w:rFonts w:ascii="Helvetica Neue" w:hAnsi="Helvetica Neue"/>
                <w:color w:val="24384D"/>
                <w:sz w:val="18"/>
              </w:rPr>
              <w:t>Confirm the application framing and approve the ROS 2 and Gazebo implementation scope</w:t>
            </w:r>
          </w:p>
        </w:tc>
      </w:tr>
    </w:tbl>
    <w:p>
      <w:pPr>
        <w:spacing w:after="20"/>
      </w:pPr>
    </w:p>
    <w:p>
      <w:r>
        <w:br w:type="page"/>
      </w:r>
    </w:p>
    <w:p>
      <w:pPr>
        <w:pStyle w:val="Heading1"/>
        <w:keepNext/>
      </w:pPr>
      <w:r>
        <w:rPr>
          <w:rFonts w:ascii="Helvetica Neue" w:hAnsi="Helvetica Neue"/>
          <w:b/>
          <w:color w:val="0B3153"/>
          <w:sz w:val="34"/>
        </w:rPr>
        <w:t>1 Proposal and Review Request</w:t>
      </w:r>
    </w:p>
    <w:p>
      <w:pPr>
        <w:keepNext w:val="0"/>
        <w:spacing w:after="120"/>
      </w:pPr>
      <w:r>
        <w:rPr>
          <w:rFonts w:ascii="Helvetica Neue" w:hAnsi="Helvetica Neue"/>
          <w:color w:val="000000"/>
          <w:sz w:val="21"/>
        </w:rPr>
        <w:t>I propose to develop and evaluate a leader-follower robot convoy for repeated material movement in warehouses and manufacturing facilities. The leader receives the delivery mission and owns the route. Each follower carries material and uses a forward RGB camera, together with its own wheel odometry, to maintain a safe commanded distance from the robot immediately ahead. The research contribution is the decentralized formation-control layer: relative visual perception, state estimation, bounded control, loss-of-view recovery, and measured behavior on limited edge hardware.</w:t>
      </w:r>
    </w:p>
    <w:p>
      <w:pPr>
        <w:keepNext w:val="0"/>
        <w:spacing w:after="120"/>
      </w:pPr>
      <w:r>
        <w:rPr>
          <w:rFonts w:ascii="Helvetica Neue" w:hAnsi="Helvetica Neue"/>
          <w:color w:val="000000"/>
          <w:sz w:val="21"/>
        </w:rPr>
        <w:t>The industrial value is a flexible alternative to moving one cart per trip or mechanically coupling every load into a fixed tugger train. A site could add or remove follower carts as payload demand changes while keeping route planning concentrated on the leader. This idea is consistent with existing warehouse practices, including tugger trains for multi-cart movement and commercial follow-me autonomous mobile robots for picking and internal transport. My project will test a narrower question: whether a camera-based follower can maintain an ordered convoy through warehouse-like paths under controlled simulation conditions.</w:t>
      </w:r>
    </w:p>
    <w:p>
      <w:pPr>
        <w:keepNext w:val="0"/>
        <w:spacing w:after="120"/>
      </w:pPr>
      <w:r>
        <w:rPr>
          <w:rFonts w:ascii="Helvetica Neue" w:hAnsi="Helvetica Neue"/>
          <w:color w:val="000000"/>
          <w:sz w:val="21"/>
        </w:rPr>
        <w:t>I am asking for feedback on the application definition, the separation between coordination and safety, and the planned validation path. I am not presenting the current toy results as Gazebo evidence or as proof of deployment safety.</w:t>
      </w:r>
    </w:p>
    <w:p>
      <w:pPr>
        <w:pStyle w:val="Heading1"/>
        <w:keepNext/>
      </w:pPr>
      <w:r>
        <w:rPr>
          <w:rFonts w:ascii="Helvetica Neue" w:hAnsi="Helvetica Neue"/>
          <w:b/>
          <w:color w:val="0B3153"/>
          <w:sz w:val="34"/>
        </w:rPr>
        <w:t>2 Industrial Problem</w:t>
      </w:r>
    </w:p>
    <w:p>
      <w:pPr>
        <w:keepNext w:val="0"/>
        <w:spacing w:after="120"/>
      </w:pPr>
      <w:r>
        <w:rPr>
          <w:rFonts w:ascii="Helvetica Neue" w:hAnsi="Helvetica Neue"/>
          <w:color w:val="000000"/>
          <w:sz w:val="21"/>
        </w:rPr>
        <w:t>Warehouses and manufacturing cells repeatedly move parts, picked goods, empty containers, and work-in-process inventory between receiving, storage, packing, and line-side stations. These movements consume operator time and create traffic in narrow aisles. Toyota describes tugger trains as a way to move multiple carts in fewer trips and support lean or just-in-time delivery. Zebra lists order picking, post-pick transport, receiving and putaway, and replenishment among current autonomous mobile robot workflows. These are established material-handling problems rather than a hypothetical use case. [2][3]</w:t>
      </w:r>
    </w:p>
    <w:p>
      <w:pPr>
        <w:keepNext w:val="0"/>
        <w:spacing w:after="120"/>
      </w:pPr>
      <w:r>
        <w:rPr>
          <w:rFonts w:ascii="Helvetica Neue" w:hAnsi="Helvetica Neue"/>
          <w:color w:val="000000"/>
          <w:sz w:val="21"/>
        </w:rPr>
        <w:t>The proposed convoy addresses jobs where several loads should travel along the same route, but a facility would benefit from changing the number of carts without rebuilding a mechanical train or programming a complete route on every unit. The leader carries the route and navigation capability. Followers reproduce the local motion of the robot ahead while maintaining separation. The convoy can therefore be configured for a small delivery during normal operation and expanded for peak demand, subject to aisle geometry and site safety limits.</w:t>
      </w:r>
    </w:p>
    <w:p>
      <w:pPr>
        <w:pStyle w:val="Heading1"/>
        <w:keepNext/>
        <w:pageBreakBefore/>
      </w:pPr>
      <w:r>
        <w:rPr>
          <w:rFonts w:ascii="Helvetica Neue" w:hAnsi="Helvetica Neue"/>
          <w:b/>
          <w:color w:val="0B3153"/>
          <w:sz w:val="34"/>
        </w:rPr>
        <w:t>3 Industry Evidence and Comparable Systems</w:t>
      </w:r>
    </w:p>
    <w:p>
      <w:pPr>
        <w:keepNext w:val="0"/>
        <w:spacing w:after="120"/>
      </w:pPr>
      <w:r>
        <w:rPr>
          <w:rFonts w:ascii="Helvetica Neue" w:hAnsi="Helvetica Neue"/>
          <w:color w:val="000000"/>
          <w:sz w:val="21"/>
        </w:rPr>
        <w:t>The closest commercial precedent is the follow-me autonomous mobile robot. DHL reported testing the EffiBOT trolley in warehouse operations. The robot followed employees, carried loads, avoided obstacles, and could travel to a drop-off point. DHL later described follow-me and point-to-point operation as ways to reduce repetitive walking and material movement. Zebra also describes a follow-me workflow built around one picker and one robot. These systems establish that local following behavior has practical value, while also showing that current products often use a single-person or single-robot relationship rather than a multi-robot visual convoy. [1][4][5]</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180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Industrial pattern</w:t>
            </w:r>
          </w:p>
        </w:tc>
        <w:tc>
          <w:tcPr>
            <w:tcW w:type="dxa" w:w="3816"/>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What industry already uses</w:t>
            </w:r>
          </w:p>
        </w:tc>
        <w:tc>
          <w:tcPr>
            <w:tcW w:type="dxa" w:w="4464"/>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What this project adds or studies</w:t>
            </w:r>
          </w:p>
        </w:tc>
      </w:tr>
      <w:tr>
        <w:trPr>
          <w:cantSplit/>
        </w:trPr>
        <w:tc>
          <w:tcPr>
            <w:tcW w:type="dxa" w:w="1800"/>
            <w:shd w:fill="E5F0F8"/>
            <w:vAlign w:val="center"/>
            <w:tcMar>
              <w:top w:w="105" w:type="dxa"/>
              <w:start w:w="120" w:type="dxa"/>
              <w:bottom w:w="105" w:type="dxa"/>
              <w:end w:w="120" w:type="dxa"/>
            </w:tcMar>
          </w:tcPr>
          <w:p>
            <w:pPr>
              <w:spacing w:after="0"/>
            </w:pPr>
            <w:r>
              <w:rPr>
                <w:rFonts w:ascii="Helvetica Neue" w:hAnsi="Helvetica Neue"/>
                <w:color w:val="24384D"/>
                <w:sz w:val="17"/>
              </w:rPr>
              <w:t>Follow-me AMR</w:t>
            </w:r>
          </w:p>
        </w:tc>
        <w:tc>
          <w:tcPr>
            <w:tcW w:type="dxa" w:w="3816"/>
            <w:shd w:fill="E5F0F8"/>
            <w:vAlign w:val="center"/>
            <w:tcMar>
              <w:top w:w="105" w:type="dxa"/>
              <w:start w:w="120" w:type="dxa"/>
              <w:bottom w:w="105" w:type="dxa"/>
              <w:end w:w="120" w:type="dxa"/>
            </w:tcMar>
          </w:tcPr>
          <w:p>
            <w:pPr>
              <w:spacing w:after="0"/>
            </w:pPr>
            <w:r>
              <w:rPr>
                <w:rFonts w:ascii="Helvetica Neue" w:hAnsi="Helvetica Neue"/>
                <w:color w:val="24384D"/>
                <w:sz w:val="17"/>
              </w:rPr>
              <w:t>One robot follows a worker during picking or transport.</w:t>
            </w:r>
          </w:p>
        </w:tc>
        <w:tc>
          <w:tcPr>
            <w:tcW w:type="dxa" w:w="4464"/>
            <w:shd w:fill="E5F0F8"/>
            <w:vAlign w:val="center"/>
            <w:tcMar>
              <w:top w:w="105" w:type="dxa"/>
              <w:start w:w="120" w:type="dxa"/>
              <w:bottom w:w="105" w:type="dxa"/>
              <w:end w:w="120" w:type="dxa"/>
            </w:tcMar>
          </w:tcPr>
          <w:p>
            <w:pPr>
              <w:spacing w:after="0"/>
            </w:pPr>
            <w:r>
              <w:rPr>
                <w:rFonts w:ascii="Helvetica Neue" w:hAnsi="Helvetica Neue"/>
                <w:color w:val="24384D"/>
                <w:sz w:val="17"/>
              </w:rPr>
              <w:t>Robot-to-robot visual following without human motion commands.</w:t>
            </w:r>
          </w:p>
        </w:tc>
      </w:tr>
      <w:tr>
        <w:trPr>
          <w:cantSplit/>
        </w:trPr>
        <w:tc>
          <w:tcPr>
            <w:tcW w:type="dxa" w:w="1800"/>
            <w:shd w:fill="F4F7FA"/>
            <w:vAlign w:val="center"/>
            <w:tcMar>
              <w:top w:w="105" w:type="dxa"/>
              <w:start w:w="120" w:type="dxa"/>
              <w:bottom w:w="105" w:type="dxa"/>
              <w:end w:w="120" w:type="dxa"/>
            </w:tcMar>
          </w:tcPr>
          <w:p>
            <w:pPr>
              <w:spacing w:after="0"/>
            </w:pPr>
            <w:r>
              <w:rPr>
                <w:rFonts w:ascii="Helvetica Neue" w:hAnsi="Helvetica Neue"/>
                <w:color w:val="24384D"/>
                <w:sz w:val="17"/>
              </w:rPr>
              <w:t>Tugger train</w:t>
            </w:r>
          </w:p>
        </w:tc>
        <w:tc>
          <w:tcPr>
            <w:tcW w:type="dxa" w:w="3816"/>
            <w:shd w:fill="F4F7FA"/>
            <w:vAlign w:val="center"/>
            <w:tcMar>
              <w:top w:w="105" w:type="dxa"/>
              <w:start w:w="120" w:type="dxa"/>
              <w:bottom w:w="105" w:type="dxa"/>
              <w:end w:w="120" w:type="dxa"/>
            </w:tcMar>
          </w:tcPr>
          <w:p>
            <w:pPr>
              <w:spacing w:after="0"/>
            </w:pPr>
            <w:r>
              <w:rPr>
                <w:rFonts w:ascii="Helvetica Neue" w:hAnsi="Helvetica Neue"/>
                <w:color w:val="24384D"/>
                <w:sz w:val="17"/>
              </w:rPr>
              <w:t>One powered vehicle pulls several mechanically coupled carts.</w:t>
            </w:r>
          </w:p>
        </w:tc>
        <w:tc>
          <w:tcPr>
            <w:tcW w:type="dxa" w:w="4464"/>
            <w:shd w:fill="F4F7FA"/>
            <w:vAlign w:val="center"/>
            <w:tcMar>
              <w:top w:w="105" w:type="dxa"/>
              <w:start w:w="120" w:type="dxa"/>
              <w:bottom w:w="105" w:type="dxa"/>
              <w:end w:w="120" w:type="dxa"/>
            </w:tcMar>
          </w:tcPr>
          <w:p>
            <w:pPr>
              <w:spacing w:after="0"/>
            </w:pPr>
            <w:r>
              <w:rPr>
                <w:rFonts w:ascii="Helvetica Neue" w:hAnsi="Helvetica Neue"/>
                <w:color w:val="24384D"/>
                <w:sz w:val="17"/>
              </w:rPr>
              <w:t>Software-defined spacing and the ability to add or remove independently driven carts.</w:t>
            </w:r>
          </w:p>
        </w:tc>
      </w:tr>
      <w:tr>
        <w:trPr>
          <w:cantSplit/>
        </w:trPr>
        <w:tc>
          <w:tcPr>
            <w:tcW w:type="dxa" w:w="1800"/>
            <w:shd w:fill="E5F0F8"/>
            <w:vAlign w:val="center"/>
            <w:tcMar>
              <w:top w:w="105" w:type="dxa"/>
              <w:start w:w="120" w:type="dxa"/>
              <w:bottom w:w="105" w:type="dxa"/>
              <w:end w:w="120" w:type="dxa"/>
            </w:tcMar>
          </w:tcPr>
          <w:p>
            <w:pPr>
              <w:spacing w:after="0"/>
            </w:pPr>
            <w:r>
              <w:rPr>
                <w:rFonts w:ascii="Helvetica Neue" w:hAnsi="Helvetica Neue"/>
                <w:color w:val="24384D"/>
                <w:sz w:val="17"/>
              </w:rPr>
              <w:t>Fleet-managed AMRs</w:t>
            </w:r>
          </w:p>
        </w:tc>
        <w:tc>
          <w:tcPr>
            <w:tcW w:type="dxa" w:w="3816"/>
            <w:shd w:fill="E5F0F8"/>
            <w:vAlign w:val="center"/>
            <w:tcMar>
              <w:top w:w="105" w:type="dxa"/>
              <w:start w:w="120" w:type="dxa"/>
              <w:bottom w:w="105" w:type="dxa"/>
              <w:end w:w="120" w:type="dxa"/>
            </w:tcMar>
          </w:tcPr>
          <w:p>
            <w:pPr>
              <w:spacing w:after="0"/>
            </w:pPr>
            <w:r>
              <w:rPr>
                <w:rFonts w:ascii="Helvetica Neue" w:hAnsi="Helvetica Neue"/>
                <w:color w:val="24384D"/>
                <w:sz w:val="17"/>
              </w:rPr>
              <w:t>A fleet manager dispatches independent robots and manages traffic.</w:t>
            </w:r>
          </w:p>
        </w:tc>
        <w:tc>
          <w:tcPr>
            <w:tcW w:type="dxa" w:w="4464"/>
            <w:shd w:fill="E5F0F8"/>
            <w:vAlign w:val="center"/>
            <w:tcMar>
              <w:top w:w="105" w:type="dxa"/>
              <w:start w:w="120" w:type="dxa"/>
              <w:bottom w:w="105" w:type="dxa"/>
              <w:end w:w="120" w:type="dxa"/>
            </w:tcMar>
          </w:tcPr>
          <w:p>
            <w:pPr>
              <w:spacing w:after="0"/>
            </w:pPr>
            <w:r>
              <w:rPr>
                <w:rFonts w:ascii="Helvetica Neue" w:hAnsi="Helvetica Neue"/>
                <w:color w:val="24384D"/>
                <w:sz w:val="17"/>
              </w:rPr>
              <w:t>A convoy whose low-level formation remains local even if mission assignment is centralized.</w:t>
            </w:r>
          </w:p>
        </w:tc>
      </w:tr>
      <w:tr>
        <w:trPr>
          <w:cantSplit/>
        </w:trPr>
        <w:tc>
          <w:tcPr>
            <w:tcW w:type="dxa" w:w="1800"/>
            <w:shd w:fill="F4F7FA"/>
            <w:vAlign w:val="center"/>
            <w:tcMar>
              <w:top w:w="105" w:type="dxa"/>
              <w:start w:w="120" w:type="dxa"/>
              <w:bottom w:w="105" w:type="dxa"/>
              <w:end w:w="120" w:type="dxa"/>
            </w:tcMar>
          </w:tcPr>
          <w:p>
            <w:pPr>
              <w:spacing w:after="0"/>
            </w:pPr>
            <w:r>
              <w:rPr>
                <w:rFonts w:ascii="Helvetica Neue" w:hAnsi="Helvetica Neue"/>
                <w:color w:val="24384D"/>
                <w:sz w:val="17"/>
              </w:rPr>
              <w:t>Fixed automation</w:t>
            </w:r>
          </w:p>
        </w:tc>
        <w:tc>
          <w:tcPr>
            <w:tcW w:type="dxa" w:w="3816"/>
            <w:shd w:fill="F4F7FA"/>
            <w:vAlign w:val="center"/>
            <w:tcMar>
              <w:top w:w="105" w:type="dxa"/>
              <w:start w:w="120" w:type="dxa"/>
              <w:bottom w:w="105" w:type="dxa"/>
              <w:end w:w="120" w:type="dxa"/>
            </w:tcMar>
          </w:tcPr>
          <w:p>
            <w:pPr>
              <w:spacing w:after="0"/>
            </w:pPr>
            <w:r>
              <w:rPr>
                <w:rFonts w:ascii="Helvetica Neue" w:hAnsi="Helvetica Neue"/>
                <w:color w:val="24384D"/>
                <w:sz w:val="17"/>
              </w:rPr>
              <w:t>Conveyors or guided routes provide predictable material flow.</w:t>
            </w:r>
          </w:p>
        </w:tc>
        <w:tc>
          <w:tcPr>
            <w:tcW w:type="dxa" w:w="4464"/>
            <w:shd w:fill="F4F7FA"/>
            <w:vAlign w:val="center"/>
            <w:tcMar>
              <w:top w:w="105" w:type="dxa"/>
              <w:start w:w="120" w:type="dxa"/>
              <w:bottom w:w="105" w:type="dxa"/>
              <w:end w:w="120" w:type="dxa"/>
            </w:tcMar>
          </w:tcPr>
          <w:p>
            <w:pPr>
              <w:spacing w:after="0"/>
            </w:pPr>
            <w:r>
              <w:rPr>
                <w:rFonts w:ascii="Helvetica Neue" w:hAnsi="Helvetica Neue"/>
                <w:color w:val="24384D"/>
                <w:sz w:val="17"/>
              </w:rPr>
              <w:t>A reconfigurable route-following concept for existing aisles where fixed infrastructure may be undesirable.</w:t>
            </w:r>
          </w:p>
        </w:tc>
      </w:tr>
    </w:tbl>
    <w:p>
      <w:pPr>
        <w:spacing w:after="20"/>
      </w:pPr>
    </w:p>
    <w:p>
      <w:pPr>
        <w:keepNext w:val="0"/>
        <w:spacing w:after="120"/>
      </w:pPr>
      <w:r>
        <w:rPr>
          <w:rFonts w:ascii="Helvetica Neue" w:hAnsi="Helvetica Neue"/>
          <w:color w:val="000000"/>
          <w:sz w:val="21"/>
        </w:rPr>
        <w:t>I therefore view the project as an applied research bridge between follow-me assistance, tugger-train logistics, and multi-robot autonomy. It does not assume that warehouses currently deploy this exact camera-only chain at scale. The report uses published commercial systems to establish the operational need, then treats the proposed convoy as the research contribution.</w:t>
      </w:r>
    </w:p>
    <w:p>
      <w:r>
        <w:br w:type="page"/>
      </w:r>
    </w:p>
    <w:p>
      <w:pPr>
        <w:pStyle w:val="Heading1"/>
        <w:keepNext/>
      </w:pPr>
      <w:r>
        <w:rPr>
          <w:rFonts w:ascii="Helvetica Neue" w:hAnsi="Helvetica Neue"/>
          <w:b/>
          <w:color w:val="0B3153"/>
          <w:sz w:val="34"/>
        </w:rPr>
        <w:t>4 Proposed Operating Scenario</w:t>
      </w:r>
    </w:p>
    <w:p>
      <w:pPr>
        <w:spacing w:after="60"/>
        <w:jc w:val="center"/>
      </w:pPr>
      <w:r>
        <w:drawing>
          <wp:inline>
            <wp:extent cx="6400800" cy="3328416"/>
            <wp:docPr id="1" name="industry_architecture" descr="A warehouse management system assigns a mission to a leader robot. The leader is followed by a chain of load-carrying robots. Every robot has independent coordination, safety, operations, and evidence functions. A note distinguishes the simulation research layer from deployment safety requirements."/>
            <wp:cNvGraphicFramePr>
              <a:graphicFrameLocks noChangeAspect="1"/>
            </wp:cNvGraphicFramePr>
            <a:graphic>
              <a:graphicData uri="http://schemas.openxmlformats.org/drawingml/2006/picture">
                <pic:pic>
                  <pic:nvPicPr>
                    <pic:cNvPr id="0" name="industry_architecture.png"/>
                    <pic:cNvPicPr/>
                  </pic:nvPicPr>
                  <pic:blipFill>
                    <a:blip r:embed="rId23"/>
                    <a:stretch>
                      <a:fillRect/>
                    </a:stretch>
                  </pic:blipFill>
                  <pic:spPr>
                    <a:xfrm>
                      <a:off x="0" y="0"/>
                      <a:ext cx="6400800" cy="3328416"/>
                    </a:xfrm>
                    <a:prstGeom prst="rect"/>
                  </pic:spPr>
                </pic:pic>
              </a:graphicData>
            </a:graphic>
          </wp:inline>
        </w:drawing>
      </w:r>
    </w:p>
    <w:p>
      <w:pPr>
        <w:spacing w:after="160"/>
        <w:jc w:val="center"/>
      </w:pPr>
      <w:r>
        <w:rPr>
          <w:rFonts w:ascii="Helvetica Neue" w:hAnsi="Helvetica Neue"/>
          <w:i/>
          <w:color w:val="60758A"/>
          <w:sz w:val="17"/>
        </w:rPr>
        <w:t>Figure 1  Proposed operating model and the boundary of the EE 616 research system</w:t>
      </w:r>
    </w:p>
    <w:p>
      <w:pPr>
        <w:keepNext w:val="0"/>
        <w:spacing w:after="120"/>
      </w:pPr>
      <w:r>
        <w:rPr>
          <w:rFonts w:ascii="Helvetica Neue" w:hAnsi="Helvetica Neue"/>
          <w:color w:val="000000"/>
          <w:sz w:val="21"/>
        </w:rPr>
        <w:t>A warehouse management system or fleet manager assigns a replenishment or transport job to the leader. The leader travels from a pickup point through warehouse aisles to a destination. Follower 1 observes the leader. Follower 2 observes Follower 1, and the pattern continues for additional carts. This predecessor-following topology keeps each perception problem local and avoids requiring the last cart to see the leader through the entire convoy.</w:t>
      </w:r>
    </w:p>
    <w:p>
      <w:pPr>
        <w:pStyle w:val="Heading1"/>
        <w:keepNext/>
        <w:pageBreakBefore/>
      </w:pPr>
      <w:r>
        <w:rPr>
          <w:rFonts w:ascii="Helvetica Neue" w:hAnsi="Helvetica Neue"/>
          <w:b/>
          <w:color w:val="0B3153"/>
          <w:sz w:val="34"/>
        </w:rPr>
        <w:t>5 Leader Responsibilities</w:t>
      </w:r>
    </w:p>
    <w:p>
      <w:pPr>
        <w:keepNext w:val="0"/>
        <w:spacing w:after="120"/>
      </w:pPr>
      <w:r>
        <w:rPr>
          <w:rFonts w:ascii="Helvetica Neue" w:hAnsi="Helvetica Neue"/>
          <w:color w:val="000000"/>
          <w:sz w:val="21"/>
        </w:rPr>
        <w:t>The leader is the route owner and the highest-capability robot in the convoy. In the research simulation, it follows a defined waypoint route. In an industrial version, it would receive a mission from the warehouse or fleet system and use global localization, route planning, obstacle avoidance, and traffic rules to execute that mission. It would also expose a stable rear visual target or distinctive geometry that followers can detect reliably.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cantSplit/>
        </w:trPr>
        <w:tc>
          <w:tcPr>
            <w:tcW w:type="dxa" w:w="288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Leader function</w:t>
            </w:r>
          </w:p>
        </w:tc>
        <w:tc>
          <w:tcPr>
            <w:tcW w:type="dxa" w:w="720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Reason it belongs on the leader</w:t>
            </w:r>
          </w:p>
        </w:tc>
      </w:tr>
      <w:tr>
        <w:trPr>
          <w:cantSplit/>
        </w:trPr>
        <w:tc>
          <w:tcPr>
            <w:tcW w:type="dxa" w:w="2880"/>
            <w:shd w:fill="E5F0F8"/>
            <w:vAlign w:val="center"/>
            <w:tcMar>
              <w:top w:w="105" w:type="dxa"/>
              <w:start w:w="120" w:type="dxa"/>
              <w:bottom w:w="105" w:type="dxa"/>
              <w:end w:w="120" w:type="dxa"/>
            </w:tcMar>
          </w:tcPr>
          <w:p>
            <w:pPr>
              <w:spacing w:after="0"/>
            </w:pPr>
            <w:r>
              <w:rPr>
                <w:rFonts w:ascii="Helvetica Neue" w:hAnsi="Helvetica Neue"/>
                <w:color w:val="24384D"/>
                <w:sz w:val="17"/>
              </w:rPr>
              <w:t>Mission and destination</w:t>
            </w:r>
          </w:p>
        </w:tc>
        <w:tc>
          <w:tcPr>
            <w:tcW w:type="dxa" w:w="7200"/>
            <w:shd w:fill="E5F0F8"/>
            <w:vAlign w:val="center"/>
            <w:tcMar>
              <w:top w:w="105" w:type="dxa"/>
              <w:start w:w="120" w:type="dxa"/>
              <w:bottom w:w="105" w:type="dxa"/>
              <w:end w:w="120" w:type="dxa"/>
            </w:tcMar>
          </w:tcPr>
          <w:p>
            <w:pPr>
              <w:spacing w:after="0"/>
            </w:pPr>
            <w:r>
              <w:rPr>
                <w:rFonts w:ascii="Helvetica Neue" w:hAnsi="Helvetica Neue"/>
                <w:color w:val="24384D"/>
                <w:sz w:val="17"/>
              </w:rPr>
              <w:t>One route owner prevents every follower from independently interpreting the job.</w:t>
            </w:r>
          </w:p>
        </w:tc>
      </w:tr>
      <w:tr>
        <w:trPr>
          <w:cantSplit/>
        </w:trPr>
        <w:tc>
          <w:tcPr>
            <w:tcW w:type="dxa" w:w="2880"/>
            <w:shd w:fill="F4F7FA"/>
            <w:vAlign w:val="center"/>
            <w:tcMar>
              <w:top w:w="105" w:type="dxa"/>
              <w:start w:w="120" w:type="dxa"/>
              <w:bottom w:w="105" w:type="dxa"/>
              <w:end w:w="120" w:type="dxa"/>
            </w:tcMar>
          </w:tcPr>
          <w:p>
            <w:pPr>
              <w:spacing w:after="0"/>
            </w:pPr>
            <w:r>
              <w:rPr>
                <w:rFonts w:ascii="Helvetica Neue" w:hAnsi="Helvetica Neue"/>
                <w:color w:val="24384D"/>
                <w:sz w:val="17"/>
              </w:rPr>
              <w:t>Global localization and path planning</w:t>
            </w:r>
          </w:p>
        </w:tc>
        <w:tc>
          <w:tcPr>
            <w:tcW w:type="dxa" w:w="7200"/>
            <w:shd w:fill="F4F7FA"/>
            <w:vAlign w:val="center"/>
            <w:tcMar>
              <w:top w:w="105" w:type="dxa"/>
              <w:start w:w="120" w:type="dxa"/>
              <w:bottom w:w="105" w:type="dxa"/>
              <w:end w:w="120" w:type="dxa"/>
            </w:tcMar>
          </w:tcPr>
          <w:p>
            <w:pPr>
              <w:spacing w:after="0"/>
            </w:pPr>
            <w:r>
              <w:rPr>
                <w:rFonts w:ascii="Helvetica Neue" w:hAnsi="Helvetica Neue"/>
                <w:color w:val="24384D"/>
                <w:sz w:val="17"/>
              </w:rPr>
              <w:t>Only the leader needs the complete route to guide the convoy through the facility.</w:t>
            </w:r>
          </w:p>
        </w:tc>
      </w:tr>
      <w:tr>
        <w:trPr>
          <w:cantSplit/>
        </w:trPr>
        <w:tc>
          <w:tcPr>
            <w:tcW w:type="dxa" w:w="2880"/>
            <w:shd w:fill="E5F0F8"/>
            <w:vAlign w:val="center"/>
            <w:tcMar>
              <w:top w:w="105" w:type="dxa"/>
              <w:start w:w="120" w:type="dxa"/>
              <w:bottom w:w="105" w:type="dxa"/>
              <w:end w:w="120" w:type="dxa"/>
            </w:tcMar>
          </w:tcPr>
          <w:p>
            <w:pPr>
              <w:spacing w:after="0"/>
            </w:pPr>
            <w:r>
              <w:rPr>
                <w:rFonts w:ascii="Helvetica Neue" w:hAnsi="Helvetica Neue"/>
                <w:color w:val="24384D"/>
                <w:sz w:val="17"/>
              </w:rPr>
              <w:t>Speed and curvature profile</w:t>
            </w:r>
          </w:p>
        </w:tc>
        <w:tc>
          <w:tcPr>
            <w:tcW w:type="dxa" w:w="7200"/>
            <w:shd w:fill="E5F0F8"/>
            <w:vAlign w:val="center"/>
            <w:tcMar>
              <w:top w:w="105" w:type="dxa"/>
              <w:start w:w="120" w:type="dxa"/>
              <w:bottom w:w="105" w:type="dxa"/>
              <w:end w:w="120" w:type="dxa"/>
            </w:tcMar>
          </w:tcPr>
          <w:p>
            <w:pPr>
              <w:spacing w:after="0"/>
            </w:pPr>
            <w:r>
              <w:rPr>
                <w:rFonts w:ascii="Helvetica Neue" w:hAnsi="Helvetica Neue"/>
                <w:color w:val="24384D"/>
                <w:sz w:val="17"/>
              </w:rPr>
              <w:t>A conservative leader profile limits acceleration and cornering demands passed down the chain.</w:t>
            </w:r>
          </w:p>
        </w:tc>
      </w:tr>
      <w:tr>
        <w:trPr>
          <w:cantSplit/>
        </w:trPr>
        <w:tc>
          <w:tcPr>
            <w:tcW w:type="dxa" w:w="2880"/>
            <w:shd w:fill="F4F7FA"/>
            <w:vAlign w:val="center"/>
            <w:tcMar>
              <w:top w:w="105" w:type="dxa"/>
              <w:start w:w="120" w:type="dxa"/>
              <w:bottom w:w="105" w:type="dxa"/>
              <w:end w:w="120" w:type="dxa"/>
            </w:tcMar>
          </w:tcPr>
          <w:p>
            <w:pPr>
              <w:spacing w:after="0"/>
            </w:pPr>
            <w:r>
              <w:rPr>
                <w:rFonts w:ascii="Helvetica Neue" w:hAnsi="Helvetica Neue"/>
                <w:color w:val="24384D"/>
                <w:sz w:val="17"/>
              </w:rPr>
              <w:t>Obstacle response</w:t>
            </w:r>
          </w:p>
        </w:tc>
        <w:tc>
          <w:tcPr>
            <w:tcW w:type="dxa" w:w="7200"/>
            <w:shd w:fill="F4F7FA"/>
            <w:vAlign w:val="center"/>
            <w:tcMar>
              <w:top w:w="105" w:type="dxa"/>
              <w:start w:w="120" w:type="dxa"/>
              <w:bottom w:w="105" w:type="dxa"/>
              <w:end w:w="120" w:type="dxa"/>
            </w:tcMar>
          </w:tcPr>
          <w:p>
            <w:pPr>
              <w:spacing w:after="0"/>
            </w:pPr>
            <w:r>
              <w:rPr>
                <w:rFonts w:ascii="Helvetica Neue" w:hAnsi="Helvetica Neue"/>
                <w:color w:val="24384D"/>
                <w:sz w:val="17"/>
              </w:rPr>
              <w:t>The leader initiates planned slowing or stopping when the route becomes blocked.</w:t>
            </w:r>
          </w:p>
        </w:tc>
      </w:tr>
      <w:tr>
        <w:trPr>
          <w:cantSplit/>
        </w:trPr>
        <w:tc>
          <w:tcPr>
            <w:tcW w:type="dxa" w:w="2880"/>
            <w:shd w:fill="E5F0F8"/>
            <w:vAlign w:val="center"/>
            <w:tcMar>
              <w:top w:w="105" w:type="dxa"/>
              <w:start w:w="120" w:type="dxa"/>
              <w:bottom w:w="105" w:type="dxa"/>
              <w:end w:w="120" w:type="dxa"/>
            </w:tcMar>
          </w:tcPr>
          <w:p>
            <w:pPr>
              <w:spacing w:after="0"/>
            </w:pPr>
            <w:r>
              <w:rPr>
                <w:rFonts w:ascii="Helvetica Neue" w:hAnsi="Helvetica Neue"/>
                <w:color w:val="24384D"/>
                <w:sz w:val="17"/>
              </w:rPr>
              <w:t>Trackable rear target</w:t>
            </w:r>
          </w:p>
        </w:tc>
        <w:tc>
          <w:tcPr>
            <w:tcW w:type="dxa" w:w="7200"/>
            <w:shd w:fill="E5F0F8"/>
            <w:vAlign w:val="center"/>
            <w:tcMar>
              <w:top w:w="105" w:type="dxa"/>
              <w:start w:w="120" w:type="dxa"/>
              <w:bottom w:w="105" w:type="dxa"/>
              <w:end w:w="120" w:type="dxa"/>
            </w:tcMar>
          </w:tcPr>
          <w:p>
            <w:pPr>
              <w:spacing w:after="0"/>
            </w:pPr>
            <w:r>
              <w:rPr>
                <w:rFonts w:ascii="Helvetica Neue" w:hAnsi="Helvetica Neue"/>
                <w:color w:val="24384D"/>
                <w:sz w:val="17"/>
              </w:rPr>
              <w:t>A known appearance and geometry improve range, bearing, and confidence estimation for Follower 1.</w:t>
            </w:r>
          </w:p>
        </w:tc>
      </w:tr>
      <w:tr>
        <w:trPr>
          <w:cantSplit/>
        </w:trPr>
        <w:tc>
          <w:tcPr>
            <w:tcW w:type="dxa" w:w="2880"/>
            <w:shd w:fill="F4F7FA"/>
            <w:vAlign w:val="center"/>
            <w:tcMar>
              <w:top w:w="105" w:type="dxa"/>
              <w:start w:w="120" w:type="dxa"/>
              <w:bottom w:w="105" w:type="dxa"/>
              <w:end w:w="120" w:type="dxa"/>
            </w:tcMar>
          </w:tcPr>
          <w:p>
            <w:pPr>
              <w:spacing w:after="0"/>
            </w:pPr>
            <w:r>
              <w:rPr>
                <w:rFonts w:ascii="Helvetica Neue" w:hAnsi="Helvetica Neue"/>
                <w:color w:val="24384D"/>
                <w:sz w:val="17"/>
              </w:rPr>
              <w:t>Convoy status</w:t>
            </w:r>
          </w:p>
        </w:tc>
        <w:tc>
          <w:tcPr>
            <w:tcW w:type="dxa" w:w="7200"/>
            <w:shd w:fill="F4F7FA"/>
            <w:vAlign w:val="center"/>
            <w:tcMar>
              <w:top w:w="105" w:type="dxa"/>
              <w:start w:w="120" w:type="dxa"/>
              <w:bottom w:w="105" w:type="dxa"/>
              <w:end w:w="120" w:type="dxa"/>
            </w:tcMar>
          </w:tcPr>
          <w:p>
            <w:pPr>
              <w:spacing w:after="0"/>
            </w:pPr>
            <w:r>
              <w:rPr>
                <w:rFonts w:ascii="Helvetica Neue" w:hAnsi="Helvetica Neue"/>
                <w:color w:val="24384D"/>
                <w:sz w:val="17"/>
              </w:rPr>
              <w:t>The leader should not continue a mission when a follower reports a safety stop or unrecoverable fault.</w:t>
            </w:r>
          </w:p>
        </w:tc>
      </w:tr>
    </w:tbl>
    <w:p>
      <w:pPr>
        <w:spacing w:after="20"/>
      </w:pPr>
    </w:p>
    <w:p>
      <w:pPr>
        <w:keepNext w:val="0"/>
        <w:spacing w:after="120"/>
      </w:pPr>
      <w:r>
        <w:rPr>
          <w:rFonts w:ascii="Helvetica Neue" w:hAnsi="Helvetica Neue"/>
          <w:color w:val="000000"/>
          <w:sz w:val="21"/>
        </w:rPr>
        <w:t>The leader remains a mission-level dependency, so loss of the leader must stop or reassign the convoy. Decentralization does not remove that operational dependency. It removes the need for a remote computer to generate every follower wheel command.</w:t>
      </w:r>
    </w:p>
    <w:p>
      <w:r>
        <w:br w:type="page"/>
      </w:r>
    </w:p>
    <w:p>
      <w:pPr>
        <w:pStyle w:val="Heading1"/>
        <w:keepNext/>
      </w:pPr>
      <w:r>
        <w:rPr>
          <w:rFonts w:ascii="Helvetica Neue" w:hAnsi="Helvetica Neue"/>
          <w:b/>
          <w:color w:val="0B3153"/>
          <w:sz w:val="34"/>
        </w:rPr>
        <w:t>6 Follower Responsibilities and Local Control</w:t>
      </w:r>
    </w:p>
    <w:p>
      <w:pPr>
        <w:keepNext w:val="0"/>
        <w:spacing w:after="120"/>
      </w:pPr>
      <w:r>
        <w:rPr>
          <w:rFonts w:ascii="Helvetica Neue" w:hAnsi="Helvetica Neue"/>
          <w:color w:val="000000"/>
          <w:sz w:val="21"/>
        </w:rPr>
        <w:t>Each follower is an independently driven load carrier. It detects the robot immediately ahead, estimates relative range and bearing, predicts short measurement gaps, and commands bounded linear and angular velocity. The initial design uses TRACK, PREDICT, and SAFE STOP states. A follower enters prediction only for a short, bounded interval and stops when confidence or uncertainty crosses a declared limit.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223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Follower input</w:t>
            </w:r>
          </w:p>
        </w:tc>
        <w:tc>
          <w:tcPr>
            <w:tcW w:type="dxa" w:w="367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Local computation</w:t>
            </w:r>
          </w:p>
        </w:tc>
        <w:tc>
          <w:tcPr>
            <w:tcW w:type="dxa" w:w="4176"/>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Required behavior</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7"/>
              </w:rPr>
              <w:t>Forward RGB image</w:t>
            </w:r>
          </w:p>
        </w:tc>
        <w:tc>
          <w:tcPr>
            <w:tcW w:type="dxa" w:w="3672"/>
            <w:shd w:fill="E5F0F8"/>
            <w:vAlign w:val="center"/>
            <w:tcMar>
              <w:top w:w="105" w:type="dxa"/>
              <w:start w:w="120" w:type="dxa"/>
              <w:bottom w:w="105" w:type="dxa"/>
              <w:end w:w="120" w:type="dxa"/>
            </w:tcMar>
          </w:tcPr>
          <w:p>
            <w:pPr>
              <w:spacing w:after="0"/>
            </w:pPr>
            <w:r>
              <w:rPr>
                <w:rFonts w:ascii="Helvetica Neue" w:hAnsi="Helvetica Neue"/>
                <w:color w:val="24384D"/>
                <w:sz w:val="17"/>
              </w:rPr>
              <w:t>Leader or predecessor detection and confidence</w:t>
            </w:r>
          </w:p>
        </w:tc>
        <w:tc>
          <w:tcPr>
            <w:tcW w:type="dxa" w:w="4176"/>
            <w:shd w:fill="E5F0F8"/>
            <w:vAlign w:val="center"/>
            <w:tcMar>
              <w:top w:w="105" w:type="dxa"/>
              <w:start w:w="120" w:type="dxa"/>
              <w:bottom w:w="105" w:type="dxa"/>
              <w:end w:w="120" w:type="dxa"/>
            </w:tcMar>
          </w:tcPr>
          <w:p>
            <w:pPr>
              <w:spacing w:after="0"/>
            </w:pPr>
            <w:r>
              <w:rPr>
                <w:rFonts w:ascii="Helvetica Neue" w:hAnsi="Helvetica Neue"/>
                <w:color w:val="24384D"/>
                <w:sz w:val="17"/>
              </w:rPr>
              <w:t>Use only recent, valid observations inside the declared field of view.</w:t>
            </w:r>
          </w:p>
        </w:tc>
      </w:tr>
      <w:tr>
        <w:trPr>
          <w:cantSplit/>
        </w:trP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7"/>
              </w:rPr>
              <w:t>Wheel odometry</w:t>
            </w:r>
          </w:p>
        </w:tc>
        <w:tc>
          <w:tcPr>
            <w:tcW w:type="dxa" w:w="3672"/>
            <w:shd w:fill="F4F7FA"/>
            <w:vAlign w:val="center"/>
            <w:tcMar>
              <w:top w:w="105" w:type="dxa"/>
              <w:start w:w="120" w:type="dxa"/>
              <w:bottom w:w="105" w:type="dxa"/>
              <w:end w:w="120" w:type="dxa"/>
            </w:tcMar>
          </w:tcPr>
          <w:p>
            <w:pPr>
              <w:spacing w:after="0"/>
            </w:pPr>
            <w:r>
              <w:rPr>
                <w:rFonts w:ascii="Helvetica Neue" w:hAnsi="Helvetica Neue"/>
                <w:color w:val="24384D"/>
                <w:sz w:val="17"/>
              </w:rPr>
              <w:t>Motion prediction between image updates</w:t>
            </w:r>
          </w:p>
        </w:tc>
        <w:tc>
          <w:tcPr>
            <w:tcW w:type="dxa" w:w="4176"/>
            <w:shd w:fill="F4F7FA"/>
            <w:vAlign w:val="center"/>
            <w:tcMar>
              <w:top w:w="105" w:type="dxa"/>
              <w:start w:w="120" w:type="dxa"/>
              <w:bottom w:w="105" w:type="dxa"/>
              <w:end w:w="120" w:type="dxa"/>
            </w:tcMar>
          </w:tcPr>
          <w:p>
            <w:pPr>
              <w:spacing w:after="0"/>
            </w:pPr>
            <w:r>
              <w:rPr>
                <w:rFonts w:ascii="Helvetica Neue" w:hAnsi="Helvetica Neue"/>
                <w:color w:val="24384D"/>
                <w:sz w:val="17"/>
              </w:rPr>
              <w:t>Reject stale timestamps and expose uncertainty growth.</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7"/>
              </w:rPr>
              <w:t>Relative range and bearing</w:t>
            </w:r>
          </w:p>
        </w:tc>
        <w:tc>
          <w:tcPr>
            <w:tcW w:type="dxa" w:w="3672"/>
            <w:shd w:fill="E5F0F8"/>
            <w:vAlign w:val="center"/>
            <w:tcMar>
              <w:top w:w="105" w:type="dxa"/>
              <w:start w:w="120" w:type="dxa"/>
              <w:bottom w:w="105" w:type="dxa"/>
              <w:end w:w="120" w:type="dxa"/>
            </w:tcMar>
          </w:tcPr>
          <w:p>
            <w:pPr>
              <w:spacing w:after="0"/>
            </w:pPr>
            <w:r>
              <w:rPr>
                <w:rFonts w:ascii="Helvetica Neue" w:hAnsi="Helvetica Neue"/>
                <w:color w:val="24384D"/>
                <w:sz w:val="17"/>
              </w:rPr>
              <w:t>State estimation and formation error</w:t>
            </w:r>
          </w:p>
        </w:tc>
        <w:tc>
          <w:tcPr>
            <w:tcW w:type="dxa" w:w="4176"/>
            <w:shd w:fill="E5F0F8"/>
            <w:vAlign w:val="center"/>
            <w:tcMar>
              <w:top w:w="105" w:type="dxa"/>
              <w:start w:w="120" w:type="dxa"/>
              <w:bottom w:w="105" w:type="dxa"/>
              <w:end w:w="120" w:type="dxa"/>
            </w:tcMar>
          </w:tcPr>
          <w:p>
            <w:pPr>
              <w:spacing w:after="0"/>
            </w:pPr>
            <w:r>
              <w:rPr>
                <w:rFonts w:ascii="Helvetica Neue" w:hAnsi="Helvetica Neue"/>
                <w:color w:val="24384D"/>
                <w:sz w:val="17"/>
              </w:rPr>
              <w:t>Maintain the commanded gap without exceeding acceleration or speed limits.</w:t>
            </w:r>
          </w:p>
        </w:tc>
      </w:tr>
      <w:tr>
        <w:trPr>
          <w:cantSplit/>
        </w:trP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7"/>
              </w:rPr>
              <w:t>Detection health</w:t>
            </w:r>
          </w:p>
        </w:tc>
        <w:tc>
          <w:tcPr>
            <w:tcW w:type="dxa" w:w="3672"/>
            <w:shd w:fill="F4F7FA"/>
            <w:vAlign w:val="center"/>
            <w:tcMar>
              <w:top w:w="105" w:type="dxa"/>
              <w:start w:w="120" w:type="dxa"/>
              <w:bottom w:w="105" w:type="dxa"/>
              <w:end w:w="120" w:type="dxa"/>
            </w:tcMar>
          </w:tcPr>
          <w:p>
            <w:pPr>
              <w:spacing w:after="0"/>
            </w:pPr>
            <w:r>
              <w:rPr>
                <w:rFonts w:ascii="Helvetica Neue" w:hAnsi="Helvetica Neue"/>
                <w:color w:val="24384D"/>
                <w:sz w:val="17"/>
              </w:rPr>
              <w:t>Supervisory state transition</w:t>
            </w:r>
          </w:p>
        </w:tc>
        <w:tc>
          <w:tcPr>
            <w:tcW w:type="dxa" w:w="4176"/>
            <w:shd w:fill="F4F7FA"/>
            <w:vAlign w:val="center"/>
            <w:tcMar>
              <w:top w:w="105" w:type="dxa"/>
              <w:start w:w="120" w:type="dxa"/>
              <w:bottom w:w="105" w:type="dxa"/>
              <w:end w:w="120" w:type="dxa"/>
            </w:tcMar>
          </w:tcPr>
          <w:p>
            <w:pPr>
              <w:spacing w:after="0"/>
            </w:pPr>
            <w:r>
              <w:rPr>
                <w:rFonts w:ascii="Helvetica Neue" w:hAnsi="Helvetica Neue"/>
                <w:color w:val="24384D"/>
                <w:sz w:val="17"/>
              </w:rPr>
              <w:t>Track when confident, predict briefly, and stop safely after the timeout.</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7"/>
              </w:rPr>
              <w:t>Predecessor and convoy status</w:t>
            </w:r>
          </w:p>
        </w:tc>
        <w:tc>
          <w:tcPr>
            <w:tcW w:type="dxa" w:w="3672"/>
            <w:shd w:fill="E5F0F8"/>
            <w:vAlign w:val="center"/>
            <w:tcMar>
              <w:top w:w="105" w:type="dxa"/>
              <w:start w:w="120" w:type="dxa"/>
              <w:bottom w:w="105" w:type="dxa"/>
              <w:end w:w="120" w:type="dxa"/>
            </w:tcMar>
          </w:tcPr>
          <w:p>
            <w:pPr>
              <w:spacing w:after="0"/>
            </w:pPr>
            <w:r>
              <w:rPr>
                <w:rFonts w:ascii="Helvetica Neue" w:hAnsi="Helvetica Neue"/>
                <w:color w:val="24384D"/>
                <w:sz w:val="17"/>
              </w:rPr>
              <w:t>Fault propagation</w:t>
            </w:r>
          </w:p>
        </w:tc>
        <w:tc>
          <w:tcPr>
            <w:tcW w:type="dxa" w:w="4176"/>
            <w:shd w:fill="E5F0F8"/>
            <w:vAlign w:val="center"/>
            <w:tcMar>
              <w:top w:w="105" w:type="dxa"/>
              <w:start w:w="120" w:type="dxa"/>
              <w:bottom w:w="105" w:type="dxa"/>
              <w:end w:w="120" w:type="dxa"/>
            </w:tcMar>
          </w:tcPr>
          <w:p>
            <w:pPr>
              <w:spacing w:after="0"/>
            </w:pPr>
            <w:r>
              <w:rPr>
                <w:rFonts w:ascii="Helvetica Neue" w:hAnsi="Helvetica Neue"/>
                <w:color w:val="24384D"/>
                <w:sz w:val="17"/>
              </w:rPr>
              <w:t>Prevent trailing robots from continuing into a stopped section of the convoy.</w:t>
            </w:r>
          </w:p>
        </w:tc>
      </w:tr>
    </w:tbl>
    <w:p>
      <w:pPr>
        <w:spacing w:after="20"/>
      </w:pPr>
    </w:p>
    <w:p>
      <w:pPr>
        <w:pStyle w:val="Heading1"/>
        <w:keepNext/>
      </w:pPr>
      <w:r>
        <w:rPr>
          <w:rFonts w:ascii="Helvetica Neue" w:hAnsi="Helvetica Neue"/>
          <w:b/>
          <w:color w:val="0B3153"/>
          <w:sz w:val="34"/>
        </w:rPr>
        <w:t>7 Why Leader Follower Coordination Is Useful</w:t>
      </w:r>
    </w:p>
    <w:p>
      <w:pPr>
        <w:keepNext w:val="0"/>
        <w:spacing w:after="120"/>
      </w:pPr>
      <w:r>
        <w:rPr>
          <w:rFonts w:ascii="Helvetica Neue" w:hAnsi="Helvetica Neue"/>
          <w:color w:val="000000"/>
          <w:sz w:val="21"/>
        </w:rPr>
        <w:t>Leader-follower coordination is useful when several loads share a route and the facility wants to change convoy capacity without mechanically coupling every cart. The leader concentrates global navigation and traffic decisions. Followers reuse the motion intent expressed by the robot ahead. This can reduce duplicated route-planning hardware and simplify job configuration, although the final design must retain enough sensing and compute on every robot for independent safety and fault handling.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1944"/>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Benefit</w:t>
            </w:r>
          </w:p>
        </w:tc>
        <w:tc>
          <w:tcPr>
            <w:tcW w:type="dxa" w:w="3816"/>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Operational reason</w:t>
            </w:r>
          </w:p>
        </w:tc>
        <w:tc>
          <w:tcPr>
            <w:tcW w:type="dxa" w:w="432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Condition for the benefit to hold</w:t>
            </w:r>
          </w:p>
        </w:tc>
      </w:tr>
      <w:tr>
        <w:trPr>
          <w:cantSplit/>
        </w:trPr>
        <w:tc>
          <w:tcPr>
            <w:tcW w:type="dxa" w:w="1944"/>
            <w:shd w:fill="E5F0F8"/>
            <w:vAlign w:val="center"/>
            <w:tcMar>
              <w:top w:w="105" w:type="dxa"/>
              <w:start w:w="120" w:type="dxa"/>
              <w:bottom w:w="105" w:type="dxa"/>
              <w:end w:w="120" w:type="dxa"/>
            </w:tcMar>
          </w:tcPr>
          <w:p>
            <w:pPr>
              <w:spacing w:after="0"/>
            </w:pPr>
            <w:r>
              <w:rPr>
                <w:rFonts w:ascii="Helvetica Neue" w:hAnsi="Helvetica Neue"/>
                <w:color w:val="24384D"/>
                <w:sz w:val="17"/>
              </w:rPr>
              <w:t>Variable carrying capacity</w:t>
            </w:r>
          </w:p>
        </w:tc>
        <w:tc>
          <w:tcPr>
            <w:tcW w:type="dxa" w:w="3816"/>
            <w:shd w:fill="E5F0F8"/>
            <w:vAlign w:val="center"/>
            <w:tcMar>
              <w:top w:w="105" w:type="dxa"/>
              <w:start w:w="120" w:type="dxa"/>
              <w:bottom w:w="105" w:type="dxa"/>
              <w:end w:w="120" w:type="dxa"/>
            </w:tcMar>
          </w:tcPr>
          <w:p>
            <w:pPr>
              <w:spacing w:after="0"/>
            </w:pPr>
            <w:r>
              <w:rPr>
                <w:rFonts w:ascii="Helvetica Neue" w:hAnsi="Helvetica Neue"/>
                <w:color w:val="24384D"/>
                <w:sz w:val="17"/>
              </w:rPr>
              <w:t>Followers can be added or removed for a delivery wave.</w:t>
            </w:r>
          </w:p>
        </w:tc>
        <w:tc>
          <w:tcPr>
            <w:tcW w:type="dxa" w:w="4320"/>
            <w:shd w:fill="E5F0F8"/>
            <w:vAlign w:val="center"/>
            <w:tcMar>
              <w:top w:w="105" w:type="dxa"/>
              <w:start w:w="120" w:type="dxa"/>
              <w:bottom w:w="105" w:type="dxa"/>
              <w:end w:w="120" w:type="dxa"/>
            </w:tcMar>
          </w:tcPr>
          <w:p>
            <w:pPr>
              <w:spacing w:after="0"/>
            </w:pPr>
            <w:r>
              <w:rPr>
                <w:rFonts w:ascii="Helvetica Neue" w:hAnsi="Helvetica Neue"/>
                <w:color w:val="24384D"/>
                <w:sz w:val="17"/>
              </w:rPr>
              <w:t>The route and stopping model must be validated for the resulting convoy length.</w:t>
            </w:r>
          </w:p>
        </w:tc>
      </w:tr>
      <w:tr>
        <w:trPr>
          <w:cantSplit/>
        </w:trPr>
        <w:tc>
          <w:tcPr>
            <w:tcW w:type="dxa" w:w="1944"/>
            <w:shd w:fill="F4F7FA"/>
            <w:vAlign w:val="center"/>
            <w:tcMar>
              <w:top w:w="105" w:type="dxa"/>
              <w:start w:w="120" w:type="dxa"/>
              <w:bottom w:w="105" w:type="dxa"/>
              <w:end w:w="120" w:type="dxa"/>
            </w:tcMar>
          </w:tcPr>
          <w:p>
            <w:pPr>
              <w:spacing w:after="0"/>
            </w:pPr>
            <w:r>
              <w:rPr>
                <w:rFonts w:ascii="Helvetica Neue" w:hAnsi="Helvetica Neue"/>
                <w:color w:val="24384D"/>
                <w:sz w:val="17"/>
              </w:rPr>
              <w:t>Fewer repeated trips</w:t>
            </w:r>
          </w:p>
        </w:tc>
        <w:tc>
          <w:tcPr>
            <w:tcW w:type="dxa" w:w="3816"/>
            <w:shd w:fill="F4F7FA"/>
            <w:vAlign w:val="center"/>
            <w:tcMar>
              <w:top w:w="105" w:type="dxa"/>
              <w:start w:w="120" w:type="dxa"/>
              <w:bottom w:w="105" w:type="dxa"/>
              <w:end w:w="120" w:type="dxa"/>
            </w:tcMar>
          </w:tcPr>
          <w:p>
            <w:pPr>
              <w:spacing w:after="0"/>
            </w:pPr>
            <w:r>
              <w:rPr>
                <w:rFonts w:ascii="Helvetica Neue" w:hAnsi="Helvetica Neue"/>
                <w:color w:val="24384D"/>
                <w:sz w:val="17"/>
              </w:rPr>
              <w:t>One mission can move several powered carts along the same path.</w:t>
            </w:r>
          </w:p>
        </w:tc>
        <w:tc>
          <w:tcPr>
            <w:tcW w:type="dxa" w:w="4320"/>
            <w:shd w:fill="F4F7FA"/>
            <w:vAlign w:val="center"/>
            <w:tcMar>
              <w:top w:w="105" w:type="dxa"/>
              <w:start w:w="120" w:type="dxa"/>
              <w:bottom w:w="105" w:type="dxa"/>
              <w:end w:w="120" w:type="dxa"/>
            </w:tcMar>
          </w:tcPr>
          <w:p>
            <w:pPr>
              <w:spacing w:after="0"/>
            </w:pPr>
            <w:r>
              <w:rPr>
                <w:rFonts w:ascii="Helvetica Neue" w:hAnsi="Helvetica Neue"/>
                <w:color w:val="24384D"/>
                <w:sz w:val="17"/>
              </w:rPr>
              <w:t>Pickup and drop-off handling must support the convoy workflow.</w:t>
            </w:r>
          </w:p>
        </w:tc>
      </w:tr>
      <w:tr>
        <w:trPr>
          <w:cantSplit/>
        </w:trPr>
        <w:tc>
          <w:tcPr>
            <w:tcW w:type="dxa" w:w="1944"/>
            <w:shd w:fill="E5F0F8"/>
            <w:vAlign w:val="center"/>
            <w:tcMar>
              <w:top w:w="105" w:type="dxa"/>
              <w:start w:w="120" w:type="dxa"/>
              <w:bottom w:w="105" w:type="dxa"/>
              <w:end w:w="120" w:type="dxa"/>
            </w:tcMar>
          </w:tcPr>
          <w:p>
            <w:pPr>
              <w:spacing w:after="0"/>
            </w:pPr>
            <w:r>
              <w:rPr>
                <w:rFonts w:ascii="Helvetica Neue" w:hAnsi="Helvetica Neue"/>
                <w:color w:val="24384D"/>
                <w:sz w:val="17"/>
              </w:rPr>
              <w:t>Brownfield fit</w:t>
            </w:r>
          </w:p>
        </w:tc>
        <w:tc>
          <w:tcPr>
            <w:tcW w:type="dxa" w:w="3816"/>
            <w:shd w:fill="E5F0F8"/>
            <w:vAlign w:val="center"/>
            <w:tcMar>
              <w:top w:w="105" w:type="dxa"/>
              <w:start w:w="120" w:type="dxa"/>
              <w:bottom w:w="105" w:type="dxa"/>
              <w:end w:w="120" w:type="dxa"/>
            </w:tcMar>
          </w:tcPr>
          <w:p>
            <w:pPr>
              <w:spacing w:after="0"/>
            </w:pPr>
            <w:r>
              <w:rPr>
                <w:rFonts w:ascii="Helvetica Neue" w:hAnsi="Helvetica Neue"/>
                <w:color w:val="24384D"/>
                <w:sz w:val="17"/>
              </w:rPr>
              <w:t>The concept uses mobile robots in existing aisles instead of a new fixed conveyor.</w:t>
            </w:r>
          </w:p>
        </w:tc>
        <w:tc>
          <w:tcPr>
            <w:tcW w:type="dxa" w:w="4320"/>
            <w:shd w:fill="E5F0F8"/>
            <w:vAlign w:val="center"/>
            <w:tcMar>
              <w:top w:w="105" w:type="dxa"/>
              <w:start w:w="120" w:type="dxa"/>
              <w:bottom w:w="105" w:type="dxa"/>
              <w:end w:w="120" w:type="dxa"/>
            </w:tcMar>
          </w:tcPr>
          <w:p>
            <w:pPr>
              <w:spacing w:after="0"/>
            </w:pPr>
            <w:r>
              <w:rPr>
                <w:rFonts w:ascii="Helvetica Neue" w:hAnsi="Helvetica Neue"/>
                <w:color w:val="24384D"/>
                <w:sz w:val="17"/>
              </w:rPr>
              <w:t>The site must have sufficient aisle width, visibility, floor quality, and safe zones.</w:t>
            </w:r>
          </w:p>
        </w:tc>
      </w:tr>
      <w:tr>
        <w:trPr>
          <w:cantSplit/>
        </w:trPr>
        <w:tc>
          <w:tcPr>
            <w:tcW w:type="dxa" w:w="1944"/>
            <w:shd w:fill="F4F7FA"/>
            <w:vAlign w:val="center"/>
            <w:tcMar>
              <w:top w:w="105" w:type="dxa"/>
              <w:start w:w="120" w:type="dxa"/>
              <w:bottom w:w="105" w:type="dxa"/>
              <w:end w:w="120" w:type="dxa"/>
            </w:tcMar>
          </w:tcPr>
          <w:p>
            <w:pPr>
              <w:spacing w:after="0"/>
            </w:pPr>
            <w:r>
              <w:rPr>
                <w:rFonts w:ascii="Helvetica Neue" w:hAnsi="Helvetica Neue"/>
                <w:color w:val="24384D"/>
                <w:sz w:val="17"/>
              </w:rPr>
              <w:t>Local low-level control</w:t>
            </w:r>
          </w:p>
        </w:tc>
        <w:tc>
          <w:tcPr>
            <w:tcW w:type="dxa" w:w="3816"/>
            <w:shd w:fill="F4F7FA"/>
            <w:vAlign w:val="center"/>
            <w:tcMar>
              <w:top w:w="105" w:type="dxa"/>
              <w:start w:w="120" w:type="dxa"/>
              <w:bottom w:w="105" w:type="dxa"/>
              <w:end w:w="120" w:type="dxa"/>
            </w:tcMar>
          </w:tcPr>
          <w:p>
            <w:pPr>
              <w:spacing w:after="0"/>
            </w:pPr>
            <w:r>
              <w:rPr>
                <w:rFonts w:ascii="Helvetica Neue" w:hAnsi="Helvetica Neue"/>
                <w:color w:val="24384D"/>
                <w:sz w:val="17"/>
              </w:rPr>
              <w:t>Followers do not depend on continuous remote wheel commands.</w:t>
            </w:r>
          </w:p>
        </w:tc>
        <w:tc>
          <w:tcPr>
            <w:tcW w:type="dxa" w:w="4320"/>
            <w:shd w:fill="F4F7FA"/>
            <w:vAlign w:val="center"/>
            <w:tcMar>
              <w:top w:w="105" w:type="dxa"/>
              <w:start w:w="120" w:type="dxa"/>
              <w:bottom w:w="105" w:type="dxa"/>
              <w:end w:w="120" w:type="dxa"/>
            </w:tcMar>
          </w:tcPr>
          <w:p>
            <w:pPr>
              <w:spacing w:after="0"/>
            </w:pPr>
            <w:r>
              <w:rPr>
                <w:rFonts w:ascii="Helvetica Neue" w:hAnsi="Helvetica Neue"/>
                <w:color w:val="24384D"/>
                <w:sz w:val="17"/>
              </w:rPr>
              <w:t>Status communication, fault propagation, and mission supervision are still required.</w:t>
            </w:r>
          </w:p>
        </w:tc>
      </w:tr>
      <w:tr>
        <w:trPr>
          <w:cantSplit/>
        </w:trPr>
        <w:tc>
          <w:tcPr>
            <w:tcW w:type="dxa" w:w="1944"/>
            <w:shd w:fill="E5F0F8"/>
            <w:vAlign w:val="center"/>
            <w:tcMar>
              <w:top w:w="105" w:type="dxa"/>
              <w:start w:w="120" w:type="dxa"/>
              <w:bottom w:w="105" w:type="dxa"/>
              <w:end w:w="120" w:type="dxa"/>
            </w:tcMar>
          </w:tcPr>
          <w:p>
            <w:pPr>
              <w:spacing w:after="0"/>
            </w:pPr>
            <w:r>
              <w:rPr>
                <w:rFonts w:ascii="Helvetica Neue" w:hAnsi="Helvetica Neue"/>
                <w:color w:val="24384D"/>
                <w:sz w:val="17"/>
              </w:rPr>
              <w:t>Staged development</w:t>
            </w:r>
          </w:p>
        </w:tc>
        <w:tc>
          <w:tcPr>
            <w:tcW w:type="dxa" w:w="3816"/>
            <w:shd w:fill="E5F0F8"/>
            <w:vAlign w:val="center"/>
            <w:tcMar>
              <w:top w:w="105" w:type="dxa"/>
              <w:start w:w="120" w:type="dxa"/>
              <w:bottom w:w="105" w:type="dxa"/>
              <w:end w:w="120" w:type="dxa"/>
            </w:tcMar>
          </w:tcPr>
          <w:p>
            <w:pPr>
              <w:spacing w:after="0"/>
            </w:pPr>
            <w:r>
              <w:rPr>
                <w:rFonts w:ascii="Helvetica Neue" w:hAnsi="Helvetica Neue"/>
                <w:color w:val="24384D"/>
                <w:sz w:val="17"/>
              </w:rPr>
              <w:t>The formation layer can be tested first in simulation and then on one pair.</w:t>
            </w:r>
          </w:p>
        </w:tc>
        <w:tc>
          <w:tcPr>
            <w:tcW w:type="dxa" w:w="4320"/>
            <w:shd w:fill="E5F0F8"/>
            <w:vAlign w:val="center"/>
            <w:tcMar>
              <w:top w:w="105" w:type="dxa"/>
              <w:start w:w="120" w:type="dxa"/>
              <w:bottom w:w="105" w:type="dxa"/>
              <w:end w:w="120" w:type="dxa"/>
            </w:tcMar>
          </w:tcPr>
          <w:p>
            <w:pPr>
              <w:spacing w:after="0"/>
            </w:pPr>
            <w:r>
              <w:rPr>
                <w:rFonts w:ascii="Helvetica Neue" w:hAnsi="Helvetica Neue"/>
                <w:color w:val="24384D"/>
                <w:sz w:val="17"/>
              </w:rPr>
              <w:t>Each stage must have measurable acceptance criteria before scaling the chain.</w:t>
            </w:r>
          </w:p>
        </w:tc>
      </w:tr>
    </w:tbl>
    <w:p>
      <w:pPr>
        <w:spacing w:after="20"/>
      </w:pPr>
    </w:p>
    <w:p>
      <w:r>
        <w:br w:type="page"/>
      </w:r>
    </w:p>
    <w:p>
      <w:pPr>
        <w:pStyle w:val="Heading1"/>
        <w:keepNext/>
      </w:pPr>
      <w:r>
        <w:rPr>
          <w:rFonts w:ascii="Helvetica Neue" w:hAnsi="Helvetica Neue"/>
          <w:b/>
          <w:color w:val="0B3153"/>
          <w:sz w:val="34"/>
        </w:rPr>
        <w:t>8 Why Vision Only Following Is Worth Studying</w:t>
      </w:r>
    </w:p>
    <w:p>
      <w:pPr>
        <w:keepNext w:val="0"/>
        <w:spacing w:after="120"/>
      </w:pPr>
      <w:r>
        <w:rPr>
          <w:rFonts w:ascii="Helvetica Neue" w:hAnsi="Helvetica Neue"/>
          <w:color w:val="000000"/>
          <w:sz w:val="21"/>
        </w:rPr>
        <w:t>A forward RGB camera is low cost, compact, and information-rich. It can estimate target identity, image position, and apparent scale with one sensor. For this project, camera-only coordination creates a focused research problem that fits the available RTX 3050 Ti laptop GPU and can be measured in Gazebo. It also exposes a real control issue: the follower must keep the target visible while maintaining spacing. Visibility therefore becomes part of the motion constraint rather than a separate perception detail.</w:t>
      </w:r>
    </w:p>
    <w:p>
      <w:pPr>
        <w:keepNext w:val="0"/>
        <w:spacing w:after="120"/>
      </w:pPr>
      <w:r>
        <w:rPr>
          <w:rFonts w:ascii="Helvetica Neue" w:hAnsi="Helvetica Neue"/>
          <w:color w:val="000000"/>
          <w:sz w:val="21"/>
        </w:rPr>
        <w:t>The same choice creates important limits. Monocular scale is ambiguous, appearance changes with lighting and viewpoint, sharp corners can cause occlusion, and one robot can hide another. A long predecessor-following chain can accumulate spacing and steering error. The project will study these failure modes instead of assuming that a camera replaces safety-rated ranging or person detection.</w:t>
      </w:r>
    </w:p>
    <w:p>
      <w:pPr>
        <w:pStyle w:val="Heading1"/>
        <w:keepNext/>
      </w:pPr>
      <w:r>
        <w:rPr>
          <w:rFonts w:ascii="Helvetica Neue" w:hAnsi="Helvetica Neue"/>
          <w:b/>
          <w:color w:val="0B3153"/>
          <w:sz w:val="34"/>
        </w:rPr>
        <w:t>9 Current Toy Simulation Evidence</w:t>
      </w:r>
    </w:p>
    <w:p>
      <w:pPr>
        <w:spacing w:after="60"/>
        <w:jc w:val="center"/>
      </w:pPr>
      <w:r>
        <w:drawing>
          <wp:inline>
            <wp:extent cx="6217920" cy="3497580"/>
            <wp:docPr id="2" name="frame-03" descr="A top-down warehouse maze contains shelf blocks, a leader, and three followers moving along a multi-segment route. Trails show the convoy path and labels identify each robot."/>
            <wp:cNvGraphicFramePr>
              <a:graphicFrameLocks noChangeAspect="1"/>
            </wp:cNvGraphicFramePr>
            <a:graphic>
              <a:graphicData uri="http://schemas.openxmlformats.org/drawingml/2006/picture">
                <pic:pic>
                  <pic:nvPicPr>
                    <pic:cNvPr id="0" name="frame-03.png"/>
                    <pic:cNvPicPr/>
                  </pic:nvPicPr>
                  <pic:blipFill>
                    <a:blip r:embed="rId24"/>
                    <a:stretch>
                      <a:fillRect/>
                    </a:stretch>
                  </pic:blipFill>
                  <pic:spPr>
                    <a:xfrm>
                      <a:off x="0" y="0"/>
                      <a:ext cx="6217920" cy="3497580"/>
                    </a:xfrm>
                    <a:prstGeom prst="rect"/>
                  </pic:spPr>
                </pic:pic>
              </a:graphicData>
            </a:graphic>
          </wp:inline>
        </w:drawing>
      </w:r>
    </w:p>
    <w:p>
      <w:pPr>
        <w:spacing w:after="160"/>
        <w:jc w:val="center"/>
      </w:pPr>
      <w:r>
        <w:rPr>
          <w:rFonts w:ascii="Helvetica Neue" w:hAnsi="Helvetica Neue"/>
          <w:i/>
          <w:color w:val="60758A"/>
          <w:sz w:val="17"/>
        </w:rPr>
        <w:t>Figure 2  Representative frame from the current three-follower warehouse toy simulation</w:t>
      </w:r>
    </w:p>
    <w:p>
      <w:pPr>
        <w:keepNext w:val="0"/>
        <w:spacing w:after="120"/>
      </w:pPr>
      <w:r>
        <w:rPr>
          <w:rFonts w:ascii="Helvetica Neue" w:hAnsi="Helvetica Neue"/>
          <w:color w:val="000000"/>
          <w:sz w:val="21"/>
        </w:rPr>
        <w:t>The current two-dimensional kinematic run contains one leader, 3 followers, six shelf blocks, and 7 path segments over 86 simulated seconds. It recorded zero collision samples. Spacing RMSE was 0.140 m for Follower 1, 0.164 m for Follower 2, and 0.200 m for Follower 3. None of the followers entered SAFE STOP during this nominal run.</w:t>
      </w:r>
    </w:p>
    <w:p>
      <w:pPr>
        <w:keepNext w:val="0"/>
        <w:spacing w:after="120"/>
      </w:pPr>
      <w:r>
        <w:rPr>
          <w:rFonts w:ascii="Helvetica Neue" w:hAnsi="Helvetica Neue"/>
          <w:color w:val="000000"/>
          <w:sz w:val="21"/>
        </w:rPr>
        <w:t>This result demonstrates the planned chain topology, warehouse route, logging, and video presentation. It does not include ROS 2 message timing, Gazebo physics, rendered camera images, learned detection, wheel slip, person traffic, or a safety-rated obstacle system. The increase in spacing error toward the rear of the convoy is also a warning that multi-follower stability must be measured rather than assumed.</w:t>
      </w:r>
    </w:p>
    <w:p>
      <w:r>
        <w:br w:type="page"/>
      </w:r>
    </w:p>
    <w:p>
      <w:pPr>
        <w:pStyle w:val="Heading1"/>
        <w:keepNext/>
      </w:pPr>
      <w:r>
        <w:rPr>
          <w:rFonts w:ascii="Helvetica Neue" w:hAnsi="Helvetica Neue"/>
          <w:b/>
          <w:color w:val="0B3153"/>
          <w:sz w:val="34"/>
        </w:rPr>
        <w:t>10 Industry Level Architecture</w:t>
      </w:r>
    </w:p>
    <w:p>
      <w:pPr>
        <w:keepNext w:val="0"/>
        <w:spacing w:after="120"/>
      </w:pPr>
      <w:r>
        <w:rPr>
          <w:rFonts w:ascii="Helvetica Neue" w:hAnsi="Helvetica Neue"/>
          <w:color w:val="000000"/>
          <w:sz w:val="21"/>
        </w:rPr>
        <w:t>A credible industrial system needs more than the formation controller. I would separate the system into five layers so that a failure in visual following does not remove the robot safety functions.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1944"/>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Layer</w:t>
            </w:r>
          </w:p>
        </w:tc>
        <w:tc>
          <w:tcPr>
            <w:tcW w:type="dxa" w:w="4536"/>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Primary responsibility</w:t>
            </w:r>
          </w:p>
        </w:tc>
        <w:tc>
          <w:tcPr>
            <w:tcW w:type="dxa" w:w="360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Evidence required before deployment</w:t>
            </w:r>
          </w:p>
        </w:tc>
      </w:tr>
      <w:tr>
        <w:trPr>
          <w:cantSplit/>
        </w:trPr>
        <w:tc>
          <w:tcPr>
            <w:tcW w:type="dxa" w:w="1944"/>
            <w:shd w:fill="E5F0F8"/>
            <w:vAlign w:val="center"/>
            <w:tcMar>
              <w:top w:w="105" w:type="dxa"/>
              <w:start w:w="120" w:type="dxa"/>
              <w:bottom w:w="105" w:type="dxa"/>
              <w:end w:w="120" w:type="dxa"/>
            </w:tcMar>
          </w:tcPr>
          <w:p>
            <w:pPr>
              <w:spacing w:after="0"/>
            </w:pPr>
            <w:r>
              <w:rPr>
                <w:rFonts w:ascii="Helvetica Neue" w:hAnsi="Helvetica Neue"/>
                <w:color w:val="24384D"/>
                <w:sz w:val="16"/>
              </w:rPr>
              <w:t>Mission and fleet</w:t>
            </w:r>
          </w:p>
        </w:tc>
        <w:tc>
          <w:tcPr>
            <w:tcW w:type="dxa" w:w="4536"/>
            <w:shd w:fill="E5F0F8"/>
            <w:vAlign w:val="center"/>
            <w:tcMar>
              <w:top w:w="105" w:type="dxa"/>
              <w:start w:w="120" w:type="dxa"/>
              <w:bottom w:w="105" w:type="dxa"/>
              <w:end w:w="120" w:type="dxa"/>
            </w:tcMar>
          </w:tcPr>
          <w:p>
            <w:pPr>
              <w:spacing w:after="0"/>
            </w:pPr>
            <w:r>
              <w:rPr>
                <w:rFonts w:ascii="Helvetica Neue" w:hAnsi="Helvetica Neue"/>
                <w:color w:val="24384D"/>
                <w:sz w:val="16"/>
              </w:rPr>
              <w:t>Job assignment, route ownership, traffic coordination, charging, and recovery.</w:t>
            </w:r>
          </w:p>
        </w:tc>
        <w:tc>
          <w:tcPr>
            <w:tcW w:type="dxa" w:w="3600"/>
            <w:shd w:fill="E5F0F8"/>
            <w:vAlign w:val="center"/>
            <w:tcMar>
              <w:top w:w="105" w:type="dxa"/>
              <w:start w:w="120" w:type="dxa"/>
              <w:bottom w:w="105" w:type="dxa"/>
              <w:end w:w="120" w:type="dxa"/>
            </w:tcMar>
          </w:tcPr>
          <w:p>
            <w:pPr>
              <w:spacing w:after="0"/>
            </w:pPr>
            <w:r>
              <w:rPr>
                <w:rFonts w:ascii="Helvetica Neue" w:hAnsi="Helvetica Neue"/>
                <w:color w:val="24384D"/>
                <w:sz w:val="16"/>
              </w:rPr>
              <w:t>Interface tests, route permissions, fault recovery, and dispatch records.</w:t>
            </w:r>
          </w:p>
        </w:tc>
      </w:tr>
      <w:tr>
        <w:trPr>
          <w:cantSplit/>
        </w:trPr>
        <w:tc>
          <w:tcPr>
            <w:tcW w:type="dxa" w:w="1944"/>
            <w:shd w:fill="F4F7FA"/>
            <w:vAlign w:val="center"/>
            <w:tcMar>
              <w:top w:w="105" w:type="dxa"/>
              <w:start w:w="120" w:type="dxa"/>
              <w:bottom w:w="105" w:type="dxa"/>
              <w:end w:w="120" w:type="dxa"/>
            </w:tcMar>
          </w:tcPr>
          <w:p>
            <w:pPr>
              <w:spacing w:after="0"/>
            </w:pPr>
            <w:r>
              <w:rPr>
                <w:rFonts w:ascii="Helvetica Neue" w:hAnsi="Helvetica Neue"/>
                <w:color w:val="24384D"/>
                <w:sz w:val="16"/>
              </w:rPr>
              <w:t>Leader autonomy</w:t>
            </w:r>
          </w:p>
        </w:tc>
        <w:tc>
          <w:tcPr>
            <w:tcW w:type="dxa" w:w="4536"/>
            <w:shd w:fill="F4F7FA"/>
            <w:vAlign w:val="center"/>
            <w:tcMar>
              <w:top w:w="105" w:type="dxa"/>
              <w:start w:w="120" w:type="dxa"/>
              <w:bottom w:w="105" w:type="dxa"/>
              <w:end w:w="120" w:type="dxa"/>
            </w:tcMar>
          </w:tcPr>
          <w:p>
            <w:pPr>
              <w:spacing w:after="0"/>
            </w:pPr>
            <w:r>
              <w:rPr>
                <w:rFonts w:ascii="Helvetica Neue" w:hAnsi="Helvetica Neue"/>
                <w:color w:val="24384D"/>
                <w:sz w:val="16"/>
              </w:rPr>
              <w:t>Localization, planning, obstacle response, and convoy-aware speed profile.</w:t>
            </w:r>
          </w:p>
        </w:tc>
        <w:tc>
          <w:tcPr>
            <w:tcW w:type="dxa" w:w="3600"/>
            <w:shd w:fill="F4F7FA"/>
            <w:vAlign w:val="center"/>
            <w:tcMar>
              <w:top w:w="105" w:type="dxa"/>
              <w:start w:w="120" w:type="dxa"/>
              <w:bottom w:w="105" w:type="dxa"/>
              <w:end w:w="120" w:type="dxa"/>
            </w:tcMar>
          </w:tcPr>
          <w:p>
            <w:pPr>
              <w:spacing w:after="0"/>
            </w:pPr>
            <w:r>
              <w:rPr>
                <w:rFonts w:ascii="Helvetica Neue" w:hAnsi="Helvetica Neue"/>
                <w:color w:val="24384D"/>
                <w:sz w:val="16"/>
              </w:rPr>
              <w:t>Localization coverage, stopping-distance tests, route and intersection cases.</w:t>
            </w:r>
          </w:p>
        </w:tc>
      </w:tr>
      <w:tr>
        <w:trPr>
          <w:cantSplit/>
        </w:trPr>
        <w:tc>
          <w:tcPr>
            <w:tcW w:type="dxa" w:w="1944"/>
            <w:shd w:fill="E5F0F8"/>
            <w:vAlign w:val="center"/>
            <w:tcMar>
              <w:top w:w="105" w:type="dxa"/>
              <w:start w:w="120" w:type="dxa"/>
              <w:bottom w:w="105" w:type="dxa"/>
              <w:end w:w="120" w:type="dxa"/>
            </w:tcMar>
          </w:tcPr>
          <w:p>
            <w:pPr>
              <w:spacing w:after="0"/>
            </w:pPr>
            <w:r>
              <w:rPr>
                <w:rFonts w:ascii="Helvetica Neue" w:hAnsi="Helvetica Neue"/>
                <w:color w:val="24384D"/>
                <w:sz w:val="16"/>
              </w:rPr>
              <w:t>Follower formation</w:t>
            </w:r>
          </w:p>
        </w:tc>
        <w:tc>
          <w:tcPr>
            <w:tcW w:type="dxa" w:w="4536"/>
            <w:shd w:fill="E5F0F8"/>
            <w:vAlign w:val="center"/>
            <w:tcMar>
              <w:top w:w="105" w:type="dxa"/>
              <w:start w:w="120" w:type="dxa"/>
              <w:bottom w:w="105" w:type="dxa"/>
              <w:end w:w="120" w:type="dxa"/>
            </w:tcMar>
          </w:tcPr>
          <w:p>
            <w:pPr>
              <w:spacing w:after="0"/>
            </w:pPr>
            <w:r>
              <w:rPr>
                <w:rFonts w:ascii="Helvetica Neue" w:hAnsi="Helvetica Neue"/>
                <w:color w:val="24384D"/>
                <w:sz w:val="16"/>
              </w:rPr>
              <w:t>Visual detection, relative estimation, bounded following, and loss-of-view handling.</w:t>
            </w:r>
          </w:p>
        </w:tc>
        <w:tc>
          <w:tcPr>
            <w:tcW w:type="dxa" w:w="3600"/>
            <w:shd w:fill="E5F0F8"/>
            <w:vAlign w:val="center"/>
            <w:tcMar>
              <w:top w:w="105" w:type="dxa"/>
              <w:start w:w="120" w:type="dxa"/>
              <w:bottom w:w="105" w:type="dxa"/>
              <w:end w:w="120" w:type="dxa"/>
            </w:tcMar>
          </w:tcPr>
          <w:p>
            <w:pPr>
              <w:spacing w:after="0"/>
            </w:pPr>
            <w:r>
              <w:rPr>
                <w:rFonts w:ascii="Helvetica Neue" w:hAnsi="Helvetica Neue"/>
                <w:color w:val="24384D"/>
                <w:sz w:val="16"/>
              </w:rPr>
              <w:t>Error distributions, latency, field-of-view limits, occlusion tests, and chain stability.</w:t>
            </w:r>
          </w:p>
        </w:tc>
      </w:tr>
      <w:tr>
        <w:trPr>
          <w:cantSplit/>
        </w:trPr>
        <w:tc>
          <w:tcPr>
            <w:tcW w:type="dxa" w:w="1944"/>
            <w:shd w:fill="F4F7FA"/>
            <w:vAlign w:val="center"/>
            <w:tcMar>
              <w:top w:w="105" w:type="dxa"/>
              <w:start w:w="120" w:type="dxa"/>
              <w:bottom w:w="105" w:type="dxa"/>
              <w:end w:w="120" w:type="dxa"/>
            </w:tcMar>
          </w:tcPr>
          <w:p>
            <w:pPr>
              <w:spacing w:after="0"/>
            </w:pPr>
            <w:r>
              <w:rPr>
                <w:rFonts w:ascii="Helvetica Neue" w:hAnsi="Helvetica Neue"/>
                <w:color w:val="24384D"/>
                <w:sz w:val="16"/>
              </w:rPr>
              <w:t>Independent safety</w:t>
            </w:r>
          </w:p>
        </w:tc>
        <w:tc>
          <w:tcPr>
            <w:tcW w:type="dxa" w:w="4536"/>
            <w:shd w:fill="F4F7FA"/>
            <w:vAlign w:val="center"/>
            <w:tcMar>
              <w:top w:w="105" w:type="dxa"/>
              <w:start w:w="120" w:type="dxa"/>
              <w:bottom w:w="105" w:type="dxa"/>
              <w:end w:w="120" w:type="dxa"/>
            </w:tcMar>
          </w:tcPr>
          <w:p>
            <w:pPr>
              <w:spacing w:after="0"/>
            </w:pPr>
            <w:r>
              <w:rPr>
                <w:rFonts w:ascii="Helvetica Neue" w:hAnsi="Helvetica Neue"/>
                <w:color w:val="24384D"/>
                <w:sz w:val="16"/>
              </w:rPr>
              <w:t>Person and obstacle detection, emergency stop, safe braking, speed and zone supervision.</w:t>
            </w:r>
          </w:p>
        </w:tc>
        <w:tc>
          <w:tcPr>
            <w:tcW w:type="dxa" w:w="3600"/>
            <w:shd w:fill="F4F7FA"/>
            <w:vAlign w:val="center"/>
            <w:tcMar>
              <w:top w:w="105" w:type="dxa"/>
              <w:start w:w="120" w:type="dxa"/>
              <w:bottom w:w="105" w:type="dxa"/>
              <w:end w:w="120" w:type="dxa"/>
            </w:tcMar>
          </w:tcPr>
          <w:p>
            <w:pPr>
              <w:spacing w:after="0"/>
            </w:pPr>
            <w:r>
              <w:rPr>
                <w:rFonts w:ascii="Helvetica Neue" w:hAnsi="Helvetica Neue"/>
                <w:color w:val="24384D"/>
                <w:sz w:val="16"/>
              </w:rPr>
              <w:t>Safety functions designed and validated under the applicable industrial standard.</w:t>
            </w:r>
          </w:p>
        </w:tc>
      </w:tr>
      <w:tr>
        <w:trPr>
          <w:cantSplit/>
        </w:trPr>
        <w:tc>
          <w:tcPr>
            <w:tcW w:type="dxa" w:w="1944"/>
            <w:shd w:fill="E5F0F8"/>
            <w:vAlign w:val="center"/>
            <w:tcMar>
              <w:top w:w="105" w:type="dxa"/>
              <w:start w:w="120" w:type="dxa"/>
              <w:bottom w:w="105" w:type="dxa"/>
              <w:end w:w="120" w:type="dxa"/>
            </w:tcMar>
          </w:tcPr>
          <w:p>
            <w:pPr>
              <w:spacing w:after="0"/>
            </w:pPr>
            <w:r>
              <w:rPr>
                <w:rFonts w:ascii="Helvetica Neue" w:hAnsi="Helvetica Neue"/>
                <w:color w:val="24384D"/>
                <w:sz w:val="16"/>
              </w:rPr>
              <w:t>Operations and assurance</w:t>
            </w:r>
          </w:p>
        </w:tc>
        <w:tc>
          <w:tcPr>
            <w:tcW w:type="dxa" w:w="4536"/>
            <w:shd w:fill="E5F0F8"/>
            <w:vAlign w:val="center"/>
            <w:tcMar>
              <w:top w:w="105" w:type="dxa"/>
              <w:start w:w="120" w:type="dxa"/>
              <w:bottom w:w="105" w:type="dxa"/>
              <w:end w:w="120" w:type="dxa"/>
            </w:tcMar>
          </w:tcPr>
          <w:p>
            <w:pPr>
              <w:spacing w:after="0"/>
            </w:pPr>
            <w:r>
              <w:rPr>
                <w:rFonts w:ascii="Helvetica Neue" w:hAnsi="Helvetica Neue"/>
                <w:color w:val="24384D"/>
                <w:sz w:val="16"/>
              </w:rPr>
              <w:t>Diagnostics, cybersecurity, maintenance, configuration control, and incident logs.</w:t>
            </w:r>
          </w:p>
        </w:tc>
        <w:tc>
          <w:tcPr>
            <w:tcW w:type="dxa" w:w="3600"/>
            <w:shd w:fill="E5F0F8"/>
            <w:vAlign w:val="center"/>
            <w:tcMar>
              <w:top w:w="105" w:type="dxa"/>
              <w:start w:w="120" w:type="dxa"/>
              <w:bottom w:w="105" w:type="dxa"/>
              <w:end w:w="120" w:type="dxa"/>
            </w:tcMar>
          </w:tcPr>
          <w:p>
            <w:pPr>
              <w:spacing w:after="0"/>
            </w:pPr>
            <w:r>
              <w:rPr>
                <w:rFonts w:ascii="Helvetica Neue" w:hAnsi="Helvetica Neue"/>
                <w:color w:val="24384D"/>
                <w:sz w:val="16"/>
              </w:rPr>
              <w:t>Versioned releases, health monitoring, access control, and commissioning records.</w:t>
            </w:r>
          </w:p>
        </w:tc>
      </w:tr>
    </w:tbl>
    <w:p>
      <w:pPr>
        <w:spacing w:after="20"/>
      </w:pPr>
    </w:p>
    <w:p>
      <w:pPr>
        <w:pStyle w:val="Heading1"/>
        <w:keepNext/>
      </w:pPr>
      <w:r>
        <w:rPr>
          <w:rFonts w:ascii="Helvetica Neue" w:hAnsi="Helvetica Neue"/>
          <w:b/>
          <w:color w:val="0B3153"/>
          <w:sz w:val="34"/>
        </w:rPr>
        <w:t>11 Safety and Production Readiness Boundary</w:t>
      </w:r>
    </w:p>
    <w:p>
      <w:pPr>
        <w:keepNext w:val="0"/>
        <w:spacing w:after="120"/>
      </w:pPr>
      <w:r>
        <w:rPr>
          <w:rFonts w:ascii="Helvetica Neue" w:hAnsi="Helvetica Neue"/>
          <w:color w:val="000000"/>
          <w:sz w:val="21"/>
        </w:rPr>
        <w:t>ISO 3691-4 covers safety requirements for driverless industrial trucks, including automated guided vehicles, autonomous mobile robots, carts, and tuggers. OSHA also identifies struck-by and caught-between hazards when robots and automated equipment operate in warehouses. These sources mean that collision-free simulation is necessary evidence for development, but it is not a safety case. [6][7]</w:t>
      </w:r>
    </w:p>
    <w:p>
      <w:pPr>
        <w:keepNext w:val="0"/>
        <w:spacing w:after="120"/>
      </w:pPr>
      <w:r>
        <w:rPr>
          <w:rFonts w:ascii="Helvetica Neue" w:hAnsi="Helvetica Neue"/>
          <w:color w:val="000000"/>
          <w:sz w:val="21"/>
        </w:rPr>
        <w:t>A deployable convoy would require an independent safety-rated layer on every robot, emergency-stop access, verified braking and stopping distance, overspeed protection, person and obstacle detection, communications supervision, safe behavior after faults, audible or visual warnings, site risk assessment, cybersecurity, commissioning, and documented maintenance. The formation camera could contribute operational awareness, but I would not use it as the sole safety sensor.</w:t>
      </w:r>
    </w:p>
    <w:p>
      <w:pPr>
        <w:keepNext w:val="0"/>
        <w:spacing w:after="120"/>
      </w:pPr>
      <w:r>
        <w:rPr>
          <w:rFonts w:ascii="Helvetica Neue" w:hAnsi="Helvetica Neue"/>
          <w:color w:val="000000"/>
          <w:sz w:val="21"/>
        </w:rPr>
        <w:t>Gazebo will be used to find control defects, measure nominal and adverse behavior, and reproduce failure cases before physical testing. It will not be described as certification. Any physical prototype would begin at low speed in a controlled area with a separate safety plan and faculty approval.</w:t>
      </w:r>
    </w:p>
    <w:p>
      <w:r>
        <w:br w:type="page"/>
      </w:r>
    </w:p>
    <w:p>
      <w:pPr>
        <w:pStyle w:val="Heading1"/>
        <w:keepNext/>
      </w:pPr>
      <w:r>
        <w:rPr>
          <w:rFonts w:ascii="Helvetica Neue" w:hAnsi="Helvetica Neue"/>
          <w:b/>
          <w:color w:val="0B3153"/>
          <w:sz w:val="34"/>
        </w:rPr>
        <w:t>12 Evaluation Plan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223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Question</w:t>
            </w:r>
          </w:p>
        </w:tc>
        <w:tc>
          <w:tcPr>
            <w:tcW w:type="dxa" w:w="468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Experiment</w:t>
            </w:r>
          </w:p>
        </w:tc>
        <w:tc>
          <w:tcPr>
            <w:tcW w:type="dxa" w:w="3168"/>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Decision measure</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6"/>
              </w:rPr>
              <w:t>Can one follower estimate the predecessor state?</w:t>
            </w:r>
          </w:p>
        </w:tc>
        <w:tc>
          <w:tcPr>
            <w:tcW w:type="dxa" w:w="4680"/>
            <w:shd w:fill="E5F0F8"/>
            <w:vAlign w:val="center"/>
            <w:tcMar>
              <w:top w:w="105" w:type="dxa"/>
              <w:start w:w="120" w:type="dxa"/>
              <w:bottom w:w="105" w:type="dxa"/>
              <w:end w:w="120" w:type="dxa"/>
            </w:tcMar>
          </w:tcPr>
          <w:p>
            <w:pPr>
              <w:spacing w:after="0"/>
            </w:pPr>
            <w:r>
              <w:rPr>
                <w:rFonts w:ascii="Helvetica Neue" w:hAnsi="Helvetica Neue"/>
                <w:color w:val="24384D"/>
                <w:sz w:val="16"/>
              </w:rPr>
              <w:t>Range, bearing, heading, lighting, and off-axis camera sweeps in Gazebo.</w:t>
            </w:r>
          </w:p>
        </w:tc>
        <w:tc>
          <w:tcPr>
            <w:tcW w:type="dxa" w:w="3168"/>
            <w:shd w:fill="E5F0F8"/>
            <w:vAlign w:val="center"/>
            <w:tcMar>
              <w:top w:w="105" w:type="dxa"/>
              <w:start w:w="120" w:type="dxa"/>
              <w:bottom w:w="105" w:type="dxa"/>
              <w:end w:w="120" w:type="dxa"/>
            </w:tcMar>
          </w:tcPr>
          <w:p>
            <w:pPr>
              <w:spacing w:after="0"/>
            </w:pPr>
            <w:r>
              <w:rPr>
                <w:rFonts w:ascii="Helvetica Neue" w:hAnsi="Helvetica Neue"/>
                <w:color w:val="24384D"/>
                <w:sz w:val="16"/>
              </w:rPr>
              <w:t>Range and bearing error distributions, confidence calibration, and valid operating envelope.</w:t>
            </w:r>
          </w:p>
        </w:tc>
      </w:tr>
      <w:tr>
        <w:trPr>
          <w:cantSplit/>
        </w:trP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6"/>
              </w:rPr>
              <w:t>Can one pair maintain formation?</w:t>
            </w:r>
          </w:p>
        </w:tc>
        <w:tc>
          <w:tcPr>
            <w:tcW w:type="dxa" w:w="4680"/>
            <w:shd w:fill="F4F7FA"/>
            <w:vAlign w:val="center"/>
            <w:tcMar>
              <w:top w:w="105" w:type="dxa"/>
              <w:start w:w="120" w:type="dxa"/>
              <w:bottom w:w="105" w:type="dxa"/>
              <w:end w:w="120" w:type="dxa"/>
            </w:tcMar>
          </w:tcPr>
          <w:p>
            <w:pPr>
              <w:spacing w:after="0"/>
            </w:pPr>
            <w:r>
              <w:rPr>
                <w:rFonts w:ascii="Helvetica Neue" w:hAnsi="Helvetica Neue"/>
                <w:color w:val="24384D"/>
                <w:sz w:val="16"/>
              </w:rPr>
              <w:t>Straight, curved, stop-and-go, and speed-change trajectories.</w:t>
            </w:r>
          </w:p>
        </w:tc>
        <w:tc>
          <w:tcPr>
            <w:tcW w:type="dxa" w:w="3168"/>
            <w:shd w:fill="F4F7FA"/>
            <w:vAlign w:val="center"/>
            <w:tcMar>
              <w:top w:w="105" w:type="dxa"/>
              <w:start w:w="120" w:type="dxa"/>
              <w:bottom w:w="105" w:type="dxa"/>
              <w:end w:w="120" w:type="dxa"/>
            </w:tcMar>
          </w:tcPr>
          <w:p>
            <w:pPr>
              <w:spacing w:after="0"/>
            </w:pPr>
            <w:r>
              <w:rPr>
                <w:rFonts w:ascii="Helvetica Neue" w:hAnsi="Helvetica Neue"/>
                <w:color w:val="24384D"/>
                <w:sz w:val="16"/>
              </w:rPr>
              <w:t>Spacing error, yaw error, overshoot, control timing, and minimum separation.</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6"/>
              </w:rPr>
              <w:t>Can the system recover from loss of view?</w:t>
            </w:r>
          </w:p>
        </w:tc>
        <w:tc>
          <w:tcPr>
            <w:tcW w:type="dxa" w:w="4680"/>
            <w:shd w:fill="E5F0F8"/>
            <w:vAlign w:val="center"/>
            <w:tcMar>
              <w:top w:w="105" w:type="dxa"/>
              <w:start w:w="120" w:type="dxa"/>
              <w:bottom w:w="105" w:type="dxa"/>
              <w:end w:w="120" w:type="dxa"/>
            </w:tcMar>
          </w:tcPr>
          <w:p>
            <w:pPr>
              <w:spacing w:after="0"/>
            </w:pPr>
            <w:r>
              <w:rPr>
                <w:rFonts w:ascii="Helvetica Neue" w:hAnsi="Helvetica Neue"/>
                <w:color w:val="24384D"/>
                <w:sz w:val="16"/>
              </w:rPr>
              <w:t>Short occlusions, dropped frames, blur, and cornering cases.</w:t>
            </w:r>
          </w:p>
        </w:tc>
        <w:tc>
          <w:tcPr>
            <w:tcW w:type="dxa" w:w="3168"/>
            <w:shd w:fill="E5F0F8"/>
            <w:vAlign w:val="center"/>
            <w:tcMar>
              <w:top w:w="105" w:type="dxa"/>
              <w:start w:w="120" w:type="dxa"/>
              <w:bottom w:w="105" w:type="dxa"/>
              <w:end w:w="120" w:type="dxa"/>
            </w:tcMar>
          </w:tcPr>
          <w:p>
            <w:pPr>
              <w:spacing w:after="0"/>
            </w:pPr>
            <w:r>
              <w:rPr>
                <w:rFonts w:ascii="Helvetica Neue" w:hAnsi="Helvetica Neue"/>
                <w:color w:val="24384D"/>
                <w:sz w:val="16"/>
              </w:rPr>
              <w:t>Time to reacquire, SAFE STOP rate, and distance traveled without a valid observation.</w:t>
            </w:r>
          </w:p>
        </w:tc>
      </w:tr>
      <w:tr>
        <w:trPr>
          <w:cantSplit/>
        </w:trP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6"/>
              </w:rPr>
              <w:t>Does the chain remain stable?</w:t>
            </w:r>
          </w:p>
        </w:tc>
        <w:tc>
          <w:tcPr>
            <w:tcW w:type="dxa" w:w="4680"/>
            <w:shd w:fill="F4F7FA"/>
            <w:vAlign w:val="center"/>
            <w:tcMar>
              <w:top w:w="105" w:type="dxa"/>
              <w:start w:w="120" w:type="dxa"/>
              <w:bottom w:w="105" w:type="dxa"/>
              <w:end w:w="120" w:type="dxa"/>
            </w:tcMar>
          </w:tcPr>
          <w:p>
            <w:pPr>
              <w:spacing w:after="0"/>
            </w:pPr>
            <w:r>
              <w:rPr>
                <w:rFonts w:ascii="Helvetica Neue" w:hAnsi="Helvetica Neue"/>
                <w:color w:val="24384D"/>
                <w:sz w:val="16"/>
              </w:rPr>
              <w:t>One, two, and three followers on the same routes and disturbance cases.</w:t>
            </w:r>
          </w:p>
        </w:tc>
        <w:tc>
          <w:tcPr>
            <w:tcW w:type="dxa" w:w="3168"/>
            <w:shd w:fill="F4F7FA"/>
            <w:vAlign w:val="center"/>
            <w:tcMar>
              <w:top w:w="105" w:type="dxa"/>
              <w:start w:w="120" w:type="dxa"/>
              <w:bottom w:w="105" w:type="dxa"/>
              <w:end w:w="120" w:type="dxa"/>
            </w:tcMar>
          </w:tcPr>
          <w:p>
            <w:pPr>
              <w:spacing w:after="0"/>
            </w:pPr>
            <w:r>
              <w:rPr>
                <w:rFonts w:ascii="Helvetica Neue" w:hAnsi="Helvetica Neue"/>
                <w:color w:val="24384D"/>
                <w:sz w:val="16"/>
              </w:rPr>
              <w:t>Error growth by follower index, collision count, and string-stability indicators.</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6"/>
              </w:rPr>
              <w:t>Can it run on the target laptop?</w:t>
            </w:r>
          </w:p>
        </w:tc>
        <w:tc>
          <w:tcPr>
            <w:tcW w:type="dxa" w:w="4680"/>
            <w:shd w:fill="E5F0F8"/>
            <w:vAlign w:val="center"/>
            <w:tcMar>
              <w:top w:w="105" w:type="dxa"/>
              <w:start w:w="120" w:type="dxa"/>
              <w:bottom w:w="105" w:type="dxa"/>
              <w:end w:w="120" w:type="dxa"/>
            </w:tcMar>
          </w:tcPr>
          <w:p>
            <w:pPr>
              <w:spacing w:after="0"/>
            </w:pPr>
            <w:r>
              <w:rPr>
                <w:rFonts w:ascii="Helvetica Neue" w:hAnsi="Helvetica Neue"/>
                <w:color w:val="24384D"/>
                <w:sz w:val="16"/>
              </w:rPr>
              <w:t>Concurrent Gazebo and perception benchmarks in FP32, FP16, and INT8 where valid.</w:t>
            </w:r>
          </w:p>
        </w:tc>
        <w:tc>
          <w:tcPr>
            <w:tcW w:type="dxa" w:w="3168"/>
            <w:shd w:fill="E5F0F8"/>
            <w:vAlign w:val="center"/>
            <w:tcMar>
              <w:top w:w="105" w:type="dxa"/>
              <w:start w:w="120" w:type="dxa"/>
              <w:bottom w:w="105" w:type="dxa"/>
              <w:end w:w="120" w:type="dxa"/>
            </w:tcMar>
          </w:tcPr>
          <w:p>
            <w:pPr>
              <w:spacing w:after="0"/>
            </w:pPr>
            <w:r>
              <w:rPr>
                <w:rFonts w:ascii="Helvetica Neue" w:hAnsi="Helvetica Neue"/>
                <w:color w:val="24384D"/>
                <w:sz w:val="16"/>
              </w:rPr>
              <w:t>Frame rate, p95 latency, CPU and GPU use, peak memory, and missed control periods.</w:t>
            </w:r>
          </w:p>
        </w:tc>
      </w:tr>
    </w:tbl>
    <w:p>
      <w:pPr>
        <w:spacing w:after="20"/>
      </w:pPr>
    </w:p>
    <w:p>
      <w:pPr>
        <w:pStyle w:val="Heading1"/>
        <w:keepNext/>
      </w:pPr>
      <w:r>
        <w:rPr>
          <w:rFonts w:ascii="Helvetica Neue" w:hAnsi="Helvetica Neue"/>
          <w:b/>
          <w:color w:val="0B3153"/>
          <w:sz w:val="34"/>
        </w:rPr>
        <w:t>Planned Progression</w:t>
      </w:r>
    </w:p>
    <w:p>
      <w:pPr>
        <w:spacing w:after="60"/>
        <w:ind w:left="346" w:hanging="259"/>
      </w:pPr>
      <w:r>
        <w:rPr>
          <w:rFonts w:ascii="Helvetica Neue" w:hAnsi="Helvetica Neue"/>
          <w:color w:val="000000"/>
          <w:sz w:val="20"/>
        </w:rPr>
        <w:t>• Stage 1  Reproduce the camera measurement model in Gazebo and compare it with simulator ground truth.</w:t>
      </w:r>
    </w:p>
    <w:p>
      <w:pPr>
        <w:spacing w:after="60"/>
        <w:ind w:left="346" w:hanging="259"/>
      </w:pPr>
      <w:r>
        <w:rPr>
          <w:rFonts w:ascii="Helvetica Neue" w:hAnsi="Helvetica Neue"/>
          <w:color w:val="000000"/>
          <w:sz w:val="20"/>
        </w:rPr>
        <w:t>• Stage 2  Integrate the estimator, controller, and recovery states for one leader and one follower.</w:t>
      </w:r>
    </w:p>
    <w:p>
      <w:pPr>
        <w:spacing w:after="60"/>
        <w:ind w:left="346" w:hanging="259"/>
      </w:pPr>
      <w:r>
        <w:rPr>
          <w:rFonts w:ascii="Helvetica Neue" w:hAnsi="Helvetica Neue"/>
          <w:color w:val="000000"/>
          <w:sz w:val="20"/>
        </w:rPr>
        <w:t>• Stage 3  Add followers one at a time and measure how spacing and steering errors propagate through the chain.</w:t>
      </w:r>
    </w:p>
    <w:p>
      <w:pPr>
        <w:spacing w:after="60"/>
        <w:ind w:left="346" w:hanging="259"/>
      </w:pPr>
      <w:r>
        <w:rPr>
          <w:rFonts w:ascii="Helvetica Neue" w:hAnsi="Helvetica Neue"/>
          <w:color w:val="000000"/>
          <w:sz w:val="20"/>
        </w:rPr>
        <w:t>• Stage 4  Add warehouse aisle geometry, turns, occlusions, and controlled disturbances.</w:t>
      </w:r>
    </w:p>
    <w:p>
      <w:pPr>
        <w:spacing w:after="60"/>
        <w:ind w:left="346" w:hanging="259"/>
      </w:pPr>
      <w:r>
        <w:rPr>
          <w:rFonts w:ascii="Helvetica Neue" w:hAnsi="Helvetica Neue"/>
          <w:color w:val="000000"/>
          <w:sz w:val="20"/>
        </w:rPr>
        <w:t>• Stage 5  Optimize inference for the RTX 3050 Ti and freeze a reproducible evidence package.</w:t>
      </w:r>
    </w:p>
    <w:p>
      <w:pPr>
        <w:pStyle w:val="Heading1"/>
        <w:keepNext/>
        <w:pageBreakBefore/>
      </w:pPr>
      <w:r>
        <w:rPr>
          <w:rFonts w:ascii="Helvetica Neue" w:hAnsi="Helvetica Neue"/>
          <w:b/>
          <w:color w:val="0B3153"/>
          <w:sz w:val="34"/>
        </w:rPr>
        <w:t>13 Main Risks and Mitigations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2016"/>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Risk</w:t>
            </w:r>
          </w:p>
        </w:tc>
        <w:tc>
          <w:tcPr>
            <w:tcW w:type="dxa" w:w="396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Effect on the application</w:t>
            </w:r>
          </w:p>
        </w:tc>
        <w:tc>
          <w:tcPr>
            <w:tcW w:type="dxa" w:w="4104"/>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Planned mitigation</w:t>
            </w:r>
          </w:p>
        </w:tc>
      </w:tr>
      <w:tr>
        <w:trPr>
          <w:cantSplit/>
        </w:trPr>
        <w:tc>
          <w:tcPr>
            <w:tcW w:type="dxa" w:w="2016"/>
            <w:shd w:fill="E5F0F8"/>
            <w:vAlign w:val="center"/>
            <w:tcMar>
              <w:top w:w="105" w:type="dxa"/>
              <w:start w:w="120" w:type="dxa"/>
              <w:bottom w:w="105" w:type="dxa"/>
              <w:end w:w="120" w:type="dxa"/>
            </w:tcMar>
          </w:tcPr>
          <w:p>
            <w:pPr>
              <w:spacing w:after="0"/>
            </w:pPr>
            <w:r>
              <w:rPr>
                <w:rFonts w:ascii="Helvetica Neue" w:hAnsi="Helvetica Neue"/>
                <w:color w:val="24384D"/>
                <w:sz w:val="16"/>
              </w:rPr>
              <w:t>Corner occlusion</w:t>
            </w:r>
          </w:p>
        </w:tc>
        <w:tc>
          <w:tcPr>
            <w:tcW w:type="dxa" w:w="3960"/>
            <w:shd w:fill="E5F0F8"/>
            <w:vAlign w:val="center"/>
            <w:tcMar>
              <w:top w:w="105" w:type="dxa"/>
              <w:start w:w="120" w:type="dxa"/>
              <w:bottom w:w="105" w:type="dxa"/>
              <w:end w:w="120" w:type="dxa"/>
            </w:tcMar>
          </w:tcPr>
          <w:p>
            <w:pPr>
              <w:spacing w:after="0"/>
            </w:pPr>
            <w:r>
              <w:rPr>
                <w:rFonts w:ascii="Helvetica Neue" w:hAnsi="Helvetica Neue"/>
                <w:color w:val="24384D"/>
                <w:sz w:val="16"/>
              </w:rPr>
              <w:t>A follower can lose its predecessor during a sharp turn.</w:t>
            </w:r>
          </w:p>
        </w:tc>
        <w:tc>
          <w:tcPr>
            <w:tcW w:type="dxa" w:w="4104"/>
            <w:shd w:fill="E5F0F8"/>
            <w:vAlign w:val="center"/>
            <w:tcMar>
              <w:top w:w="105" w:type="dxa"/>
              <w:start w:w="120" w:type="dxa"/>
              <w:bottom w:w="105" w:type="dxa"/>
              <w:end w:w="120" w:type="dxa"/>
            </w:tcMar>
          </w:tcPr>
          <w:p>
            <w:pPr>
              <w:spacing w:after="0"/>
            </w:pPr>
            <w:r>
              <w:rPr>
                <w:rFonts w:ascii="Helvetica Neue" w:hAnsi="Helvetica Neue"/>
                <w:color w:val="24384D"/>
                <w:sz w:val="16"/>
              </w:rPr>
              <w:t>Limit leader curvature and speed, model visibility, use bounded prediction, and stop after timeout.</w:t>
            </w:r>
          </w:p>
        </w:tc>
      </w:tr>
      <w:tr>
        <w:trPr>
          <w:cantSplit/>
        </w:trPr>
        <w:tc>
          <w:tcPr>
            <w:tcW w:type="dxa" w:w="2016"/>
            <w:shd w:fill="F4F7FA"/>
            <w:vAlign w:val="center"/>
            <w:tcMar>
              <w:top w:w="105" w:type="dxa"/>
              <w:start w:w="120" w:type="dxa"/>
              <w:bottom w:w="105" w:type="dxa"/>
              <w:end w:w="120" w:type="dxa"/>
            </w:tcMar>
          </w:tcPr>
          <w:p>
            <w:pPr>
              <w:spacing w:after="0"/>
            </w:pPr>
            <w:r>
              <w:rPr>
                <w:rFonts w:ascii="Helvetica Neue" w:hAnsi="Helvetica Neue"/>
                <w:color w:val="24384D"/>
                <w:sz w:val="16"/>
              </w:rPr>
              <w:t>Error propagation</w:t>
            </w:r>
          </w:p>
        </w:tc>
        <w:tc>
          <w:tcPr>
            <w:tcW w:type="dxa" w:w="3960"/>
            <w:shd w:fill="F4F7FA"/>
            <w:vAlign w:val="center"/>
            <w:tcMar>
              <w:top w:w="105" w:type="dxa"/>
              <w:start w:w="120" w:type="dxa"/>
              <w:bottom w:w="105" w:type="dxa"/>
              <w:end w:w="120" w:type="dxa"/>
            </w:tcMar>
          </w:tcPr>
          <w:p>
            <w:pPr>
              <w:spacing w:after="0"/>
            </w:pPr>
            <w:r>
              <w:rPr>
                <w:rFonts w:ascii="Helvetica Neue" w:hAnsi="Helvetica Neue"/>
                <w:color w:val="24384D"/>
                <w:sz w:val="16"/>
              </w:rPr>
              <w:t>Rear followers may amplify spacing or steering disturbances.</w:t>
            </w:r>
          </w:p>
        </w:tc>
        <w:tc>
          <w:tcPr>
            <w:tcW w:type="dxa" w:w="4104"/>
            <w:shd w:fill="F4F7FA"/>
            <w:vAlign w:val="center"/>
            <w:tcMar>
              <w:top w:w="105" w:type="dxa"/>
              <w:start w:w="120" w:type="dxa"/>
              <w:bottom w:w="105" w:type="dxa"/>
              <w:end w:w="120" w:type="dxa"/>
            </w:tcMar>
          </w:tcPr>
          <w:p>
            <w:pPr>
              <w:spacing w:after="0"/>
            </w:pPr>
            <w:r>
              <w:rPr>
                <w:rFonts w:ascii="Helvetica Neue" w:hAnsi="Helvetica Neue"/>
                <w:color w:val="24384D"/>
                <w:sz w:val="16"/>
              </w:rPr>
              <w:t>Measure each follower separately, tune conservative gaps, and cap convoy length by evidence.</w:t>
            </w:r>
          </w:p>
        </w:tc>
      </w:tr>
      <w:tr>
        <w:trPr>
          <w:cantSplit/>
        </w:trPr>
        <w:tc>
          <w:tcPr>
            <w:tcW w:type="dxa" w:w="2016"/>
            <w:shd w:fill="E5F0F8"/>
            <w:vAlign w:val="center"/>
            <w:tcMar>
              <w:top w:w="105" w:type="dxa"/>
              <w:start w:w="120" w:type="dxa"/>
              <w:bottom w:w="105" w:type="dxa"/>
              <w:end w:w="120" w:type="dxa"/>
            </w:tcMar>
          </w:tcPr>
          <w:p>
            <w:pPr>
              <w:spacing w:after="0"/>
            </w:pPr>
            <w:r>
              <w:rPr>
                <w:rFonts w:ascii="Helvetica Neue" w:hAnsi="Helvetica Neue"/>
                <w:color w:val="24384D"/>
                <w:sz w:val="16"/>
              </w:rPr>
              <w:t>Follower cuts a corner</w:t>
            </w:r>
          </w:p>
        </w:tc>
        <w:tc>
          <w:tcPr>
            <w:tcW w:type="dxa" w:w="3960"/>
            <w:shd w:fill="E5F0F8"/>
            <w:vAlign w:val="center"/>
            <w:tcMar>
              <w:top w:w="105" w:type="dxa"/>
              <w:start w:w="120" w:type="dxa"/>
              <w:bottom w:w="105" w:type="dxa"/>
              <w:end w:w="120" w:type="dxa"/>
            </w:tcMar>
          </w:tcPr>
          <w:p>
            <w:pPr>
              <w:spacing w:after="0"/>
            </w:pPr>
            <w:r>
              <w:rPr>
                <w:rFonts w:ascii="Helvetica Neue" w:hAnsi="Helvetica Neue"/>
                <w:color w:val="24384D"/>
                <w:sz w:val="16"/>
              </w:rPr>
              <w:t>A cart may approach shelving even if the leader path is clear.</w:t>
            </w:r>
          </w:p>
        </w:tc>
        <w:tc>
          <w:tcPr>
            <w:tcW w:type="dxa" w:w="4104"/>
            <w:shd w:fill="E5F0F8"/>
            <w:vAlign w:val="center"/>
            <w:tcMar>
              <w:top w:w="105" w:type="dxa"/>
              <w:start w:w="120" w:type="dxa"/>
              <w:bottom w:w="105" w:type="dxa"/>
              <w:end w:w="120" w:type="dxa"/>
            </w:tcMar>
          </w:tcPr>
          <w:p>
            <w:pPr>
              <w:spacing w:after="0"/>
            </w:pPr>
            <w:r>
              <w:rPr>
                <w:rFonts w:ascii="Helvetica Neue" w:hAnsi="Helvetica Neue"/>
                <w:color w:val="24384D"/>
                <w:sz w:val="16"/>
              </w:rPr>
              <w:t>Test swept paths for every follower and add local obstacle safety independent of formation control.</w:t>
            </w:r>
          </w:p>
        </w:tc>
      </w:tr>
      <w:tr>
        <w:trPr>
          <w:cantSplit/>
        </w:trPr>
        <w:tc>
          <w:tcPr>
            <w:tcW w:type="dxa" w:w="2016"/>
            <w:shd w:fill="F4F7FA"/>
            <w:vAlign w:val="center"/>
            <w:tcMar>
              <w:top w:w="105" w:type="dxa"/>
              <w:start w:w="120" w:type="dxa"/>
              <w:bottom w:w="105" w:type="dxa"/>
              <w:end w:w="120" w:type="dxa"/>
            </w:tcMar>
          </w:tcPr>
          <w:p>
            <w:pPr>
              <w:spacing w:after="0"/>
            </w:pPr>
            <w:r>
              <w:rPr>
                <w:rFonts w:ascii="Helvetica Neue" w:hAnsi="Helvetica Neue"/>
                <w:color w:val="24384D"/>
                <w:sz w:val="16"/>
              </w:rPr>
              <w:t>Leader or network fault</w:t>
            </w:r>
          </w:p>
        </w:tc>
        <w:tc>
          <w:tcPr>
            <w:tcW w:type="dxa" w:w="3960"/>
            <w:shd w:fill="F4F7FA"/>
            <w:vAlign w:val="center"/>
            <w:tcMar>
              <w:top w:w="105" w:type="dxa"/>
              <w:start w:w="120" w:type="dxa"/>
              <w:bottom w:w="105" w:type="dxa"/>
              <w:end w:w="120" w:type="dxa"/>
            </w:tcMar>
          </w:tcPr>
          <w:p>
            <w:pPr>
              <w:spacing w:after="0"/>
            </w:pPr>
            <w:r>
              <w:rPr>
                <w:rFonts w:ascii="Helvetica Neue" w:hAnsi="Helvetica Neue"/>
                <w:color w:val="24384D"/>
                <w:sz w:val="16"/>
              </w:rPr>
              <w:t>The mission path may be lost or convoy status may become inconsistent.</w:t>
            </w:r>
          </w:p>
        </w:tc>
        <w:tc>
          <w:tcPr>
            <w:tcW w:type="dxa" w:w="4104"/>
            <w:shd w:fill="F4F7FA"/>
            <w:vAlign w:val="center"/>
            <w:tcMar>
              <w:top w:w="105" w:type="dxa"/>
              <w:start w:w="120" w:type="dxa"/>
              <w:bottom w:w="105" w:type="dxa"/>
              <w:end w:w="120" w:type="dxa"/>
            </w:tcMar>
          </w:tcPr>
          <w:p>
            <w:pPr>
              <w:spacing w:after="0"/>
            </w:pPr>
            <w:r>
              <w:rPr>
                <w:rFonts w:ascii="Helvetica Neue" w:hAnsi="Helvetica Neue"/>
                <w:color w:val="24384D"/>
                <w:sz w:val="16"/>
              </w:rPr>
              <w:t>Propagate faults, stop followers independently, and require supervised recovery.</w:t>
            </w:r>
          </w:p>
        </w:tc>
      </w:tr>
      <w:tr>
        <w:trPr>
          <w:cantSplit/>
        </w:trPr>
        <w:tc>
          <w:tcPr>
            <w:tcW w:type="dxa" w:w="2016"/>
            <w:shd w:fill="E5F0F8"/>
            <w:vAlign w:val="center"/>
            <w:tcMar>
              <w:top w:w="105" w:type="dxa"/>
              <w:start w:w="120" w:type="dxa"/>
              <w:bottom w:w="105" w:type="dxa"/>
              <w:end w:w="120" w:type="dxa"/>
            </w:tcMar>
          </w:tcPr>
          <w:p>
            <w:pPr>
              <w:spacing w:after="0"/>
            </w:pPr>
            <w:r>
              <w:rPr>
                <w:rFonts w:ascii="Helvetica Neue" w:hAnsi="Helvetica Neue"/>
                <w:color w:val="24384D"/>
                <w:sz w:val="16"/>
              </w:rPr>
              <w:t>Perception ambiguity</w:t>
            </w:r>
          </w:p>
        </w:tc>
        <w:tc>
          <w:tcPr>
            <w:tcW w:type="dxa" w:w="3960"/>
            <w:shd w:fill="E5F0F8"/>
            <w:vAlign w:val="center"/>
            <w:tcMar>
              <w:top w:w="105" w:type="dxa"/>
              <w:start w:w="120" w:type="dxa"/>
              <w:bottom w:w="105" w:type="dxa"/>
              <w:end w:w="120" w:type="dxa"/>
            </w:tcMar>
          </w:tcPr>
          <w:p>
            <w:pPr>
              <w:spacing w:after="0"/>
            </w:pPr>
            <w:r>
              <w:rPr>
                <w:rFonts w:ascii="Helvetica Neue" w:hAnsi="Helvetica Neue"/>
                <w:color w:val="24384D"/>
                <w:sz w:val="16"/>
              </w:rPr>
              <w:t>Lighting, similar objects, blur, or partial visibility may corrupt the estimate.</w:t>
            </w:r>
          </w:p>
        </w:tc>
        <w:tc>
          <w:tcPr>
            <w:tcW w:type="dxa" w:w="4104"/>
            <w:shd w:fill="E5F0F8"/>
            <w:vAlign w:val="center"/>
            <w:tcMar>
              <w:top w:w="105" w:type="dxa"/>
              <w:start w:w="120" w:type="dxa"/>
              <w:bottom w:w="105" w:type="dxa"/>
              <w:end w:w="120" w:type="dxa"/>
            </w:tcMar>
          </w:tcPr>
          <w:p>
            <w:pPr>
              <w:spacing w:after="0"/>
            </w:pPr>
            <w:r>
              <w:rPr>
                <w:rFonts w:ascii="Helvetica Neue" w:hAnsi="Helvetica Neue"/>
                <w:color w:val="24384D"/>
                <w:sz w:val="16"/>
              </w:rPr>
              <w:t>Use confidence and covariance gates, target-specific appearance, adverse testing, and safe stop.</w:t>
            </w:r>
          </w:p>
        </w:tc>
      </w:tr>
      <w:tr>
        <w:trPr>
          <w:cantSplit/>
        </w:trPr>
        <w:tc>
          <w:tcPr>
            <w:tcW w:type="dxa" w:w="2016"/>
            <w:shd w:fill="F4F7FA"/>
            <w:vAlign w:val="center"/>
            <w:tcMar>
              <w:top w:w="105" w:type="dxa"/>
              <w:start w:w="120" w:type="dxa"/>
              <w:bottom w:w="105" w:type="dxa"/>
              <w:end w:w="120" w:type="dxa"/>
            </w:tcMar>
          </w:tcPr>
          <w:p>
            <w:pPr>
              <w:spacing w:after="0"/>
            </w:pPr>
            <w:r>
              <w:rPr>
                <w:rFonts w:ascii="Helvetica Neue" w:hAnsi="Helvetica Neue"/>
                <w:color w:val="24384D"/>
                <w:sz w:val="16"/>
              </w:rPr>
              <w:t>Long convoy at intersections</w:t>
            </w:r>
          </w:p>
        </w:tc>
        <w:tc>
          <w:tcPr>
            <w:tcW w:type="dxa" w:w="3960"/>
            <w:shd w:fill="F4F7FA"/>
            <w:vAlign w:val="center"/>
            <w:tcMar>
              <w:top w:w="105" w:type="dxa"/>
              <w:start w:w="120" w:type="dxa"/>
              <w:bottom w:w="105" w:type="dxa"/>
              <w:end w:w="120" w:type="dxa"/>
            </w:tcMar>
          </w:tcPr>
          <w:p>
            <w:pPr>
              <w:spacing w:after="0"/>
            </w:pPr>
            <w:r>
              <w:rPr>
                <w:rFonts w:ascii="Helvetica Neue" w:hAnsi="Helvetica Neue"/>
                <w:color w:val="24384D"/>
                <w:sz w:val="16"/>
              </w:rPr>
              <w:t>The leader may clear a crossing while followers remain exposed.</w:t>
            </w:r>
          </w:p>
        </w:tc>
        <w:tc>
          <w:tcPr>
            <w:tcW w:type="dxa" w:w="4104"/>
            <w:shd w:fill="F4F7FA"/>
            <w:vAlign w:val="center"/>
            <w:tcMar>
              <w:top w:w="105" w:type="dxa"/>
              <w:start w:w="120" w:type="dxa"/>
              <w:bottom w:w="105" w:type="dxa"/>
              <w:end w:w="120" w:type="dxa"/>
            </w:tcMar>
          </w:tcPr>
          <w:p>
            <w:pPr>
              <w:spacing w:after="0"/>
            </w:pPr>
            <w:r>
              <w:rPr>
                <w:rFonts w:ascii="Helvetica Neue" w:hAnsi="Helvetica Neue"/>
                <w:color w:val="24384D"/>
                <w:sz w:val="16"/>
              </w:rPr>
              <w:t>Reserve the entire convoy footprint at the fleet layer or restrict routes during early deployment.</w:t>
            </w:r>
          </w:p>
        </w:tc>
      </w:tr>
    </w:tbl>
    <w:p>
      <w:pPr>
        <w:spacing w:after="20"/>
      </w:pPr>
    </w:p>
    <w:p>
      <w:pPr>
        <w:pStyle w:val="Heading1"/>
        <w:keepNext/>
      </w:pPr>
      <w:r>
        <w:rPr>
          <w:rFonts w:ascii="Helvetica Neue" w:hAnsi="Helvetica Neue"/>
          <w:b/>
          <w:color w:val="0B3153"/>
          <w:sz w:val="34"/>
        </w:rPr>
        <w:t>14 Requested Faculty Decisions</w:t>
      </w:r>
    </w:p>
    <w:p>
      <w:pPr>
        <w:keepNext w:val="0"/>
        <w:spacing w:after="120"/>
      </w:pPr>
      <w:r>
        <w:rPr>
          <w:rFonts w:ascii="Helvetica Neue" w:hAnsi="Helvetica Neue"/>
          <w:color w:val="000000"/>
          <w:sz w:val="21"/>
        </w:rPr>
        <w:t>I would like Professor Imtiaz to review the following points before I expand the implementation:</w:t>
      </w:r>
    </w:p>
    <w:p>
      <w:pPr>
        <w:spacing w:after="80"/>
        <w:ind w:left="432" w:hanging="288"/>
      </w:pPr>
      <w:r>
        <w:rPr>
          <w:rFonts w:ascii="Helvetica Neue" w:hAnsi="Helvetica Neue"/>
          <w:color w:val="000000"/>
          <w:sz w:val="20"/>
        </w:rPr>
        <w:t>• Is the flexible material-delivery convoy a sufficiently concrete application for the EE 616 project?</w:t>
      </w:r>
    </w:p>
    <w:p>
      <w:pPr>
        <w:spacing w:after="80"/>
        <w:ind w:left="432" w:hanging="288"/>
      </w:pPr>
      <w:r>
        <w:rPr>
          <w:rFonts w:ascii="Helvetica Neue" w:hAnsi="Helvetica Neue"/>
          <w:color w:val="000000"/>
          <w:sz w:val="20"/>
        </w:rPr>
        <w:t>• Is the separation between the visual formation layer and an independent industrial safety layer technically appropriate?</w:t>
      </w:r>
    </w:p>
    <w:p>
      <w:pPr>
        <w:spacing w:after="80"/>
        <w:ind w:left="432" w:hanging="288"/>
      </w:pPr>
      <w:r>
        <w:rPr>
          <w:rFonts w:ascii="Helvetica Neue" w:hAnsi="Helvetica Neue"/>
          <w:color w:val="000000"/>
          <w:sz w:val="20"/>
        </w:rPr>
        <w:t>• Should the minimum final demonstration require one leader and three followers, or should the validated pair remain the core result with multi-follower behavior as an extension?</w:t>
      </w:r>
    </w:p>
    <w:p>
      <w:pPr>
        <w:spacing w:after="80"/>
        <w:ind w:left="432" w:hanging="288"/>
      </w:pPr>
      <w:r>
        <w:rPr>
          <w:rFonts w:ascii="Helvetica Neue" w:hAnsi="Helvetica Neue"/>
          <w:color w:val="000000"/>
          <w:sz w:val="20"/>
        </w:rPr>
        <w:t>• Is the planned progression from camera calibration to pair control and then chain stability appropriate for the remaining project schedule?</w:t>
      </w:r>
    </w:p>
    <w:p>
      <w:pPr>
        <w:keepNext w:val="0"/>
        <w:spacing w:after="120"/>
      </w:pPr>
      <w:r>
        <w:rPr>
          <w:rFonts w:ascii="Helvetica Neue" w:hAnsi="Helvetica Neue"/>
          <w:color w:val="000000"/>
          <w:sz w:val="21"/>
        </w:rPr>
        <w:t>My recommended next step is to approve the application framing and begin the measurement-only ROS 2 and Gazebo baseline. I will keep the existing toy simulator as a deterministic reference, then replace its idealized measurements with rendered camera observations and record the difference. I will not expand to learned detection, multi-follower control, or hardware testing until the preceding evidence and documentation have been reviewed.</w:t>
      </w:r>
    </w:p>
    <w:p>
      <w:pPr>
        <w:pStyle w:val="Heading1"/>
        <w:keepNext/>
        <w:pageBreakBefore/>
      </w:pPr>
      <w:r>
        <w:rPr>
          <w:rFonts w:ascii="Helvetica Neue" w:hAnsi="Helvetica Neue"/>
          <w:b/>
          <w:color w:val="0B3153"/>
          <w:sz w:val="34"/>
        </w:rPr>
        <w:t>References</w:t>
      </w:r>
    </w:p>
    <w:p>
      <w:pPr>
        <w:spacing w:after="80"/>
        <w:ind w:left="288" w:hanging="288"/>
      </w:pPr>
      <w:r>
        <w:rPr>
          <w:rFonts w:ascii="Helvetica Neue" w:hAnsi="Helvetica Neue"/>
          <w:color w:val="000000"/>
          <w:sz w:val="17"/>
        </w:rPr>
        <w:t xml:space="preserve">[1] DHL. Annual Report 2016. EffiBOT warehouse test and autonomous trolley description. </w:t>
      </w:r>
      <w:hyperlink r:id="rId25">
        <w:r>
          <w:rPr>
            <w:rFonts w:ascii="Helvetica Neue" w:hAnsi="Helvetica Neue"/>
            <w:color w:val="2F6F9F"/>
            <w:u w:val="single"/>
          </w:rPr>
          <w:t>Source link</w:t>
        </w:r>
      </w:hyperlink>
    </w:p>
    <w:p>
      <w:pPr>
        <w:spacing w:after="80"/>
        <w:ind w:left="288" w:hanging="288"/>
      </w:pPr>
      <w:r>
        <w:rPr>
          <w:rFonts w:ascii="Helvetica Neue" w:hAnsi="Helvetica Neue"/>
          <w:color w:val="000000"/>
          <w:sz w:val="17"/>
        </w:rPr>
        <w:t xml:space="preserve">[2] Toyota Material Handling. Tow Tractors and Tuggers FAQ. Multi-cart transport, lean movement, and just-in-time delivery. </w:t>
      </w:r>
      <w:hyperlink r:id="rId26">
        <w:r>
          <w:rPr>
            <w:rFonts w:ascii="Helvetica Neue" w:hAnsi="Helvetica Neue"/>
            <w:color w:val="2F6F9F"/>
            <w:u w:val="single"/>
          </w:rPr>
          <w:t>Source link</w:t>
        </w:r>
      </w:hyperlink>
    </w:p>
    <w:p>
      <w:pPr>
        <w:spacing w:after="80"/>
        <w:ind w:left="288" w:hanging="288"/>
      </w:pPr>
      <w:r>
        <w:rPr>
          <w:rFonts w:ascii="Helvetica Neue" w:hAnsi="Helvetica Neue"/>
          <w:color w:val="000000"/>
          <w:sz w:val="17"/>
        </w:rPr>
        <w:t xml:space="preserve">[3] Zebra Technologies. Autonomous Mobile Robots. Warehouse workflows including picking, post-pick transport, receiving, putaway, and replenishment. </w:t>
      </w:r>
      <w:hyperlink r:id="rId27">
        <w:r>
          <w:rPr>
            <w:rFonts w:ascii="Helvetica Neue" w:hAnsi="Helvetica Neue"/>
            <w:color w:val="2F6F9F"/>
            <w:u w:val="single"/>
          </w:rPr>
          <w:t>Source link</w:t>
        </w:r>
      </w:hyperlink>
    </w:p>
    <w:p>
      <w:pPr>
        <w:spacing w:after="80"/>
        <w:ind w:left="288" w:hanging="288"/>
      </w:pPr>
      <w:r>
        <w:rPr>
          <w:rFonts w:ascii="Helvetica Neue" w:hAnsi="Helvetica Neue"/>
          <w:color w:val="000000"/>
          <w:sz w:val="17"/>
        </w:rPr>
        <w:t xml:space="preserve">[4] DHL. Logistics Trend Radar. Follow-me and point-to-point mobile robot use in logistics. </w:t>
      </w:r>
      <w:hyperlink r:id="rId28">
        <w:r>
          <w:rPr>
            <w:rFonts w:ascii="Helvetica Neue" w:hAnsi="Helvetica Neue"/>
            <w:color w:val="2F6F9F"/>
            <w:u w:val="single"/>
          </w:rPr>
          <w:t>Source link</w:t>
        </w:r>
      </w:hyperlink>
    </w:p>
    <w:p>
      <w:pPr>
        <w:spacing w:after="80"/>
        <w:ind w:left="288" w:hanging="288"/>
      </w:pPr>
      <w:r>
        <w:rPr>
          <w:rFonts w:ascii="Helvetica Neue" w:hAnsi="Helvetica Neue"/>
          <w:color w:val="000000"/>
          <w:sz w:val="17"/>
        </w:rPr>
        <w:t xml:space="preserve">[5] Zebra Technologies. Team Intelligence FAQ. Description of the single-picker follow-me workflow. </w:t>
      </w:r>
      <w:hyperlink r:id="rId29">
        <w:r>
          <w:rPr>
            <w:rFonts w:ascii="Helvetica Neue" w:hAnsi="Helvetica Neue"/>
            <w:color w:val="2F6F9F"/>
            <w:u w:val="single"/>
          </w:rPr>
          <w:t>Source link</w:t>
        </w:r>
      </w:hyperlink>
    </w:p>
    <w:p>
      <w:pPr>
        <w:spacing w:after="80"/>
        <w:ind w:left="288" w:hanging="288"/>
      </w:pPr>
      <w:r>
        <w:rPr>
          <w:rFonts w:ascii="Helvetica Neue" w:hAnsi="Helvetica Neue"/>
          <w:color w:val="000000"/>
          <w:sz w:val="17"/>
        </w:rPr>
        <w:t xml:space="preserve">[6] International Organization for Standardization. ISO 3691-4:2023 Industrial trucks Safety requirements and verification Part 4 Driverless industrial trucks and their systems. </w:t>
      </w:r>
      <w:hyperlink r:id="rId30">
        <w:r>
          <w:rPr>
            <w:rFonts w:ascii="Helvetica Neue" w:hAnsi="Helvetica Neue"/>
            <w:color w:val="2F6F9F"/>
            <w:u w:val="single"/>
          </w:rPr>
          <w:t>Source link</w:t>
        </w:r>
      </w:hyperlink>
    </w:p>
    <w:p>
      <w:pPr>
        <w:spacing w:after="80"/>
        <w:ind w:left="288" w:hanging="288"/>
      </w:pPr>
      <w:r>
        <w:rPr>
          <w:rFonts w:ascii="Helvetica Neue" w:hAnsi="Helvetica Neue"/>
          <w:color w:val="000000"/>
          <w:sz w:val="17"/>
        </w:rPr>
        <w:t xml:space="preserve">[7] United States Occupational Safety and Health Administration. Warehousing hazards and solutions. </w:t>
      </w:r>
      <w:hyperlink r:id="rId31">
        <w:r>
          <w:rPr>
            <w:rFonts w:ascii="Helvetica Neue" w:hAnsi="Helvetica Neue"/>
            <w:color w:val="2F6F9F"/>
            <w:u w:val="single"/>
          </w:rPr>
          <w:t>Source link</w:t>
        </w:r>
      </w:hyperlink>
    </w:p>
    <w:p>
      <w:pPr>
        <w:spacing w:after="80"/>
        <w:ind w:left="288" w:hanging="288"/>
      </w:pPr>
      <w:r>
        <w:rPr>
          <w:rFonts w:ascii="Helvetica Neue" w:hAnsi="Helvetica Neue"/>
          <w:color w:val="000000"/>
          <w:sz w:val="17"/>
        </w:rPr>
        <w:t xml:space="preserve">[8] Open Robotics. Gazebo Harmonic feature comparison and ROS 2 Jazzy support. </w:t>
      </w:r>
      <w:hyperlink r:id="rId14">
        <w:r>
          <w:rPr>
            <w:rFonts w:ascii="Helvetica Neue" w:hAnsi="Helvetica Neue"/>
            <w:color w:val="2F6F9F"/>
            <w:u w:val="single"/>
          </w:rPr>
          <w:t>Source link</w:t>
        </w:r>
      </w:hyperlink>
    </w:p>
    <w:p>
      <w:pPr>
        <w:spacing w:after="80"/>
        <w:ind w:left="288" w:hanging="288"/>
      </w:pPr>
      <w:r>
        <w:rPr>
          <w:rFonts w:ascii="Helvetica Neue" w:hAnsi="Helvetica Neue"/>
          <w:color w:val="000000"/>
          <w:sz w:val="17"/>
        </w:rPr>
        <w:t xml:space="preserve">[9] Open Robotics. ROS 2 integration with Gazebo Harmonic. </w:t>
      </w:r>
      <w:hyperlink r:id="rId15">
        <w:r>
          <w:rPr>
            <w:rFonts w:ascii="Helvetica Neue" w:hAnsi="Helvetica Neue"/>
            <w:color w:val="2F6F9F"/>
            <w:u w:val="single"/>
          </w:rPr>
          <w:t>Source link</w:t>
        </w:r>
      </w:hyperlink>
    </w:p>
    <w:sectPr>
      <w:headerReference r:id="rId10" w:type="default"/>
      <w:headerReference r:id="rId11" w:type="first"/>
      <w:footerReference r:id="rId12" w:type="default"/>
      <w:footerReference r:id="rId13" w:type="first"/>
      <w:footerReference w:type="even" r:id="rId22"/>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r>
    <w:r>
      <w:rPr>
        <w:rtl w:val="0"/>
      </w:rPr>
    </w:r>
    <w:r>
      <w:rPr>
        <w:rFonts w:ascii="Helvetica Neue" w:hAnsi="Helvetica Neue"/>
        <w:color w:val="60758A"/>
        <w:sz w:val="16"/>
      </w:rPr>
    </w:r>
    <w:r>
      <w:rPr>
        <w:rFonts w:ascii="Helvetica Neue" w:hAnsi="Helvetica Neue"/>
        <w:color w:val="60758A"/>
        <w:sz w:val="16"/>
      </w:rPr>
      <w:t>EE 616 Industry Application Rationale | Neeraj Kumar Kanchani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Helvetica Neue" w:hAnsi="Helvetica Neue"/>
      <w:color w:val="24384D"/>
      <w:sz w:val="21"/>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00" w:line="285" w:lineRule="auto" w:before="240"/>
    </w:pPr>
    <w:rPr>
      <w:rFonts w:ascii="Helvetica Neue" w:hAnsi="Helvetica Neue"/>
      <w:b/>
      <w:bCs w:val="1"/>
      <w:color w:val="0B3153"/>
      <w:sz w:val="34"/>
      <w:szCs w:val="27"/>
    </w:rPr>
  </w:style>
  <w:style w:type="paragraph" w:styleId="Heading2">
    <w:name w:val="heading 2"/>
    <w:basedOn w:val="Normal"/>
    <w:next w:val="Normal"/>
    <w:pPr>
      <w:keepNext/>
      <w:keepLines w:val="1"/>
      <w:spacing w:after="100" w:before="160" w:lineRule="auto"/>
    </w:pPr>
    <w:rPr>
      <w:rFonts w:ascii="Helvetica Neue" w:cs="Calibri" w:eastAsia="Calibri" w:hAnsi="Helvetica Neue"/>
      <w:b/>
      <w:bCs w:val="1"/>
      <w:smallCaps w:val="1"/>
      <w:color w:val="0B3153"/>
      <w:sz w:val="26"/>
      <w:szCs w:val="19"/>
    </w:rPr>
  </w:style>
  <w:style w:type="paragraph" w:styleId="Heading3">
    <w:name w:val="heading 3"/>
    <w:basedOn w:val="Normal"/>
    <w:next w:val="Normal"/>
    <w:pPr>
      <w:keepNext/>
      <w:keepLines w:val="1"/>
      <w:spacing w:before="160" w:after="100"/>
    </w:pPr>
    <w:rPr>
      <w:rFonts w:ascii="Helvetica Neue" w:cs="Helvetica Neue" w:eastAsia="Helvetica Neue" w:hAnsi="Helvetica Neue"/>
      <w:b/>
      <w:bCs w:val="1"/>
      <w:color w:val="60758A"/>
      <w:sz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240" w:lineRule="auto"/>
    </w:pPr>
    <w:rPr>
      <w:rFonts w:ascii="Helvetica Neue" w:hAnsi="Helvetica Neue"/>
      <w:b/>
      <w:bCs w:val="1"/>
      <w:color w:val="000000"/>
      <w:sz w:val="62"/>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hyperlink" Target="https://gazebosim.org/docs/harmonic/comparison/" TargetMode="External"/><Relationship Id="rId15" Type="http://schemas.openxmlformats.org/officeDocument/2006/relationships/hyperlink" Target="https://gazebosim.org/docs/harmonic/ros2_integration/" TargetMode="External"/><Relationship Id="rId16" Type="http://schemas.openxmlformats.org/officeDocument/2006/relationships/hyperlink" Target="https://docs.ros.org/en/jazzy/p/vision_msgs/" TargetMode="External"/><Relationship Id="rId17" Type="http://schemas.openxmlformats.org/officeDocument/2006/relationships/hyperlink" Target="https://docs.nvidia.com/deeplearning/tensorrt/latest/inference-library/quantized-types-schemes.html" TargetMode="External"/><Relationship Id="rId18" Type="http://schemas.openxmlformats.org/officeDocument/2006/relationships/hyperlink" Target="https://doi.org/10.1109/70.538972" TargetMode="External"/><Relationship Id="rId19" Type="http://schemas.openxmlformats.org/officeDocument/2006/relationships/hyperlink" Target="https://arxiv.org/abs/1501.01364" TargetMode="External"/><Relationship Id="rId20" Type="http://schemas.openxmlformats.org/officeDocument/2006/relationships/hyperlink" Target="https://arxiv.org/abs/1705.08940" TargetMode="External"/><Relationship Id="rId21" Type="http://schemas.openxmlformats.org/officeDocument/2006/relationships/hyperlink" Target="https://arxiv.org/abs/2605.17533" TargetMode="External"/><Relationship Id="rId22" Type="http://schemas.openxmlformats.org/officeDocument/2006/relationships/footer" Target="footer3.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hyperlink" Target="https://group.dhl.com/content/dam/deutschepostdhl/en/media-center/investors/documents/annual-reports/DPDHL_2016_Annual_Report.pdf" TargetMode="External"/><Relationship Id="rId26" Type="http://schemas.openxmlformats.org/officeDocument/2006/relationships/hyperlink" Target="https://www.toyotaforklift.com/resource-library/blog/toyota-products/tow-tractors-tuggers-faq" TargetMode="External"/><Relationship Id="rId27" Type="http://schemas.openxmlformats.org/officeDocument/2006/relationships/hyperlink" Target="https://www.zebra.com/us/en/products/autonomous-mobile-robots.html" TargetMode="External"/><Relationship Id="rId28" Type="http://schemas.openxmlformats.org/officeDocument/2006/relationships/hyperlink" Target="https://www.dhl.com/content/dam/dhl/global/csi/documents/pdf/csi-logistics-trend-radar-6-dhl.pdf" TargetMode="External"/><Relationship Id="rId29" Type="http://schemas.openxmlformats.org/officeDocument/2006/relationships/hyperlink" Target="https://www.zebra.com/gb/en/resource-library/faq/what-is-team-intelligence.html" TargetMode="External"/><Relationship Id="rId30" Type="http://schemas.openxmlformats.org/officeDocument/2006/relationships/hyperlink" Target="https://www.iso.org/standard/83545.html" TargetMode="External"/><Relationship Id="rId31" Type="http://schemas.openxmlformats.org/officeDocument/2006/relationships/hyperlink" Target="https://www.osha.gov/warehousing/hazards-solu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Industry Application and System Rationale for Vision Only Leader Follower Warehouse Coordination</dc:title>
  <cp:lastModifiedBy>python-docx</cp:lastModifiedBy>
  <cp:revision>1</cp:revision>
  <dcterms:modified xsi:type="dcterms:W3CDTF">2026-09-16T02:54:18Z</dcterms:modified>
  <dc:subject>Flexible material delivery convoy proposal for faculty review</dc:subject>
  <dc:creator>Neeraj Kumar Kanchani</dc:creator>
  <cp:keywords>EE 616, warehouse robotics, leader follower, autonomous mobile robot, visual servoing, ROS 2, Gazebo</cp:keywords>
  <dc:description>Draft prepared by Neeraj Kumar Kanchani for review by Professor Masudul Imtiaz</dc:description>
</cp:coreProperties>
</file>