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560" w:after="80"/>
      </w:pPr>
      <w:r>
        <w:rPr>
          <w:rFonts w:ascii="Helvetica Neue" w:hAnsi="Helvetica Neue"/>
          <w:color w:val="60758A"/>
          <w:sz w:val="42"/>
        </w:rPr>
        <w:t>EE 616 Technical Review</w:t>
      </w:r>
    </w:p>
    <w:p>
      <w:pPr>
        <w:pStyle w:val="Title"/>
        <w:spacing w:after="240"/>
        <w:jc w:val="left"/>
      </w:pPr>
      <w:r>
        <w:rPr>
          <w:rFonts w:ascii="Helvetica Neue" w:hAnsi="Helvetica Neue"/>
          <w:b/>
          <w:color w:val="000000"/>
          <w:sz w:val="56"/>
        </w:rPr>
        <w:t>Initial Technical Explanation and Preliminary Figures for Vision Only Leader Follower Coordination</w:t>
      </w:r>
    </w:p>
    <w:p>
      <w:pPr>
        <w:spacing w:after="1080"/>
      </w:pPr>
      <w:r>
        <w:rPr>
          <w:rFonts w:ascii="Helvetica Neue" w:hAnsi="Helvetica Neue"/>
          <w:color w:val="34495E"/>
          <w:sz w:val="27"/>
        </w:rPr>
        <w:t>Technical concept and toy kinematic evidence for faculty review</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384"/>
            <w:vAlign w:val="center"/>
            <w:tcMar>
              <w:top w:w="85" w:type="dxa"/>
              <w:start w:w="45" w:type="dxa"/>
              <w:bottom w:w="85" w:type="dxa"/>
              <w:end w:w="45" w:type="dxa"/>
            </w:tcMar>
          </w:tcPr>
          <w:p>
            <w:pPr>
              <w:spacing w:after="80"/>
            </w:pPr>
            <w:r>
              <w:rPr>
                <w:rFonts w:ascii="Helvetica Neue" w:hAnsi="Helvetica Neue"/>
                <w:b/>
                <w:color w:val="60758A"/>
                <w:sz w:val="17"/>
              </w:rPr>
              <w:t>STATUS</w:t>
            </w:r>
          </w:p>
          <w:p>
            <w:pPr>
              <w:spacing w:after="0"/>
            </w:pPr>
            <w:r>
              <w:rPr>
                <w:rFonts w:ascii="Helvetica Neue" w:hAnsi="Helvetica Neue"/>
                <w:color w:val="24384D"/>
                <w:sz w:val="20"/>
              </w:rPr>
              <w:t>Draft for faculty review</w:t>
            </w:r>
          </w:p>
        </w:tc>
        <w:tc>
          <w:tcPr>
            <w:tcW w:type="dxa" w:w="3384"/>
            <w:vAlign w:val="center"/>
            <w:tcMar>
              <w:top w:w="85" w:type="dxa"/>
              <w:start w:w="45" w:type="dxa"/>
              <w:bottom w:w="85" w:type="dxa"/>
              <w:end w:w="45" w:type="dxa"/>
            </w:tcMar>
          </w:tcPr>
          <w:p>
            <w:pPr>
              <w:spacing w:after="80"/>
            </w:pPr>
            <w:r>
              <w:rPr>
                <w:rFonts w:ascii="Helvetica Neue" w:hAnsi="Helvetica Neue"/>
                <w:b/>
                <w:color w:val="60758A"/>
                <w:sz w:val="17"/>
              </w:rPr>
              <w:t>AUTHOR</w:t>
            </w:r>
          </w:p>
          <w:p>
            <w:pPr>
              <w:spacing w:after="0"/>
            </w:pPr>
            <w:r>
              <w:rPr>
                <w:rFonts w:ascii="Helvetica Neue" w:hAnsi="Helvetica Neue"/>
                <w:color w:val="24384D"/>
                <w:sz w:val="20"/>
              </w:rPr>
              <w:t>Neeraj Kumar Kanchani</w:t>
            </w:r>
          </w:p>
        </w:tc>
        <w:tc>
          <w:tcPr>
            <w:tcW w:type="dxa" w:w="3384"/>
            <w:vAlign w:val="center"/>
            <w:tcMar>
              <w:top w:w="85" w:type="dxa"/>
              <w:start w:w="45" w:type="dxa"/>
              <w:bottom w:w="85" w:type="dxa"/>
              <w:end w:w="45" w:type="dxa"/>
            </w:tcMar>
          </w:tcPr>
          <w:p>
            <w:pPr>
              <w:spacing w:after="80"/>
            </w:pPr>
            <w:r>
              <w:rPr>
                <w:rFonts w:ascii="Helvetica Neue" w:hAnsi="Helvetica Neue"/>
                <w:b/>
                <w:color w:val="60758A"/>
                <w:sz w:val="17"/>
              </w:rPr>
              <w:t>UPDATED</w:t>
            </w:r>
          </w:p>
          <w:p>
            <w:pPr>
              <w:spacing w:after="0"/>
            </w:pPr>
            <w:r>
              <w:rPr>
                <w:rFonts w:ascii="Helvetica Neue" w:hAnsi="Helvetica Neue"/>
                <w:color w:val="24384D"/>
                <w:sz w:val="20"/>
              </w:rPr>
              <w:t>September 18, 2026</w:t>
            </w:r>
          </w:p>
        </w:tc>
      </w:tr>
    </w:tbl>
    <w:p>
      <w:pPr>
        <w:spacing w:after="10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2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Field</w:t>
            </w:r>
          </w:p>
        </w:tc>
        <w:tc>
          <w:tcPr>
            <w:tcW w:type="dxa" w:w="784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Details</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Faculty reviewer</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Professor Masudul Imtiaz</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Course</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EE 616-57, section 9189, four credits</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Application</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Flexible autonomous material-delivery convoy for warehouse and manufacturing aisles</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Current evidence</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Deterministic two-dimensional toy simulation</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Decision requested</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Confirm the technical direction and approve environment validation as the next implementation gate</w:t>
            </w:r>
          </w:p>
        </w:tc>
      </w:tr>
    </w:tbl>
    <w:p>
      <w:pPr>
        <w:spacing w:after="20"/>
      </w:pPr>
    </w:p>
    <w:p>
      <w:r>
        <w:br w:type="page"/>
      </w:r>
    </w:p>
    <w:p>
      <w:pPr>
        <w:pStyle w:val="Heading1"/>
        <w:keepNext/>
      </w:pPr>
      <w:r>
        <w:rPr>
          <w:rFonts w:ascii="Helvetica Neue" w:hAnsi="Helvetica Neue"/>
          <w:b/>
          <w:color w:val="0B3153"/>
          <w:sz w:val="34"/>
        </w:rPr>
        <w:t>1 Technical Purpose and Review Request</w:t>
      </w:r>
    </w:p>
    <w:p>
      <w:pPr>
        <w:keepNext w:val="0"/>
        <w:spacing w:after="120"/>
      </w:pPr>
      <w:r>
        <w:rPr>
          <w:rFonts w:ascii="Helvetica Neue" w:hAnsi="Helvetica Neue"/>
          <w:color w:val="000000"/>
          <w:sz w:val="21"/>
        </w:rPr>
        <w:t>I propose a vision-only leader-follower coordination system for a flexible warehouse material-delivery convoy. The leader owns the route. Each independently driven follower observes the robot immediately ahead with a forward RGB camera, combines that observation with its own wheel odometry, and commands bounded motion to maintain a specified gap. My technical question is whether this local perception and control structure can preserve useful spacing through turns and short losses of visual contact on constrained computing hardware.</w:t>
      </w:r>
    </w:p>
    <w:p>
      <w:pPr>
        <w:keepNext w:val="0"/>
        <w:spacing w:after="120"/>
      </w:pPr>
      <w:r>
        <w:rPr>
          <w:rFonts w:ascii="Helvetica Neue" w:hAnsi="Helvetica Neue"/>
          <w:color w:val="000000"/>
          <w:sz w:val="21"/>
        </w:rPr>
        <w:t>The current evidence is a deterministic two-dimensional Python model. It demonstrates the planned predecessor-following topology, camera-geometry calculation, state estimation, bounded control, recovery-state logic, synchronized logging, and repeatable figures. It does not demonstrate ROS 2 timing, Gazebo physics, learned image detection, wheel slip, network behavior, physical robots, or industrial safety.</w:t>
      </w:r>
    </w:p>
    <w:p>
      <w:pPr>
        <w:keepNext w:val="0"/>
        <w:spacing w:after="120"/>
      </w:pPr>
      <w:r>
        <w:rPr>
          <w:rFonts w:ascii="Helvetica Neue" w:hAnsi="Helvetica Neue"/>
          <w:color w:val="000000"/>
          <w:sz w:val="21"/>
        </w:rPr>
        <w:t>I am asking for feedback on the technical decomposition, the proposed measurement experiment, and the decision to validate one leader and one follower before extending the chain. If this direction is suitable, my next implementation request will be limited to environment and reproducibility validation for ROS 2 Jazzy and Gazebo Harmonic.</w:t>
      </w:r>
    </w:p>
    <w:p>
      <w:pPr>
        <w:pStyle w:val="Heading1"/>
        <w:keepNext/>
      </w:pPr>
      <w:r>
        <w:rPr>
          <w:rFonts w:ascii="Helvetica Neue" w:hAnsi="Helvetica Neue"/>
          <w:b/>
          <w:color w:val="0B3153"/>
          <w:sz w:val="34"/>
        </w:rPr>
        <w:t>2 Verified State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800"/>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Item</w:t>
            </w:r>
          </w:p>
        </w:tc>
        <w:tc>
          <w:tcPr>
            <w:tcW w:type="dxa" w:w="352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Verified condition</w:t>
            </w:r>
          </w:p>
        </w:tc>
        <w:tc>
          <w:tcPr>
            <w:tcW w:type="dxa" w:w="475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Meaning</w:t>
            </w:r>
          </w:p>
        </w:tc>
      </w:tr>
      <w:tr>
        <w:trPr>
          <w:cantSplit/>
        </w:trPr>
        <w:tc>
          <w:tcPr>
            <w:tcW w:type="dxa" w:w="1800"/>
            <w:shd w:fill="E5F0F8"/>
            <w:vAlign w:val="center"/>
            <w:tcMar>
              <w:top w:w="105" w:type="dxa"/>
              <w:start w:w="120" w:type="dxa"/>
              <w:bottom w:w="105" w:type="dxa"/>
              <w:end w:w="120" w:type="dxa"/>
            </w:tcMar>
          </w:tcPr>
          <w:p>
            <w:pPr>
              <w:spacing w:after="0"/>
            </w:pPr>
            <w:r>
              <w:rPr>
                <w:rFonts w:ascii="Helvetica Neue" w:hAnsi="Helvetica Neue"/>
                <w:color w:val="24384D"/>
                <w:sz w:val="17"/>
              </w:rPr>
              <w:t>Automated tests</w:t>
            </w:r>
          </w:p>
        </w:tc>
        <w:tc>
          <w:tcPr>
            <w:tcW w:type="dxa" w:w="3528"/>
            <w:shd w:fill="E5F0F8"/>
            <w:vAlign w:val="center"/>
            <w:tcMar>
              <w:top w:w="105" w:type="dxa"/>
              <w:start w:w="120" w:type="dxa"/>
              <w:bottom w:w="105" w:type="dxa"/>
              <w:end w:w="120" w:type="dxa"/>
            </w:tcMar>
          </w:tcPr>
          <w:p>
            <w:pPr>
              <w:spacing w:after="0"/>
            </w:pPr>
            <w:r>
              <w:rPr>
                <w:rFonts w:ascii="Helvetica Neue" w:hAnsi="Helvetica Neue"/>
                <w:color w:val="24384D"/>
                <w:sz w:val="17"/>
              </w:rPr>
              <w:t>Seven tests pass</w:t>
            </w:r>
          </w:p>
        </w:tc>
        <w:tc>
          <w:tcPr>
            <w:tcW w:type="dxa" w:w="4752"/>
            <w:shd w:fill="E5F0F8"/>
            <w:vAlign w:val="center"/>
            <w:tcMar>
              <w:top w:w="105" w:type="dxa"/>
              <w:start w:w="120" w:type="dxa"/>
              <w:bottom w:w="105" w:type="dxa"/>
              <w:end w:w="120" w:type="dxa"/>
            </w:tcMar>
          </w:tcPr>
          <w:p>
            <w:pPr>
              <w:spacing w:after="0"/>
            </w:pPr>
            <w:r>
              <w:rPr>
                <w:rFonts w:ascii="Helvetica Neue" w:hAnsi="Helvetica Neue"/>
                <w:color w:val="24384D"/>
                <w:sz w:val="17"/>
              </w:rPr>
              <w:t>The recorded toy functions remain deterministic and finite.</w:t>
            </w:r>
          </w:p>
        </w:tc>
      </w:tr>
      <w:tr>
        <w:trPr>
          <w:cantSplit/>
        </w:trPr>
        <w:tc>
          <w:tcPr>
            <w:tcW w:type="dxa" w:w="1800"/>
            <w:shd w:fill="F4F7FA"/>
            <w:vAlign w:val="center"/>
            <w:tcMar>
              <w:top w:w="105" w:type="dxa"/>
              <w:start w:w="120" w:type="dxa"/>
              <w:bottom w:w="105" w:type="dxa"/>
              <w:end w:w="120" w:type="dxa"/>
            </w:tcMar>
          </w:tcPr>
          <w:p>
            <w:pPr>
              <w:spacing w:after="0"/>
            </w:pPr>
            <w:r>
              <w:rPr>
                <w:rFonts w:ascii="Helvetica Neue" w:hAnsi="Helvetica Neue"/>
                <w:color w:val="24384D"/>
                <w:sz w:val="17"/>
              </w:rPr>
              <w:t>Pair experiment</w:t>
            </w:r>
          </w:p>
        </w:tc>
        <w:tc>
          <w:tcPr>
            <w:tcW w:type="dxa" w:w="3528"/>
            <w:shd w:fill="F4F7FA"/>
            <w:vAlign w:val="center"/>
            <w:tcMar>
              <w:top w:w="105" w:type="dxa"/>
              <w:start w:w="120" w:type="dxa"/>
              <w:bottom w:w="105" w:type="dxa"/>
              <w:end w:w="120" w:type="dxa"/>
            </w:tcMar>
          </w:tcPr>
          <w:p>
            <w:pPr>
              <w:spacing w:after="0"/>
            </w:pPr>
            <w:r>
              <w:rPr>
                <w:rFonts w:ascii="Helvetica Neue" w:hAnsi="Helvetica Neue"/>
                <w:color w:val="24384D"/>
                <w:sz w:val="17"/>
              </w:rPr>
              <w:t>32 trials across four scenarios and eight seeds</w:t>
            </w:r>
          </w:p>
        </w:tc>
        <w:tc>
          <w:tcPr>
            <w:tcW w:type="dxa" w:w="4752"/>
            <w:shd w:fill="F4F7FA"/>
            <w:vAlign w:val="center"/>
            <w:tcMar>
              <w:top w:w="105" w:type="dxa"/>
              <w:start w:w="120" w:type="dxa"/>
              <w:bottom w:w="105" w:type="dxa"/>
              <w:end w:w="120" w:type="dxa"/>
            </w:tcMar>
          </w:tcPr>
          <w:p>
            <w:pPr>
              <w:spacing w:after="0"/>
            </w:pPr>
            <w:r>
              <w:rPr>
                <w:rFonts w:ascii="Helvetica Neue" w:hAnsi="Helvetica Neue"/>
                <w:color w:val="24384D"/>
                <w:sz w:val="17"/>
              </w:rPr>
              <w:t>The experiment contract is repeatable under simplified assumptions.</w:t>
            </w:r>
          </w:p>
        </w:tc>
      </w:tr>
      <w:tr>
        <w:trPr>
          <w:cantSplit/>
        </w:trPr>
        <w:tc>
          <w:tcPr>
            <w:tcW w:type="dxa" w:w="1800"/>
            <w:shd w:fill="E5F0F8"/>
            <w:vAlign w:val="center"/>
            <w:tcMar>
              <w:top w:w="105" w:type="dxa"/>
              <w:start w:w="120" w:type="dxa"/>
              <w:bottom w:w="105" w:type="dxa"/>
              <w:end w:w="120" w:type="dxa"/>
            </w:tcMar>
          </w:tcPr>
          <w:p>
            <w:pPr>
              <w:spacing w:after="0"/>
            </w:pPr>
            <w:r>
              <w:rPr>
                <w:rFonts w:ascii="Helvetica Neue" w:hAnsi="Helvetica Neue"/>
                <w:color w:val="24384D"/>
                <w:sz w:val="17"/>
              </w:rPr>
              <w:t>Warehouse run</w:t>
            </w:r>
          </w:p>
        </w:tc>
        <w:tc>
          <w:tcPr>
            <w:tcW w:type="dxa" w:w="3528"/>
            <w:shd w:fill="E5F0F8"/>
            <w:vAlign w:val="center"/>
            <w:tcMar>
              <w:top w:w="105" w:type="dxa"/>
              <w:start w:w="120" w:type="dxa"/>
              <w:bottom w:w="105" w:type="dxa"/>
              <w:end w:w="120" w:type="dxa"/>
            </w:tcMar>
          </w:tcPr>
          <w:p>
            <w:pPr>
              <w:spacing w:after="0"/>
            </w:pPr>
            <w:r>
              <w:rPr>
                <w:rFonts w:ascii="Helvetica Neue" w:hAnsi="Helvetica Neue"/>
                <w:color w:val="24384D"/>
                <w:sz w:val="17"/>
              </w:rPr>
              <w:t>One leader, three followers, 86 seconds, seven route segments</w:t>
            </w:r>
          </w:p>
        </w:tc>
        <w:tc>
          <w:tcPr>
            <w:tcW w:type="dxa" w:w="4752"/>
            <w:shd w:fill="E5F0F8"/>
            <w:vAlign w:val="center"/>
            <w:tcMar>
              <w:top w:w="105" w:type="dxa"/>
              <w:start w:w="120" w:type="dxa"/>
              <w:bottom w:w="105" w:type="dxa"/>
              <w:end w:w="120" w:type="dxa"/>
            </w:tcMar>
          </w:tcPr>
          <w:p>
            <w:pPr>
              <w:spacing w:after="0"/>
            </w:pPr>
            <w:r>
              <w:rPr>
                <w:rFonts w:ascii="Helvetica Neue" w:hAnsi="Helvetica Neue"/>
                <w:color w:val="24384D"/>
                <w:sz w:val="17"/>
              </w:rPr>
              <w:t>The chain topology and logging operate in the toy maze.</w:t>
            </w:r>
          </w:p>
        </w:tc>
      </w:tr>
      <w:tr>
        <w:trPr>
          <w:cantSplit/>
        </w:trPr>
        <w:tc>
          <w:tcPr>
            <w:tcW w:type="dxa" w:w="1800"/>
            <w:shd w:fill="F4F7FA"/>
            <w:vAlign w:val="center"/>
            <w:tcMar>
              <w:top w:w="105" w:type="dxa"/>
              <w:start w:w="120" w:type="dxa"/>
              <w:bottom w:w="105" w:type="dxa"/>
              <w:end w:w="120" w:type="dxa"/>
            </w:tcMar>
          </w:tcPr>
          <w:p>
            <w:pPr>
              <w:spacing w:after="0"/>
            </w:pPr>
            <w:r>
              <w:rPr>
                <w:rFonts w:ascii="Helvetica Neue" w:hAnsi="Helvetica Neue"/>
                <w:color w:val="24384D"/>
                <w:sz w:val="17"/>
              </w:rPr>
              <w:t>Collision record</w:t>
            </w:r>
          </w:p>
        </w:tc>
        <w:tc>
          <w:tcPr>
            <w:tcW w:type="dxa" w:w="3528"/>
            <w:shd w:fill="F4F7FA"/>
            <w:vAlign w:val="center"/>
            <w:tcMar>
              <w:top w:w="105" w:type="dxa"/>
              <w:start w:w="120" w:type="dxa"/>
              <w:bottom w:w="105" w:type="dxa"/>
              <w:end w:w="120" w:type="dxa"/>
            </w:tcMar>
          </w:tcPr>
          <w:p>
            <w:pPr>
              <w:spacing w:after="0"/>
            </w:pPr>
            <w:r>
              <w:rPr>
                <w:rFonts w:ascii="Helvetica Neue" w:hAnsi="Helvetica Neue"/>
                <w:color w:val="24384D"/>
                <w:sz w:val="17"/>
              </w:rPr>
              <w:t>Zero toy-model collision samples</w:t>
            </w:r>
          </w:p>
        </w:tc>
        <w:tc>
          <w:tcPr>
            <w:tcW w:type="dxa" w:w="4752"/>
            <w:shd w:fill="F4F7FA"/>
            <w:vAlign w:val="center"/>
            <w:tcMar>
              <w:top w:w="105" w:type="dxa"/>
              <w:start w:w="120" w:type="dxa"/>
              <w:bottom w:w="105" w:type="dxa"/>
              <w:end w:w="120" w:type="dxa"/>
            </w:tcMar>
          </w:tcPr>
          <w:p>
            <w:pPr>
              <w:spacing w:after="0"/>
            </w:pPr>
            <w:r>
              <w:rPr>
                <w:rFonts w:ascii="Helvetica Neue" w:hAnsi="Helvetica Neue"/>
                <w:color w:val="24384D"/>
                <w:sz w:val="17"/>
              </w:rPr>
              <w:t>No collision was recorded by the center and radius checks; this is not a safety claim.</w:t>
            </w:r>
          </w:p>
        </w:tc>
      </w:tr>
      <w:tr>
        <w:trPr>
          <w:cantSplit/>
        </w:trPr>
        <w:tc>
          <w:tcPr>
            <w:tcW w:type="dxa" w:w="1800"/>
            <w:shd w:fill="E5F0F8"/>
            <w:vAlign w:val="center"/>
            <w:tcMar>
              <w:top w:w="105" w:type="dxa"/>
              <w:start w:w="120" w:type="dxa"/>
              <w:bottom w:w="105" w:type="dxa"/>
              <w:end w:w="120" w:type="dxa"/>
            </w:tcMar>
          </w:tcPr>
          <w:p>
            <w:pPr>
              <w:spacing w:after="0"/>
            </w:pPr>
            <w:r>
              <w:rPr>
                <w:rFonts w:ascii="Helvetica Neue" w:hAnsi="Helvetica Neue"/>
                <w:color w:val="24384D"/>
                <w:sz w:val="17"/>
              </w:rPr>
              <w:t>ROS and Gazebo</w:t>
            </w:r>
          </w:p>
        </w:tc>
        <w:tc>
          <w:tcPr>
            <w:tcW w:type="dxa" w:w="3528"/>
            <w:shd w:fill="E5F0F8"/>
            <w:vAlign w:val="center"/>
            <w:tcMar>
              <w:top w:w="105" w:type="dxa"/>
              <w:start w:w="120" w:type="dxa"/>
              <w:bottom w:w="105" w:type="dxa"/>
              <w:end w:w="120" w:type="dxa"/>
            </w:tcMar>
          </w:tcPr>
          <w:p>
            <w:pPr>
              <w:spacing w:after="0"/>
            </w:pPr>
            <w:r>
              <w:rPr>
                <w:rFonts w:ascii="Helvetica Neue" w:hAnsi="Helvetica Neue"/>
                <w:color w:val="24384D"/>
                <w:sz w:val="17"/>
              </w:rPr>
              <w:t>Complete working stack not verified</w:t>
            </w:r>
          </w:p>
        </w:tc>
        <w:tc>
          <w:tcPr>
            <w:tcW w:type="dxa" w:w="4752"/>
            <w:shd w:fill="E5F0F8"/>
            <w:vAlign w:val="center"/>
            <w:tcMar>
              <w:top w:w="105" w:type="dxa"/>
              <w:start w:w="120" w:type="dxa"/>
              <w:bottom w:w="105" w:type="dxa"/>
              <w:end w:w="120" w:type="dxa"/>
            </w:tcMar>
          </w:tcPr>
          <w:p>
            <w:pPr>
              <w:spacing w:after="0"/>
            </w:pPr>
            <w:r>
              <w:rPr>
                <w:rFonts w:ascii="Helvetica Neue" w:hAnsi="Helvetica Neue"/>
                <w:color w:val="24384D"/>
                <w:sz w:val="17"/>
              </w:rPr>
              <w:t>No ROS 2 or Gazebo performance result is claimed.</w:t>
            </w:r>
          </w:p>
        </w:tc>
      </w:tr>
    </w:tbl>
    <w:p>
      <w:pPr>
        <w:spacing w:after="20"/>
      </w:pPr>
    </w:p>
    <w:p>
      <w:r>
        <w:br w:type="page"/>
      </w:r>
    </w:p>
    <w:p>
      <w:pPr>
        <w:pStyle w:val="Heading1"/>
        <w:keepNext/>
      </w:pPr>
      <w:r>
        <w:rPr>
          <w:rFonts w:ascii="Helvetica Neue" w:hAnsi="Helvetica Neue"/>
          <w:b/>
          <w:color w:val="0B3153"/>
          <w:sz w:val="34"/>
        </w:rPr>
        <w:t>3 System Topology and Experimental Boundary</w:t>
      </w:r>
    </w:p>
    <w:p>
      <w:pPr>
        <w:spacing w:after="60"/>
        <w:jc w:val="center"/>
      </w:pPr>
      <w:r>
        <w:drawing>
          <wp:inline>
            <wp:extent cx="6400800" cy="2816352"/>
            <wp:docPr id="1" name="figure_1_system_topology" descr="A leader is followed by three followers. Each follower uses an RGB image, target detection, relative measurement, an estimator, a supervisor, and bounded control. Gazebo ground truth is shown outside the control path."/>
            <wp:cNvGraphicFramePr>
              <a:graphicFrameLocks noChangeAspect="1"/>
            </wp:cNvGraphicFramePr>
            <a:graphic>
              <a:graphicData uri="http://schemas.openxmlformats.org/drawingml/2006/picture">
                <pic:pic>
                  <pic:nvPicPr>
                    <pic:cNvPr id="0" name="figure_1_system_topology.png"/>
                    <pic:cNvPicPr/>
                  </pic:nvPicPr>
                  <pic:blipFill>
                    <a:blip r:embed="rId23"/>
                    <a:stretch>
                      <a:fillRect/>
                    </a:stretch>
                  </pic:blipFill>
                  <pic:spPr>
                    <a:xfrm>
                      <a:off x="0" y="0"/>
                      <a:ext cx="6400800" cy="2816352"/>
                    </a:xfrm>
                    <a:prstGeom prst="rect"/>
                  </pic:spPr>
                </pic:pic>
              </a:graphicData>
            </a:graphic>
          </wp:inline>
        </w:drawing>
      </w:r>
    </w:p>
    <w:p>
      <w:pPr>
        <w:spacing w:after="160"/>
        <w:jc w:val="center"/>
      </w:pPr>
      <w:r>
        <w:rPr>
          <w:rFonts w:ascii="Helvetica Neue" w:hAnsi="Helvetica Neue"/>
          <w:i/>
          <w:color w:val="60758A"/>
          <w:sz w:val="17"/>
        </w:rPr>
        <w:t>Figure 1  Proposed predecessor-following topology and the boundary between control inputs and evaluation data</w:t>
      </w:r>
    </w:p>
    <w:p>
      <w:pPr>
        <w:keepNext w:val="0"/>
        <w:spacing w:after="120"/>
      </w:pPr>
      <w:r>
        <w:rPr>
          <w:rFonts w:ascii="Helvetica Neue" w:hAnsi="Helvetica Neue"/>
          <w:color w:val="000000"/>
          <w:sz w:val="21"/>
        </w:rPr>
        <w:t>Follower 1 tracks the leader, Follower 2 tracks Follower 1, and later robots repeat the same interface. This local relationship avoids requiring a rear robot to see the leader through the entire convoy. It also creates a measurable risk: spacing and turning error can grow toward the rear. I will therefore add followers one at a time only after the one-pair experiment is validated.</w:t>
      </w:r>
    </w:p>
    <w:p>
      <w:pPr>
        <w:keepNext w:val="0"/>
        <w:spacing w:after="120"/>
      </w:pPr>
      <w:r>
        <w:rPr>
          <w:rFonts w:ascii="Helvetica Neue" w:hAnsi="Helvetica Neue"/>
          <w:color w:val="000000"/>
          <w:sz w:val="21"/>
        </w:rPr>
        <w:t>ROS 2 topics are suitable for continuous sensor and state streams, and namespaces provide the naming boundary needed to instantiate the same follower pipeline more than once. In the proposed implementation, each robot will have an isolated namespace, and message timestamps will be logged with the configuration and trial identifier. [1]</w:t>
      </w:r>
    </w:p>
    <w:p>
      <w:r>
        <w:br w:type="page"/>
      </w:r>
    </w:p>
    <w:p>
      <w:pPr>
        <w:pStyle w:val="Heading1"/>
        <w:keepNext/>
      </w:pPr>
      <w:r>
        <w:rPr>
          <w:rFonts w:ascii="Helvetica Neue" w:hAnsi="Helvetica Neue"/>
          <w:b/>
          <w:color w:val="0B3153"/>
          <w:sz w:val="34"/>
        </w:rPr>
        <w:t>4 Camera Only Range and Bearing Measurement</w:t>
      </w:r>
    </w:p>
    <w:p>
      <w:pPr>
        <w:spacing w:after="60"/>
        <w:jc w:val="center"/>
      </w:pPr>
      <w:r>
        <w:drawing>
          <wp:inline>
            <wp:extent cx="6400800" cy="3093720"/>
            <wp:docPr id="2" name="figure_2_camera_geometry" descr="A pinhole camera observes a target with known physical height. Range is estimated from focal length, target height, and bounding-box height. Bearing is estimated from horizontal pixel offset."/>
            <wp:cNvGraphicFramePr>
              <a:graphicFrameLocks noChangeAspect="1"/>
            </wp:cNvGraphicFramePr>
            <a:graphic>
              <a:graphicData uri="http://schemas.openxmlformats.org/drawingml/2006/picture">
                <pic:pic>
                  <pic:nvPicPr>
                    <pic:cNvPr id="0" name="figure_2_camera_geometry.png"/>
                    <pic:cNvPicPr/>
                  </pic:nvPicPr>
                  <pic:blipFill>
                    <a:blip r:embed="rId24"/>
                    <a:stretch>
                      <a:fillRect/>
                    </a:stretch>
                  </pic:blipFill>
                  <pic:spPr>
                    <a:xfrm>
                      <a:off x="0" y="0"/>
                      <a:ext cx="6400800" cy="3093720"/>
                    </a:xfrm>
                    <a:prstGeom prst="rect"/>
                  </pic:spPr>
                </pic:pic>
              </a:graphicData>
            </a:graphic>
          </wp:inline>
        </w:drawing>
      </w:r>
    </w:p>
    <w:p>
      <w:pPr>
        <w:spacing w:after="160"/>
        <w:jc w:val="center"/>
      </w:pPr>
      <w:r>
        <w:rPr>
          <w:rFonts w:ascii="Helvetica Neue" w:hAnsi="Helvetica Neue"/>
          <w:i/>
          <w:color w:val="60758A"/>
          <w:sz w:val="17"/>
        </w:rPr>
        <w:t>Figure 2  Monocular range and bearing calculation used by the toy camera model</w:t>
      </w:r>
    </w:p>
    <w:p>
      <w:pPr>
        <w:keepNext w:val="0"/>
        <w:spacing w:after="120"/>
      </w:pPr>
      <w:r>
        <w:rPr>
          <w:rFonts w:ascii="Helvetica Neue" w:hAnsi="Helvetica Neue"/>
          <w:color w:val="000000"/>
          <w:sz w:val="21"/>
        </w:rPr>
        <w:t>The toy model assumes a known target height H, focal length f in pixels, measured bounding-box height h, horizontal box center u, and camera principal point cₓ. It estimates range as r = f × H ÷ h and bearing as θ = atan((u − cₓ) ÷ f). Pixel noise is added before those calculations. A later image detector would supply the box and confidence, but the geometric calculation would remain independently testable.</w:t>
      </w:r>
    </w:p>
    <w:p>
      <w:pPr>
        <w:keepNext w:val="0"/>
        <w:spacing w:after="120"/>
      </w:pPr>
      <w:r>
        <w:rPr>
          <w:rFonts w:ascii="Helvetica Neue" w:hAnsi="Helvetica Neue"/>
          <w:color w:val="000000"/>
          <w:sz w:val="21"/>
        </w:rPr>
        <w:t>This method is intentionally narrow. Range error will increase when the detected height is small, clipped, tilted, or inconsistent with the assumed target geometry. The Gazebo measurement baseline must therefore sweep range, off-axis placement, heading, lighting, and partial visibility. Gazebo Harmonic provides simulated camera sensors and configurable sensor update behavior, but the project must measure the resulting error rather than infer accuracy from simulator availability. [2]</w:t>
      </w:r>
    </w:p>
    <w:p>
      <w:r>
        <w:br w:type="page"/>
      </w:r>
    </w:p>
    <w:p>
      <w:pPr>
        <w:pStyle w:val="Heading1"/>
        <w:keepNext/>
      </w:pPr>
      <w:r>
        <w:rPr>
          <w:rFonts w:ascii="Helvetica Neue" w:hAnsi="Helvetica Neue"/>
          <w:b/>
          <w:color w:val="0B3153"/>
          <w:sz w:val="34"/>
        </w:rPr>
        <w:t>5 Estimation Control and Recovery</w:t>
      </w:r>
    </w:p>
    <w:p>
      <w:pPr>
        <w:spacing w:after="60"/>
        <w:jc w:val="center"/>
      </w:pPr>
      <w:r>
        <w:drawing>
          <wp:inline>
            <wp:extent cx="6400800" cy="2667000"/>
            <wp:docPr id="3" name="figure_3_state_supervisor" descr="A camera measurement updates a Kalman filter. The controller uses the estimate while the supervisor chooses TRACK, PREDICT, or SAFE STOP based on measurement age."/>
            <wp:cNvGraphicFramePr>
              <a:graphicFrameLocks noChangeAspect="1"/>
            </wp:cNvGraphicFramePr>
            <a:graphic>
              <a:graphicData uri="http://schemas.openxmlformats.org/drawingml/2006/picture">
                <pic:pic>
                  <pic:nvPicPr>
                    <pic:cNvPr id="0" name="figure_3_state_supervisor.png"/>
                    <pic:cNvPicPr/>
                  </pic:nvPicPr>
                  <pic:blipFill>
                    <a:blip r:embed="rId25"/>
                    <a:stretch>
                      <a:fillRect/>
                    </a:stretch>
                  </pic:blipFill>
                  <pic:spPr>
                    <a:xfrm>
                      <a:off x="0" y="0"/>
                      <a:ext cx="6400800" cy="2667000"/>
                    </a:xfrm>
                    <a:prstGeom prst="rect"/>
                  </pic:spPr>
                </pic:pic>
              </a:graphicData>
            </a:graphic>
          </wp:inline>
        </w:drawing>
      </w:r>
    </w:p>
    <w:p>
      <w:pPr>
        <w:spacing w:after="160"/>
        <w:jc w:val="center"/>
      </w:pPr>
      <w:r>
        <w:rPr>
          <w:rFonts w:ascii="Helvetica Neue" w:hAnsi="Helvetica Neue"/>
          <w:i/>
          <w:color w:val="60758A"/>
          <w:sz w:val="17"/>
        </w:rPr>
        <w:t>Figure 3  Estimation, bounded control, and the TRACK, PREDICT, and SAFE STOP supervisor</w:t>
      </w:r>
    </w:p>
    <w:p>
      <w:pPr>
        <w:keepNext w:val="0"/>
        <w:spacing w:after="120"/>
      </w:pPr>
      <w:r>
        <w:rPr>
          <w:rFonts w:ascii="Helvetica Neue" w:hAnsi="Helvetica Neue"/>
          <w:color w:val="000000"/>
          <w:sz w:val="21"/>
        </w:rPr>
        <w:t>The current filter estimates the predecessor's two-dimensional position and velocity. It predicts at every 0.02 second step and corrects the estimate when a camera sample is available. The toy implementation transforms a relative camera measurement into the world frame using an ideal follower pose. That ideal pose is a major simplification; the ROS 2 version must use local wheel odometry and track covariance and timestamp age explicitly.</w:t>
      </w:r>
    </w:p>
    <w:p>
      <w:pPr>
        <w:keepNext w:val="0"/>
        <w:spacing w:after="120"/>
      </w:pPr>
      <w:r>
        <w:rPr>
          <w:rFonts w:ascii="Helvetica Neue" w:hAnsi="Helvetica Neue"/>
          <w:color w:val="000000"/>
          <w:sz w:val="21"/>
        </w:rPr>
        <w:t>The controller combines estimated forward target speed with proportional range and bearing terms, then clips linear and angular commands. TRACK uses a recent measurement. PREDICT allows the filter to bridge a short gap. SAFE STOP sets both commands to zero after the configured timeout or before the filter is initialized. These states express deterministic failure behavior, but they do not establish certified braking distance or person safety.</w:t>
      </w:r>
    </w:p>
    <w:p>
      <w:r>
        <w:br w:type="page"/>
      </w:r>
    </w:p>
    <w:p>
      <w:pPr>
        <w:pStyle w:val="Heading1"/>
        <w:keepNext/>
      </w:pPr>
      <w:r>
        <w:rPr>
          <w:rFonts w:ascii="Helvetica Neue" w:hAnsi="Helvetica Neue"/>
          <w:b/>
          <w:color w:val="0B3153"/>
          <w:sz w:val="34"/>
        </w:rPr>
        <w:t>6 Preliminary Toy Evidence</w:t>
      </w:r>
    </w:p>
    <w:p>
      <w:pPr>
        <w:spacing w:after="60"/>
        <w:jc w:val="center"/>
      </w:pPr>
      <w:r>
        <w:drawing>
          <wp:inline>
            <wp:extent cx="6400800" cy="3413760"/>
            <wp:docPr id="4" name="figure_4_preliminary_results" descr="The left panel shows one leader and three follower trajectories through six shelf blocks. The right panels show spacing RMSE by follower and spacing error over time."/>
            <wp:cNvGraphicFramePr>
              <a:graphicFrameLocks noChangeAspect="1"/>
            </wp:cNvGraphicFramePr>
            <a:graphic>
              <a:graphicData uri="http://schemas.openxmlformats.org/drawingml/2006/picture">
                <pic:pic>
                  <pic:nvPicPr>
                    <pic:cNvPr id="0" name="figure_4_preliminary_results.png"/>
                    <pic:cNvPicPr/>
                  </pic:nvPicPr>
                  <pic:blipFill>
                    <a:blip r:embed="rId26"/>
                    <a:stretch>
                      <a:fillRect/>
                    </a:stretch>
                  </pic:blipFill>
                  <pic:spPr>
                    <a:xfrm>
                      <a:off x="0" y="0"/>
                      <a:ext cx="6400800" cy="3413760"/>
                    </a:xfrm>
                    <a:prstGeom prst="rect"/>
                  </pic:spPr>
                </pic:pic>
              </a:graphicData>
            </a:graphic>
          </wp:inline>
        </w:drawing>
      </w:r>
    </w:p>
    <w:p>
      <w:pPr>
        <w:spacing w:after="160"/>
        <w:jc w:val="center"/>
      </w:pPr>
      <w:r>
        <w:rPr>
          <w:rFonts w:ascii="Helvetica Neue" w:hAnsi="Helvetica Neue"/>
          <w:i/>
          <w:color w:val="60758A"/>
          <w:sz w:val="17"/>
        </w:rPr>
        <w:t>Figure 4  Recorded toy trajectories, spacing error, and error growth toward the rear of the convoy</w:t>
      </w:r>
    </w:p>
    <w:p>
      <w:pPr>
        <w:keepNext w:val="0"/>
        <w:spacing w:after="120"/>
      </w:pPr>
      <w:r>
        <w:rPr>
          <w:rFonts w:ascii="Helvetica Neue" w:hAnsi="Helvetica Neue"/>
          <w:color w:val="000000"/>
          <w:sz w:val="21"/>
        </w:rPr>
        <w:t>The single-pair baseline contains 32 trials covering straight motion, an S-curve, a constant-radius turn, and a forced visual occlusion. Across those trials, the median synthetic camera range RMSE was 0.011 m, bearing MAE was 0.104 degrees, formation RMSE was 0.009 m, and median reacquisition after the forced occlusion was 0.030 s. No collision sample was recorded in that toy experiment.</w:t>
      </w:r>
    </w:p>
    <w:p>
      <w:pPr>
        <w:keepNext w:val="0"/>
        <w:spacing w:after="120"/>
      </w:pPr>
      <w:r>
        <w:rPr>
          <w:rFonts w:ascii="Helvetica Neue" w:hAnsi="Helvetica Neue"/>
          <w:color w:val="000000"/>
          <w:sz w:val="21"/>
        </w:rPr>
        <w:t>The warehouse demonstration used one leader and three followers for 86 simulated seconds. It completed 7 route segments and recorded zero collision samples in the toy collision model. Spacing RMSE increased from 0.140 m for Follower 1 to 0.164 m for Follower 2 and 0.200 m for Follower 3. I interpret this as an early indication that rearward error propagation and corner behavior require explicit measurement in the later multi-follower gate.</w:t>
      </w:r>
    </w:p>
    <w:p>
      <w:r>
        <w:br w:type="page"/>
      </w:r>
    </w:p>
    <w:p>
      <w:pPr>
        <w:pStyle w:val="Heading1"/>
        <w:keepNext/>
      </w:pPr>
      <w:r>
        <w:rPr>
          <w:rFonts w:ascii="Helvetica Neue" w:hAnsi="Helvetica Neue"/>
          <w:b/>
          <w:color w:val="0B3153"/>
          <w:sz w:val="34"/>
        </w:rPr>
        <w:t>7 What the Evidence Does Not Prove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22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Missing condition</w:t>
            </w:r>
          </w:p>
        </w:tc>
        <w:tc>
          <w:tcPr>
            <w:tcW w:type="dxa" w:w="381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Why it matters</w:t>
            </w:r>
          </w:p>
        </w:tc>
        <w:tc>
          <w:tcPr>
            <w:tcW w:type="dxa" w:w="40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Required later evidence</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6"/>
              </w:rPr>
              <w:t>Rendered camera frames and learned detection</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6"/>
              </w:rPr>
              <w:t>The toy model generates boxes directly and omits image artifacts and false detections.</w:t>
            </w:r>
          </w:p>
        </w:tc>
        <w:tc>
          <w:tcPr>
            <w:tcW w:type="dxa" w:w="4032"/>
            <w:shd w:fill="E5F0F8"/>
            <w:vAlign w:val="center"/>
            <w:tcMar>
              <w:top w:w="105" w:type="dxa"/>
              <w:start w:w="120" w:type="dxa"/>
              <w:bottom w:w="105" w:type="dxa"/>
              <w:end w:w="120" w:type="dxa"/>
            </w:tcMar>
          </w:tcPr>
          <w:p>
            <w:pPr>
              <w:spacing w:after="0"/>
            </w:pPr>
            <w:r>
              <w:rPr>
                <w:rFonts w:ascii="Helvetica Neue" w:hAnsi="Helvetica Neue"/>
                <w:color w:val="24384D"/>
                <w:sz w:val="16"/>
              </w:rPr>
              <w:t>Gazebo images, labeled detections, confidence, misses, and error against evaluation ground truth.</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6"/>
              </w:rPr>
              <w:t>Robot physics and odometry error</w:t>
            </w:r>
          </w:p>
        </w:tc>
        <w:tc>
          <w:tcPr>
            <w:tcW w:type="dxa" w:w="3816"/>
            <w:shd w:fill="F4F7FA"/>
            <w:vAlign w:val="center"/>
            <w:tcMar>
              <w:top w:w="105" w:type="dxa"/>
              <w:start w:w="120" w:type="dxa"/>
              <w:bottom w:w="105" w:type="dxa"/>
              <w:end w:w="120" w:type="dxa"/>
            </w:tcMar>
          </w:tcPr>
          <w:p>
            <w:pPr>
              <w:spacing w:after="0"/>
            </w:pPr>
            <w:r>
              <w:rPr>
                <w:rFonts w:ascii="Helvetica Neue" w:hAnsi="Helvetica Neue"/>
                <w:color w:val="24384D"/>
                <w:sz w:val="16"/>
              </w:rPr>
              <w:t>The model omits wheel slip, actuator lag, contact dynamics, and odometry drift.</w:t>
            </w:r>
          </w:p>
        </w:tc>
        <w:tc>
          <w:tcPr>
            <w:tcW w:type="dxa" w:w="4032"/>
            <w:shd w:fill="F4F7FA"/>
            <w:vAlign w:val="center"/>
            <w:tcMar>
              <w:top w:w="105" w:type="dxa"/>
              <w:start w:w="120" w:type="dxa"/>
              <w:bottom w:w="105" w:type="dxa"/>
              <w:end w:w="120" w:type="dxa"/>
            </w:tcMar>
          </w:tcPr>
          <w:p>
            <w:pPr>
              <w:spacing w:after="0"/>
            </w:pPr>
            <w:r>
              <w:rPr>
                <w:rFonts w:ascii="Helvetica Neue" w:hAnsi="Helvetica Neue"/>
                <w:color w:val="24384D"/>
                <w:sz w:val="16"/>
              </w:rPr>
              <w:t>Gazebo motion logs and controlled disturbances after the measurement gate.</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6"/>
              </w:rPr>
              <w:t>ROS 2 timing and namespaces</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6"/>
              </w:rPr>
              <w:t>The current code does not exercise middleware timing, queueing, QoS, or namespace isolation.</w:t>
            </w:r>
          </w:p>
        </w:tc>
        <w:tc>
          <w:tcPr>
            <w:tcW w:type="dxa" w:w="4032"/>
            <w:shd w:fill="E5F0F8"/>
            <w:vAlign w:val="center"/>
            <w:tcMar>
              <w:top w:w="105" w:type="dxa"/>
              <w:start w:w="120" w:type="dxa"/>
              <w:bottom w:w="105" w:type="dxa"/>
              <w:end w:w="120" w:type="dxa"/>
            </w:tcMar>
          </w:tcPr>
          <w:p>
            <w:pPr>
              <w:spacing w:after="0"/>
            </w:pPr>
            <w:r>
              <w:rPr>
                <w:rFonts w:ascii="Helvetica Neue" w:hAnsi="Helvetica Neue"/>
                <w:color w:val="24384D"/>
                <w:sz w:val="16"/>
              </w:rPr>
              <w:t>Timestamp audits, topic graphs, launch tests, and dropped-frame measurements.</w:t>
            </w:r>
          </w:p>
        </w:tc>
      </w:tr>
      <w:tr>
        <w:trPr>
          <w:cantSplit/>
        </w:trP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6"/>
              </w:rPr>
              <w:t>Edge inference resource use</w:t>
            </w:r>
          </w:p>
        </w:tc>
        <w:tc>
          <w:tcPr>
            <w:tcW w:type="dxa" w:w="3816"/>
            <w:shd w:fill="F4F7FA"/>
            <w:vAlign w:val="center"/>
            <w:tcMar>
              <w:top w:w="105" w:type="dxa"/>
              <w:start w:w="120" w:type="dxa"/>
              <w:bottom w:w="105" w:type="dxa"/>
              <w:end w:w="120" w:type="dxa"/>
            </w:tcMar>
          </w:tcPr>
          <w:p>
            <w:pPr>
              <w:spacing w:after="0"/>
            </w:pPr>
            <w:r>
              <w:rPr>
                <w:rFonts w:ascii="Helvetica Neue" w:hAnsi="Helvetica Neue"/>
                <w:color w:val="24384D"/>
                <w:sz w:val="16"/>
              </w:rPr>
              <w:t>Synthetic geometry does not measure detector latency or GPU memory.</w:t>
            </w:r>
          </w:p>
        </w:tc>
        <w:tc>
          <w:tcPr>
            <w:tcW w:type="dxa" w:w="4032"/>
            <w:shd w:fill="F4F7FA"/>
            <w:vAlign w:val="center"/>
            <w:tcMar>
              <w:top w:w="105" w:type="dxa"/>
              <w:start w:w="120" w:type="dxa"/>
              <w:bottom w:w="105" w:type="dxa"/>
              <w:end w:w="120" w:type="dxa"/>
            </w:tcMar>
          </w:tcPr>
          <w:p>
            <w:pPr>
              <w:spacing w:after="0"/>
            </w:pPr>
            <w:r>
              <w:rPr>
                <w:rFonts w:ascii="Helvetica Neue" w:hAnsi="Helvetica Neue"/>
                <w:color w:val="24384D"/>
                <w:sz w:val="16"/>
              </w:rPr>
              <w:t>FP32 baseline first, followed by justified optimization on the target laptop.</w:t>
            </w:r>
          </w:p>
        </w:tc>
      </w:tr>
      <w:tr>
        <w:trPr>
          <w:cantSplit/>
        </w:trP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6"/>
              </w:rPr>
              <w:t>Industrial safety</w:t>
            </w:r>
          </w:p>
        </w:tc>
        <w:tc>
          <w:tcPr>
            <w:tcW w:type="dxa" w:w="3816"/>
            <w:shd w:fill="E5F0F8"/>
            <w:vAlign w:val="center"/>
            <w:tcMar>
              <w:top w:w="105" w:type="dxa"/>
              <w:start w:w="120" w:type="dxa"/>
              <w:bottom w:w="105" w:type="dxa"/>
              <w:end w:w="120" w:type="dxa"/>
            </w:tcMar>
          </w:tcPr>
          <w:p>
            <w:pPr>
              <w:spacing w:after="0"/>
            </w:pPr>
            <w:r>
              <w:rPr>
                <w:rFonts w:ascii="Helvetica Neue" w:hAnsi="Helvetica Neue"/>
                <w:color w:val="24384D"/>
                <w:sz w:val="16"/>
              </w:rPr>
              <w:t>A formation controller is not a safety-rated obstacle or person-protection system.</w:t>
            </w:r>
          </w:p>
        </w:tc>
        <w:tc>
          <w:tcPr>
            <w:tcW w:type="dxa" w:w="4032"/>
            <w:shd w:fill="E5F0F8"/>
            <w:vAlign w:val="center"/>
            <w:tcMar>
              <w:top w:w="105" w:type="dxa"/>
              <w:start w:w="120" w:type="dxa"/>
              <w:bottom w:w="105" w:type="dxa"/>
              <w:end w:w="120" w:type="dxa"/>
            </w:tcMar>
          </w:tcPr>
          <w:p>
            <w:pPr>
              <w:spacing w:after="0"/>
            </w:pPr>
            <w:r>
              <w:rPr>
                <w:rFonts w:ascii="Helvetica Neue" w:hAnsi="Helvetica Neue"/>
                <w:color w:val="24384D"/>
                <w:sz w:val="16"/>
              </w:rPr>
              <w:t>Independent safety architecture, verified stopping behavior, site risk assessment, commissioning, and applicable standards work.</w:t>
            </w:r>
          </w:p>
        </w:tc>
      </w:tr>
    </w:tbl>
    <w:p>
      <w:pPr>
        <w:spacing w:after="20"/>
      </w:pPr>
    </w:p>
    <w:p>
      <w:pPr>
        <w:keepNext w:val="0"/>
        <w:spacing w:after="120"/>
      </w:pPr>
      <w:r>
        <w:rPr>
          <w:rFonts w:ascii="Helvetica Neue" w:hAnsi="Helvetica Neue"/>
          <w:color w:val="000000"/>
          <w:sz w:val="21"/>
        </w:rPr>
        <w:t>ISO 3691-4:2023 addresses safety requirements and verification for driverless industrial trucks and their systems. My simulation will not be presented as compliance evidence. I will keep formation coordination separate from independent safety functions throughout the report and implementation. [3]</w:t>
      </w:r>
    </w:p>
    <w:p>
      <w:pPr>
        <w:pStyle w:val="Heading1"/>
        <w:keepNext/>
      </w:pPr>
      <w:r>
        <w:rPr>
          <w:rFonts w:ascii="Helvetica Neue" w:hAnsi="Helvetica Neue"/>
          <w:b/>
          <w:color w:val="0B3153"/>
          <w:sz w:val="34"/>
        </w:rPr>
        <w:t>8 Recommended Next Technical Gate</w:t>
      </w:r>
    </w:p>
    <w:p>
      <w:pPr>
        <w:keepNext w:val="0"/>
        <w:spacing w:after="120"/>
      </w:pPr>
      <w:r>
        <w:rPr>
          <w:rFonts w:ascii="Helvetica Neue" w:hAnsi="Helvetica Neue"/>
          <w:color w:val="000000"/>
          <w:sz w:val="21"/>
        </w:rPr>
        <w:t>I recommend validating the development environment before building the camera experiment. The present machine contains part of a ROS 2 Jazzy installation, but a working ros2 command and Gazebo gz command have not been verified. The environment gate should record exact package versions, shell setup, a namespaced publisher and subscriber smoke test, a minimal Gazebo camera world, CPU and GPU availability, and reproducible setup instructions. Gazebo Harmonic is the intended long-term release and lists Ubuntu Noble on amd64 as a supported platform. [4]</w:t>
      </w:r>
    </w:p>
    <w:p>
      <w:pPr>
        <w:keepNext w:val="0"/>
        <w:spacing w:after="120"/>
      </w:pPr>
      <w:r>
        <w:rPr>
          <w:rFonts w:ascii="Helvetica Neue" w:hAnsi="Helvetica Neue"/>
          <w:color w:val="000000"/>
          <w:sz w:val="21"/>
        </w:rPr>
        <w:t>After that gate passes, I recommend a measurement-only experiment. The follower camera should observe a known predecessor target across a controlled pose grid. Estimated range and bearing will be compared with synchronized Gazebo ground truth used only by the evaluator. The detector, filter, and controller should remain outside that gate so a measurement error can be diagnosed without closed-loop behavior masking it.</w:t>
      </w:r>
    </w:p>
    <w:p>
      <w:pPr>
        <w:pStyle w:val="Heading1"/>
        <w:keepNext/>
        <w:pageBreakBefore/>
      </w:pPr>
      <w:r>
        <w:rPr>
          <w:rFonts w:ascii="Helvetica Neue" w:hAnsi="Helvetica Neue"/>
          <w:b/>
          <w:color w:val="0B3153"/>
          <w:sz w:val="34"/>
        </w:rPr>
        <w:t>9 Questions for Faculty Review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655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Question</w:t>
            </w:r>
          </w:p>
        </w:tc>
        <w:tc>
          <w:tcPr>
            <w:tcW w:type="dxa" w:w="352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Decision affected</w:t>
            </w:r>
          </w:p>
        </w:tc>
      </w:tr>
      <w:tr>
        <w:trPr>
          <w:cantSplit/>
        </w:trPr>
        <w:tc>
          <w:tcPr>
            <w:tcW w:type="dxa" w:w="6552"/>
            <w:shd w:fill="E5F0F8"/>
            <w:vAlign w:val="center"/>
            <w:tcMar>
              <w:top w:w="105" w:type="dxa"/>
              <w:start w:w="120" w:type="dxa"/>
              <w:bottom w:w="105" w:type="dxa"/>
              <w:end w:w="120" w:type="dxa"/>
            </w:tcMar>
          </w:tcPr>
          <w:p>
            <w:pPr>
              <w:spacing w:after="0"/>
            </w:pPr>
            <w:r>
              <w:rPr>
                <w:rFonts w:ascii="Helvetica Neue" w:hAnsi="Helvetica Neue"/>
                <w:color w:val="24384D"/>
                <w:sz w:val="17"/>
              </w:rPr>
              <w:t>Is the one-pair measurement experiment an appropriate minimum scientific unit before closed-loop control?</w:t>
            </w:r>
          </w:p>
        </w:tc>
        <w:tc>
          <w:tcPr>
            <w:tcW w:type="dxa" w:w="3528"/>
            <w:shd w:fill="E5F0F8"/>
            <w:vAlign w:val="center"/>
            <w:tcMar>
              <w:top w:w="105" w:type="dxa"/>
              <w:start w:w="120" w:type="dxa"/>
              <w:bottom w:w="105" w:type="dxa"/>
              <w:end w:w="120" w:type="dxa"/>
            </w:tcMar>
          </w:tcPr>
          <w:p>
            <w:pPr>
              <w:spacing w:after="0"/>
            </w:pPr>
            <w:r>
              <w:rPr>
                <w:rFonts w:ascii="Helvetica Neue" w:hAnsi="Helvetica Neue"/>
                <w:color w:val="24384D"/>
                <w:sz w:val="17"/>
              </w:rPr>
              <w:t>Determines whether implementation proceeds in the staged order proposed here.</w:t>
            </w:r>
          </w:p>
        </w:tc>
      </w:tr>
      <w:tr>
        <w:trPr>
          <w:cantSplit/>
        </w:trPr>
        <w:tc>
          <w:tcPr>
            <w:tcW w:type="dxa" w:w="6552"/>
            <w:shd w:fill="F4F7FA"/>
            <w:vAlign w:val="center"/>
            <w:tcMar>
              <w:top w:w="105" w:type="dxa"/>
              <w:start w:w="120" w:type="dxa"/>
              <w:bottom w:w="105" w:type="dxa"/>
              <w:end w:w="120" w:type="dxa"/>
            </w:tcMar>
          </w:tcPr>
          <w:p>
            <w:pPr>
              <w:spacing w:after="0"/>
            </w:pPr>
            <w:r>
              <w:rPr>
                <w:rFonts w:ascii="Helvetica Neue" w:hAnsi="Helvetica Neue"/>
                <w:color w:val="24384D"/>
                <w:sz w:val="17"/>
              </w:rPr>
              <w:t>Is a known visual target acceptable for the first Gazebo baseline before introducing a learned detector?</w:t>
            </w:r>
          </w:p>
        </w:tc>
        <w:tc>
          <w:tcPr>
            <w:tcW w:type="dxa" w:w="3528"/>
            <w:shd w:fill="F4F7FA"/>
            <w:vAlign w:val="center"/>
            <w:tcMar>
              <w:top w:w="105" w:type="dxa"/>
              <w:start w:w="120" w:type="dxa"/>
              <w:bottom w:w="105" w:type="dxa"/>
              <w:end w:w="120" w:type="dxa"/>
            </w:tcMar>
          </w:tcPr>
          <w:p>
            <w:pPr>
              <w:spacing w:after="0"/>
            </w:pPr>
            <w:r>
              <w:rPr>
                <w:rFonts w:ascii="Helvetica Neue" w:hAnsi="Helvetica Neue"/>
                <w:color w:val="24384D"/>
                <w:sz w:val="17"/>
              </w:rPr>
              <w:t>Determines whether camera geometry can be isolated from detector performance.</w:t>
            </w:r>
          </w:p>
        </w:tc>
      </w:tr>
      <w:tr>
        <w:trPr>
          <w:cantSplit/>
        </w:trPr>
        <w:tc>
          <w:tcPr>
            <w:tcW w:type="dxa" w:w="6552"/>
            <w:shd w:fill="E5F0F8"/>
            <w:vAlign w:val="center"/>
            <w:tcMar>
              <w:top w:w="105" w:type="dxa"/>
              <w:start w:w="120" w:type="dxa"/>
              <w:bottom w:w="105" w:type="dxa"/>
              <w:end w:w="120" w:type="dxa"/>
            </w:tcMar>
          </w:tcPr>
          <w:p>
            <w:pPr>
              <w:spacing w:after="0"/>
            </w:pPr>
            <w:r>
              <w:rPr>
                <w:rFonts w:ascii="Helvetica Neue" w:hAnsi="Helvetica Neue"/>
                <w:color w:val="24384D"/>
                <w:sz w:val="17"/>
              </w:rPr>
              <w:t>Are the proposed error, timing, and resource measurements sufficient for the first review?</w:t>
            </w:r>
          </w:p>
        </w:tc>
        <w:tc>
          <w:tcPr>
            <w:tcW w:type="dxa" w:w="3528"/>
            <w:shd w:fill="E5F0F8"/>
            <w:vAlign w:val="center"/>
            <w:tcMar>
              <w:top w:w="105" w:type="dxa"/>
              <w:start w:w="120" w:type="dxa"/>
              <w:bottom w:w="105" w:type="dxa"/>
              <w:end w:w="120" w:type="dxa"/>
            </w:tcMar>
          </w:tcPr>
          <w:p>
            <w:pPr>
              <w:spacing w:after="0"/>
            </w:pPr>
            <w:r>
              <w:rPr>
                <w:rFonts w:ascii="Helvetica Neue" w:hAnsi="Helvetica Neue"/>
                <w:color w:val="24384D"/>
                <w:sz w:val="17"/>
              </w:rPr>
              <w:t>Determines the acceptance criteria recorded before implementation.</w:t>
            </w:r>
          </w:p>
        </w:tc>
      </w:tr>
      <w:tr>
        <w:trPr>
          <w:cantSplit/>
        </w:trPr>
        <w:tc>
          <w:tcPr>
            <w:tcW w:type="dxa" w:w="6552"/>
            <w:shd w:fill="F4F7FA"/>
            <w:vAlign w:val="center"/>
            <w:tcMar>
              <w:top w:w="105" w:type="dxa"/>
              <w:start w:w="120" w:type="dxa"/>
              <w:bottom w:w="105" w:type="dxa"/>
              <w:end w:w="120" w:type="dxa"/>
            </w:tcMar>
          </w:tcPr>
          <w:p>
            <w:pPr>
              <w:spacing w:after="0"/>
            </w:pPr>
            <w:r>
              <w:rPr>
                <w:rFonts w:ascii="Helvetica Neue" w:hAnsi="Helvetica Neue"/>
                <w:color w:val="24384D"/>
                <w:sz w:val="17"/>
              </w:rPr>
              <w:t>Should the final demonstration target one leader and three followers if the pair and incremental-chain evidence pass?</w:t>
            </w:r>
          </w:p>
        </w:tc>
        <w:tc>
          <w:tcPr>
            <w:tcW w:type="dxa" w:w="3528"/>
            <w:shd w:fill="F4F7FA"/>
            <w:vAlign w:val="center"/>
            <w:tcMar>
              <w:top w:w="105" w:type="dxa"/>
              <w:start w:w="120" w:type="dxa"/>
              <w:bottom w:w="105" w:type="dxa"/>
              <w:end w:w="120" w:type="dxa"/>
            </w:tcMar>
          </w:tcPr>
          <w:p>
            <w:pPr>
              <w:spacing w:after="0"/>
            </w:pPr>
            <w:r>
              <w:rPr>
                <w:rFonts w:ascii="Helvetica Neue" w:hAnsi="Helvetica Neue"/>
                <w:color w:val="24384D"/>
                <w:sz w:val="17"/>
              </w:rPr>
              <w:t>Determines the intended December demonstration scale.</w:t>
            </w:r>
          </w:p>
        </w:tc>
      </w:tr>
    </w:tbl>
    <w:p>
      <w:pPr>
        <w:spacing w:after="20"/>
      </w:pPr>
    </w:p>
    <w:p>
      <w:pPr>
        <w:pStyle w:val="Heading1"/>
        <w:keepNext/>
      </w:pPr>
      <w:r>
        <w:rPr>
          <w:rFonts w:ascii="Helvetica Neue" w:hAnsi="Helvetica Neue"/>
          <w:b/>
          <w:color w:val="0B3153"/>
          <w:sz w:val="34"/>
        </w:rPr>
        <w:t>References</w:t>
      </w:r>
    </w:p>
    <w:p>
      <w:pPr>
        <w:spacing w:after="100"/>
        <w:ind w:left="317" w:hanging="317"/>
      </w:pPr>
      <w:r>
        <w:rPr>
          <w:rFonts w:ascii="Helvetica Neue" w:hAnsi="Helvetica Neue"/>
          <w:color w:val="000000"/>
          <w:sz w:val="17"/>
        </w:rPr>
        <w:t xml:space="preserve">[1] ROS 2 Jazzy documentation. Interfaces for topics, services, and actions. </w:t>
      </w:r>
      <w:hyperlink r:id="rId27">
        <w:r>
          <w:rPr>
            <w:rFonts w:ascii="Helvetica Neue" w:hAnsi="Helvetica Neue"/>
            <w:color w:val="2F6F9F"/>
            <w:u w:val="single"/>
          </w:rPr>
          <w:t>Source link</w:t>
        </w:r>
      </w:hyperlink>
    </w:p>
    <w:p>
      <w:pPr>
        <w:spacing w:after="100"/>
        <w:ind w:left="317" w:hanging="317"/>
      </w:pPr>
      <w:r>
        <w:rPr>
          <w:rFonts w:ascii="Helvetica Neue" w:hAnsi="Helvetica Neue"/>
          <w:color w:val="000000"/>
          <w:sz w:val="17"/>
        </w:rPr>
        <w:t xml:space="preserve">[2] Gazebo Harmonic documentation. Sensors tutorial and sensor configuration. </w:t>
      </w:r>
      <w:hyperlink r:id="rId28">
        <w:r>
          <w:rPr>
            <w:rFonts w:ascii="Helvetica Neue" w:hAnsi="Helvetica Neue"/>
            <w:color w:val="2F6F9F"/>
            <w:u w:val="single"/>
          </w:rPr>
          <w:t>Source link</w:t>
        </w:r>
      </w:hyperlink>
    </w:p>
    <w:p>
      <w:pPr>
        <w:spacing w:after="100"/>
        <w:ind w:left="317" w:hanging="317"/>
      </w:pPr>
      <w:r>
        <w:rPr>
          <w:rFonts w:ascii="Helvetica Neue" w:hAnsi="Helvetica Neue"/>
          <w:color w:val="000000"/>
          <w:sz w:val="17"/>
        </w:rPr>
        <w:t xml:space="preserve">[3] International Organization for Standardization. ISO 3691-4:2023 Industrial trucks safety requirements for driverless industrial trucks and their systems. </w:t>
      </w:r>
      <w:hyperlink r:id="rId29">
        <w:r>
          <w:rPr>
            <w:rFonts w:ascii="Helvetica Neue" w:hAnsi="Helvetica Neue"/>
            <w:color w:val="2F6F9F"/>
            <w:u w:val="single"/>
          </w:rPr>
          <w:t>Source link</w:t>
        </w:r>
      </w:hyperlink>
    </w:p>
    <w:p>
      <w:pPr>
        <w:spacing w:after="100"/>
        <w:ind w:left="317" w:hanging="317"/>
      </w:pPr>
      <w:r>
        <w:rPr>
          <w:rFonts w:ascii="Helvetica Neue" w:hAnsi="Helvetica Neue"/>
          <w:color w:val="000000"/>
          <w:sz w:val="17"/>
        </w:rPr>
        <w:t xml:space="preserve">[4] Gazebo Harmonic documentation. Installation, release libraries, and supported platforms. </w:t>
      </w:r>
      <w:hyperlink r:id="rId30">
        <w:r>
          <w:rPr>
            <w:rFonts w:ascii="Helvetica Neue" w:hAnsi="Helvetica Neue"/>
            <w:color w:val="2F6F9F"/>
            <w:u w:val="single"/>
          </w:rPr>
          <w:t>Source link</w:t>
        </w:r>
      </w:hyperlink>
    </w:p>
    <w:p>
      <w:pPr>
        <w:pStyle w:val="Heading1"/>
        <w:keepNext/>
      </w:pPr>
      <w:r>
        <w:rPr>
          <w:rFonts w:ascii="Helvetica Neue" w:hAnsi="Helvetica Neue"/>
          <w:b/>
          <w:color w:val="0B3153"/>
          <w:sz w:val="34"/>
        </w:rPr>
        <w:t>Project Evidence Files</w:t>
      </w:r>
    </w:p>
    <w:p>
      <w:pPr>
        <w:keepNext w:val="0"/>
        <w:spacing w:after="120"/>
      </w:pPr>
      <w:r>
        <w:rPr>
          <w:rFonts w:ascii="Helvetica Neue" w:hAnsi="Helvetica Neue"/>
          <w:color w:val="000000"/>
          <w:sz w:val="21"/>
        </w:rPr>
        <w:t>The numerical results in this report come from work/toy_simulation/results/summary.json, work/toy_simulation/results/trial_metrics.csv, work/toy_simulation/warehouse_results/warehouse_multi_summary.json, and work/toy_simulation/warehouse_results/warehouse_multi_timeseries.csv. The source implementation and automated tests are stored under work/toy_simulation/src and work/toy_simulation/tests.</w:t>
      </w:r>
    </w:p>
    <w:sectPr>
      <w:headerReference r:id="rId10" w:type="default"/>
      <w:headerReference r:id="rId11" w:type="first"/>
      <w:footerReference r:id="rId12" w:type="default"/>
      <w:footerReference r:id="rId13" w:type="first"/>
      <w:footerReference w:type="even" r:id="rId22"/>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r>
    <w:r>
      <w:rPr>
        <w:rtl w:val="0"/>
      </w:rPr>
    </w:r>
    <w:r>
      <w:rPr>
        <w:rFonts w:ascii="Helvetica Neue" w:hAnsi="Helvetica Neue"/>
        <w:color w:val="60758A"/>
        <w:sz w:val="16"/>
      </w:rPr>
    </w:r>
    <w:r>
      <w:rPr>
        <w:rFonts w:ascii="Helvetica Neue" w:hAnsi="Helvetica Neue"/>
        <w:color w:val="60758A"/>
        <w:sz w:val="16"/>
      </w:rPr>
      <w:t>EE 616 Technical Review | Neeraj Kumar Kanchani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Helvetica Neue" w:hAnsi="Helvetica Neue"/>
      <w:color w:val="24384D"/>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Helvetica Neue" w:hAnsi="Helvetica Neue"/>
      <w:b/>
      <w:bCs w:val="1"/>
      <w:color w:val="0B3153"/>
      <w:sz w:val="34"/>
      <w:szCs w:val="27"/>
    </w:rPr>
  </w:style>
  <w:style w:type="paragraph" w:styleId="Heading2">
    <w:name w:val="heading 2"/>
    <w:basedOn w:val="Normal"/>
    <w:next w:val="Normal"/>
    <w:pPr>
      <w:keepNext/>
      <w:keepLines w:val="1"/>
      <w:spacing w:after="100" w:before="160" w:lineRule="auto"/>
    </w:pPr>
    <w:rPr>
      <w:rFonts w:ascii="Helvetica Neue" w:cs="Calibri" w:eastAsia="Calibri" w:hAnsi="Helvetica Neue"/>
      <w:b/>
      <w:bCs w:val="1"/>
      <w:smallCaps w:val="1"/>
      <w:color w:val="0B3153"/>
      <w:sz w:val="26"/>
      <w:szCs w:val="19"/>
    </w:rPr>
  </w:style>
  <w:style w:type="paragraph" w:styleId="Heading3">
    <w:name w:val="heading 3"/>
    <w:basedOn w:val="Normal"/>
    <w:next w:val="Normal"/>
    <w:pPr>
      <w:keepNext/>
      <w:keepLines w:val="1"/>
      <w:spacing w:before="160" w:after="100"/>
    </w:pPr>
    <w:rPr>
      <w:rFonts w:ascii="Helvetica Neue" w:cs="Helvetica Neue" w:eastAsia="Helvetica Neue" w:hAnsi="Helvetica Neue"/>
      <w:b/>
      <w:bCs w:val="1"/>
      <w:color w:val="60758A"/>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240" w:lineRule="auto"/>
    </w:pPr>
    <w:rPr>
      <w:rFonts w:ascii="Helvetica Neue" w:hAnsi="Helvetica Neue"/>
      <w:b/>
      <w:bCs w:val="1"/>
      <w:color w:val="000000"/>
      <w:sz w:val="62"/>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hyperlink" Target="https://gazebosim.org/docs/harmonic/comparison/" TargetMode="External"/><Relationship Id="rId15" Type="http://schemas.openxmlformats.org/officeDocument/2006/relationships/hyperlink" Target="https://gazebosim.org/docs/harmonic/ros2_integration/" TargetMode="External"/><Relationship Id="rId16" Type="http://schemas.openxmlformats.org/officeDocument/2006/relationships/hyperlink" Target="https://docs.ros.org/en/jazzy/p/vision_msgs/" TargetMode="External"/><Relationship Id="rId17" Type="http://schemas.openxmlformats.org/officeDocument/2006/relationships/hyperlink" Target="https://docs.nvidia.com/deeplearning/tensorrt/latest/inference-library/quantized-types-schemes.html" TargetMode="External"/><Relationship Id="rId18" Type="http://schemas.openxmlformats.org/officeDocument/2006/relationships/hyperlink" Target="https://doi.org/10.1109/70.538972" TargetMode="External"/><Relationship Id="rId19" Type="http://schemas.openxmlformats.org/officeDocument/2006/relationships/hyperlink" Target="https://arxiv.org/abs/1501.01364" TargetMode="External"/><Relationship Id="rId20" Type="http://schemas.openxmlformats.org/officeDocument/2006/relationships/hyperlink" Target="https://arxiv.org/abs/1705.08940" TargetMode="External"/><Relationship Id="rId21" Type="http://schemas.openxmlformats.org/officeDocument/2006/relationships/hyperlink" Target="https://arxiv.org/abs/2605.17533" TargetMode="External"/><Relationship Id="rId22" Type="http://schemas.openxmlformats.org/officeDocument/2006/relationships/footer" Target="footer3.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hyperlink" Target="https://docs.ros.org/en/jazzy/How-To-Guides/Topics-Services-Actions.html" TargetMode="External"/><Relationship Id="rId28" Type="http://schemas.openxmlformats.org/officeDocument/2006/relationships/hyperlink" Target="https://gazebosim.org/docs/harmonic/sensors/" TargetMode="External"/><Relationship Id="rId29" Type="http://schemas.openxmlformats.org/officeDocument/2006/relationships/hyperlink" Target="https://www.iso.org/standard/83545.html" TargetMode="External"/><Relationship Id="rId30" Type="http://schemas.openxmlformats.org/officeDocument/2006/relationships/hyperlink" Target="https://gazebosim.org/docs/harmonic/inst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Initial Technical Explanation and Preliminary Figures for Vision Only Leader Follower Coordination</dc:title>
  <cp:lastModifiedBy>python-docx</cp:lastModifiedBy>
  <cp:revision>1</cp:revision>
  <dcterms:modified xsi:type="dcterms:W3CDTF">2026-09-16T02:54:18Z</dcterms:modified>
  <dc:subject>Technical concept and toy kinematic evidence for faculty review</dc:subject>
  <dc:creator>Neeraj Kumar Kanchani</dc:creator>
  <cp:keywords>EE 616, leader follower, vision, camera geometry, Kalman filter, control, preliminary evidence</cp:keywords>
  <dc:description>Draft prepared for review by Professor Masudul Imtiaz</dc:description>
</cp:coreProperties>
</file>