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1760" w:after="80"/>
      </w:pPr>
      <w:r>
        <w:rPr>
          <w:rFonts w:ascii="Helvetica Neue" w:hAnsi="Helvetica Neue"/>
          <w:color w:val="60758A"/>
          <w:sz w:val="42"/>
        </w:rPr>
        <w:t>EE 616 Preliminary Evidence</w:t>
      </w:r>
    </w:p>
    <w:p>
      <w:pPr>
        <w:pStyle w:val="Title"/>
        <w:jc w:val="left"/>
      </w:pPr>
      <w:r>
        <w:rPr>
          <w:rFonts w:ascii="Helvetica Neue" w:hAnsi="Helvetica Neue"/>
          <w:b/>
          <w:color w:val="000000"/>
          <w:sz w:val="58"/>
        </w:rPr>
        <w:t>Initial Toy Simulation Results for Vision Only Leader Follower Coordination</w:t>
      </w:r>
    </w:p>
    <w:p>
      <w:pPr>
        <w:spacing w:after="1400"/>
      </w:pPr>
      <w:r>
        <w:rPr>
          <w:rFonts w:ascii="Helvetica Neue" w:hAnsi="Helvetica Neue"/>
          <w:color w:val="34495E"/>
          <w:sz w:val="27"/>
        </w:rPr>
        <w:t>Kinematic baseline for faculty review before ROS 2 and Gazebo implementation</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3384"/>
            <w:vAlign w:val="center"/>
            <w:tcMar>
              <w:top w:w="80" w:type="dxa"/>
              <w:start w:w="40" w:type="dxa"/>
              <w:bottom w:w="80" w:type="dxa"/>
              <w:end w:w="40" w:type="dxa"/>
            </w:tcMar>
          </w:tcPr>
          <w:p>
            <w:pPr>
              <w:spacing w:after="80"/>
            </w:pPr>
            <w:r>
              <w:rPr>
                <w:rFonts w:ascii="Helvetica Neue" w:hAnsi="Helvetica Neue"/>
                <w:b/>
                <w:color w:val="60758A"/>
                <w:sz w:val="17"/>
              </w:rPr>
              <w:t>STATUS</w:t>
            </w:r>
          </w:p>
          <w:p>
            <w:pPr>
              <w:spacing w:after="0"/>
            </w:pPr>
            <w:r>
              <w:rPr>
                <w:rFonts w:ascii="Helvetica Neue" w:hAnsi="Helvetica Neue"/>
                <w:color w:val="24384D"/>
                <w:sz w:val="20"/>
              </w:rPr>
              <w:t>Toy baseline completed</w:t>
            </w:r>
          </w:p>
        </w:tc>
        <w:tc>
          <w:tcPr>
            <w:tcW w:type="dxa" w:w="3384"/>
            <w:vAlign w:val="center"/>
            <w:tcMar>
              <w:top w:w="80" w:type="dxa"/>
              <w:start w:w="40" w:type="dxa"/>
              <w:bottom w:w="80" w:type="dxa"/>
              <w:end w:w="40" w:type="dxa"/>
            </w:tcMar>
          </w:tcPr>
          <w:p>
            <w:pPr>
              <w:spacing w:after="80"/>
            </w:pPr>
            <w:r>
              <w:rPr>
                <w:rFonts w:ascii="Helvetica Neue" w:hAnsi="Helvetica Neue"/>
                <w:b/>
                <w:color w:val="60758A"/>
                <w:sz w:val="17"/>
              </w:rPr>
              <w:t>OWNER</w:t>
            </w:r>
          </w:p>
          <w:p>
            <w:pPr>
              <w:spacing w:after="0"/>
            </w:pPr>
            <w:r>
              <w:rPr>
                <w:rFonts w:ascii="Helvetica Neue" w:hAnsi="Helvetica Neue"/>
                <w:color w:val="24384D"/>
                <w:sz w:val="20"/>
              </w:rPr>
              <w:t>Neeraj Kumar Kanchani</w:t>
            </w:r>
          </w:p>
        </w:tc>
        <w:tc>
          <w:tcPr>
            <w:tcW w:type="dxa" w:w="3384"/>
            <w:vAlign w:val="center"/>
            <w:tcMar>
              <w:top w:w="80" w:type="dxa"/>
              <w:start w:w="40" w:type="dxa"/>
              <w:bottom w:w="80" w:type="dxa"/>
              <w:end w:w="40" w:type="dxa"/>
            </w:tcMar>
          </w:tcPr>
          <w:p>
            <w:pPr>
              <w:spacing w:after="80"/>
            </w:pPr>
            <w:r>
              <w:rPr>
                <w:rFonts w:ascii="Helvetica Neue" w:hAnsi="Helvetica Neue"/>
                <w:b/>
                <w:color w:val="60758A"/>
                <w:sz w:val="17"/>
              </w:rPr>
              <w:t>LAST UPDATED</w:t>
            </w:r>
          </w:p>
          <w:p>
            <w:pPr>
              <w:spacing w:after="0"/>
            </w:pPr>
            <w:r>
              <w:rPr>
                <w:rFonts w:ascii="Helvetica Neue" w:hAnsi="Helvetica Neue"/>
                <w:color w:val="24384D"/>
                <w:sz w:val="20"/>
              </w:rPr>
              <w:t>September 16, 2026</w:t>
            </w:r>
          </w:p>
        </w:tc>
      </w:tr>
    </w:tbl>
    <w:p>
      <w:pPr>
        <w:spacing w:after="120"/>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Field</w:t>
            </w:r>
          </w:p>
        </w:tc>
        <w:tc>
          <w:tcPr>
            <w:tcW w:type="dxa" w:w="7848"/>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Details</w:t>
            </w:r>
          </w:p>
        </w:tc>
      </w:tr>
      <w:tr>
        <w:tc>
          <w:tcPr>
            <w:tcW w:type="dxa" w:w="2232"/>
            <w:shd w:fill="E5F0F8"/>
            <w:vAlign w:val="center"/>
            <w:tcMar>
              <w:top w:w="105" w:type="dxa"/>
              <w:start w:w="120" w:type="dxa"/>
              <w:bottom w:w="105" w:type="dxa"/>
              <w:end w:w="120" w:type="dxa"/>
            </w:tcMar>
          </w:tcPr>
          <w:p>
            <w:pPr>
              <w:spacing w:after="0"/>
            </w:pPr>
            <w:r>
              <w:rPr>
                <w:rFonts w:ascii="Helvetica Neue" w:hAnsi="Helvetica Neue"/>
                <w:color w:val="24384D"/>
                <w:sz w:val="18"/>
              </w:rPr>
              <w:t>Faculty reviewer</w:t>
            </w:r>
          </w:p>
        </w:tc>
        <w:tc>
          <w:tcPr>
            <w:tcW w:type="dxa" w:w="7848"/>
            <w:shd w:fill="E5F0F8"/>
            <w:vAlign w:val="center"/>
            <w:tcMar>
              <w:top w:w="105" w:type="dxa"/>
              <w:start w:w="120" w:type="dxa"/>
              <w:bottom w:w="105" w:type="dxa"/>
              <w:end w:w="120" w:type="dxa"/>
            </w:tcMar>
          </w:tcPr>
          <w:p>
            <w:pPr>
              <w:spacing w:after="0"/>
            </w:pPr>
            <w:r>
              <w:rPr>
                <w:rFonts w:ascii="Helvetica Neue" w:hAnsi="Helvetica Neue"/>
                <w:color w:val="24384D"/>
                <w:sz w:val="18"/>
              </w:rPr>
              <w:t>Professor Masudul Imtiaz</w:t>
            </w:r>
          </w:p>
        </w:tc>
      </w:tr>
      <w:tr>
        <w:tc>
          <w:tcPr>
            <w:tcW w:type="dxa" w:w="2232"/>
            <w:shd w:fill="F4F7FA"/>
            <w:vAlign w:val="center"/>
            <w:tcMar>
              <w:top w:w="105" w:type="dxa"/>
              <w:start w:w="120" w:type="dxa"/>
              <w:bottom w:w="105" w:type="dxa"/>
              <w:end w:w="120" w:type="dxa"/>
            </w:tcMar>
          </w:tcPr>
          <w:p>
            <w:pPr>
              <w:spacing w:after="0"/>
            </w:pPr>
            <w:r>
              <w:rPr>
                <w:rFonts w:ascii="Helvetica Neue" w:hAnsi="Helvetica Neue"/>
                <w:color w:val="24384D"/>
                <w:sz w:val="18"/>
              </w:rPr>
              <w:t>Course</w:t>
            </w:r>
          </w:p>
        </w:tc>
        <w:tc>
          <w:tcPr>
            <w:tcW w:type="dxa" w:w="7848"/>
            <w:shd w:fill="F4F7FA"/>
            <w:vAlign w:val="center"/>
            <w:tcMar>
              <w:top w:w="105" w:type="dxa"/>
              <w:start w:w="120" w:type="dxa"/>
              <w:bottom w:w="105" w:type="dxa"/>
              <w:end w:w="120" w:type="dxa"/>
            </w:tcMar>
          </w:tcPr>
          <w:p>
            <w:pPr>
              <w:spacing w:after="0"/>
            </w:pPr>
            <w:r>
              <w:rPr>
                <w:rFonts w:ascii="Helvetica Neue" w:hAnsi="Helvetica Neue"/>
                <w:color w:val="24384D"/>
                <w:sz w:val="18"/>
              </w:rPr>
              <w:t>EE 616-57, section 9189, four credits</w:t>
            </w:r>
          </w:p>
        </w:tc>
      </w:tr>
      <w:tr>
        <w:tc>
          <w:tcPr>
            <w:tcW w:type="dxa" w:w="2232"/>
            <w:shd w:fill="E5F0F8"/>
            <w:vAlign w:val="center"/>
            <w:tcMar>
              <w:top w:w="105" w:type="dxa"/>
              <w:start w:w="120" w:type="dxa"/>
              <w:bottom w:w="105" w:type="dxa"/>
              <w:end w:w="120" w:type="dxa"/>
            </w:tcMar>
          </w:tcPr>
          <w:p>
            <w:pPr>
              <w:spacing w:after="0"/>
            </w:pPr>
            <w:r>
              <w:rPr>
                <w:rFonts w:ascii="Helvetica Neue" w:hAnsi="Helvetica Neue"/>
                <w:color w:val="24384D"/>
                <w:sz w:val="18"/>
              </w:rPr>
              <w:t>Experiment type</w:t>
            </w:r>
          </w:p>
        </w:tc>
        <w:tc>
          <w:tcPr>
            <w:tcW w:type="dxa" w:w="7848"/>
            <w:shd w:fill="E5F0F8"/>
            <w:vAlign w:val="center"/>
            <w:tcMar>
              <w:top w:w="105" w:type="dxa"/>
              <w:start w:w="120" w:type="dxa"/>
              <w:bottom w:w="105" w:type="dxa"/>
              <w:end w:w="120" w:type="dxa"/>
            </w:tcMar>
          </w:tcPr>
          <w:p>
            <w:pPr>
              <w:spacing w:after="0"/>
            </w:pPr>
            <w:r>
              <w:rPr>
                <w:rFonts w:ascii="Helvetica Neue" w:hAnsi="Helvetica Neue"/>
                <w:color w:val="24384D"/>
                <w:sz w:val="18"/>
              </w:rPr>
              <w:t>Deterministic two-dimensional kinematic simulation</w:t>
            </w:r>
          </w:p>
        </w:tc>
      </w:tr>
      <w:tr>
        <w:tc>
          <w:tcPr>
            <w:tcW w:type="dxa" w:w="2232"/>
            <w:shd w:fill="F4F7FA"/>
            <w:vAlign w:val="center"/>
            <w:tcMar>
              <w:top w:w="105" w:type="dxa"/>
              <w:start w:w="120" w:type="dxa"/>
              <w:bottom w:w="105" w:type="dxa"/>
              <w:end w:w="120" w:type="dxa"/>
            </w:tcMar>
          </w:tcPr>
          <w:p>
            <w:pPr>
              <w:spacing w:after="0"/>
            </w:pPr>
            <w:r>
              <w:rPr>
                <w:rFonts w:ascii="Helvetica Neue" w:hAnsi="Helvetica Neue"/>
                <w:color w:val="24384D"/>
                <w:sz w:val="18"/>
              </w:rPr>
              <w:t>Trial set</w:t>
            </w:r>
          </w:p>
        </w:tc>
        <w:tc>
          <w:tcPr>
            <w:tcW w:type="dxa" w:w="7848"/>
            <w:shd w:fill="F4F7FA"/>
            <w:vAlign w:val="center"/>
            <w:tcMar>
              <w:top w:w="105" w:type="dxa"/>
              <w:start w:w="120" w:type="dxa"/>
              <w:bottom w:w="105" w:type="dxa"/>
              <w:end w:w="120" w:type="dxa"/>
            </w:tcMar>
          </w:tcPr>
          <w:p>
            <w:pPr>
              <w:spacing w:after="0"/>
            </w:pPr>
            <w:r>
              <w:rPr>
                <w:rFonts w:ascii="Helvetica Neue" w:hAnsi="Helvetica Neue"/>
                <w:color w:val="24384D"/>
                <w:sz w:val="18"/>
              </w:rPr>
              <w:t>32 trials; four scenarios; eight recorded random seeds</w:t>
            </w:r>
          </w:p>
        </w:tc>
      </w:tr>
      <w:tr>
        <w:tc>
          <w:tcPr>
            <w:tcW w:type="dxa" w:w="2232"/>
            <w:shd w:fill="E5F0F8"/>
            <w:vAlign w:val="center"/>
            <w:tcMar>
              <w:top w:w="105" w:type="dxa"/>
              <w:start w:w="120" w:type="dxa"/>
              <w:bottom w:w="105" w:type="dxa"/>
              <w:end w:w="120" w:type="dxa"/>
            </w:tcMar>
          </w:tcPr>
          <w:p>
            <w:pPr>
              <w:spacing w:after="0"/>
            </w:pPr>
            <w:r>
              <w:rPr>
                <w:rFonts w:ascii="Helvetica Neue" w:hAnsi="Helvetica Neue"/>
                <w:color w:val="24384D"/>
                <w:sz w:val="18"/>
              </w:rPr>
              <w:t>Decision requested</w:t>
            </w:r>
          </w:p>
        </w:tc>
        <w:tc>
          <w:tcPr>
            <w:tcW w:type="dxa" w:w="7848"/>
            <w:shd w:fill="E5F0F8"/>
            <w:vAlign w:val="center"/>
            <w:tcMar>
              <w:top w:w="105" w:type="dxa"/>
              <w:start w:w="120" w:type="dxa"/>
              <w:bottom w:w="105" w:type="dxa"/>
              <w:end w:w="120" w:type="dxa"/>
            </w:tcMar>
          </w:tcPr>
          <w:p>
            <w:pPr>
              <w:spacing w:after="0"/>
            </w:pPr>
            <w:r>
              <w:rPr>
                <w:rFonts w:ascii="Helvetica Neue" w:hAnsi="Helvetica Neue"/>
                <w:color w:val="24384D"/>
                <w:sz w:val="18"/>
              </w:rPr>
              <w:t>Approve the measurement-only Gazebo baseline as the next implementation gate</w:t>
            </w:r>
          </w:p>
        </w:tc>
      </w:tr>
    </w:tbl>
    <w:p>
      <w:pPr>
        <w:spacing w:after="20"/>
      </w:pPr>
    </w:p>
    <w:p>
      <w:r>
        <w:br w:type="page"/>
      </w:r>
    </w:p>
    <w:p>
      <w:pPr>
        <w:pStyle w:val="Heading1"/>
        <w:keepNext/>
      </w:pPr>
      <w:r>
        <w:rPr>
          <w:rFonts w:ascii="Helvetica Neue" w:hAnsi="Helvetica Neue"/>
          <w:b/>
          <w:color w:val="0B3153"/>
          <w:sz w:val="34"/>
        </w:rPr>
        <w:t>1 Result and Interpretation</w:t>
      </w:r>
    </w:p>
    <w:p>
      <w:pPr>
        <w:keepNext w:val="0"/>
        <w:spacing w:after="120"/>
      </w:pPr>
      <w:r>
        <w:rPr>
          <w:rFonts w:ascii="Helvetica Neue" w:hAnsi="Helvetica Neue"/>
          <w:color w:val="000000"/>
          <w:sz w:val="21"/>
        </w:rPr>
        <w:t>The toy baseline completed all 32 deterministic trials without a collision sample. Median camera-geometry error was 0.011 m for range and 0.104 degrees for bearing. Median formation error was 0.009 m, and the forced occlusion case reacquired a measurement after 0.030 s. These values show that the experiment harness, estimator, controller, and logging contract operate together under simplified assumptions. They are not evidence of ROS 2, Gazebo, learned detection, or physical robot performance.</w:t>
      </w:r>
    </w:p>
    <w:p>
      <w:pPr>
        <w:spacing w:after="60"/>
        <w:jc w:val="center"/>
      </w:pPr>
      <w:r>
        <w:drawing>
          <wp:inline>
            <wp:extent cx="6400800" cy="3600450"/>
            <wp:docPr id="1" name="figure_4_summary" descr="Four summary cards report median range error, bearing error, formation error, and occlusion reacquisition time for 32 toy trials."/>
            <wp:cNvGraphicFramePr>
              <a:graphicFrameLocks noChangeAspect="1"/>
            </wp:cNvGraphicFramePr>
            <a:graphic>
              <a:graphicData uri="http://schemas.openxmlformats.org/drawingml/2006/picture">
                <pic:pic>
                  <pic:nvPicPr>
                    <pic:cNvPr id="0" name="figure_4_summary.png"/>
                    <pic:cNvPicPr/>
                  </pic:nvPicPr>
                  <pic:blipFill>
                    <a:blip r:embed="rId23"/>
                    <a:stretch>
                      <a:fillRect/>
                    </a:stretch>
                  </pic:blipFill>
                  <pic:spPr>
                    <a:xfrm>
                      <a:off x="0" y="0"/>
                      <a:ext cx="6400800" cy="3600450"/>
                    </a:xfrm>
                    <a:prstGeom prst="rect"/>
                  </pic:spPr>
                </pic:pic>
              </a:graphicData>
            </a:graphic>
          </wp:inline>
        </w:drawing>
      </w:r>
    </w:p>
    <w:p>
      <w:pPr>
        <w:spacing w:after="160"/>
        <w:jc w:val="center"/>
      </w:pPr>
      <w:r>
        <w:rPr>
          <w:rFonts w:ascii="Helvetica Neue" w:hAnsi="Helvetica Neue"/>
          <w:i/>
          <w:color w:val="60758A"/>
          <w:sz w:val="17"/>
        </w:rPr>
        <w:t>Figure 1  Aggregate toy baseline results with proposed project thresholds shown only as references</w:t>
      </w:r>
    </w:p>
    <w:p>
      <w:pPr>
        <w:pStyle w:val="Heading1"/>
        <w:keepNext/>
      </w:pPr>
      <w:r>
        <w:rPr>
          <w:rFonts w:ascii="Helvetica Neue" w:hAnsi="Helvetica Neue"/>
          <w:b/>
          <w:color w:val="0B3153"/>
          <w:sz w:val="34"/>
        </w:rPr>
        <w:t>2 Experiment Design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1944"/>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Element</w:t>
            </w:r>
          </w:p>
        </w:tc>
        <w:tc>
          <w:tcPr>
            <w:tcW w:type="dxa" w:w="8136"/>
            <w:shd w:fill="0B3153"/>
            <w:vAlign w:val="center"/>
            <w:tcMar>
              <w:top w:w="125" w:type="dxa"/>
              <w:start w:w="125" w:type="dxa"/>
              <w:bottom w:w="125" w:type="dxa"/>
              <w:end w:w="125" w:type="dxa"/>
            </w:tcMar>
          </w:tcPr>
          <w:p>
            <w:pPr>
              <w:spacing w:after="0"/>
              <w:jc w:val="left"/>
            </w:pPr>
            <w:r>
              <w:rPr>
                <w:rFonts w:ascii="Helvetica Neue" w:hAnsi="Helvetica Neue"/>
                <w:b/>
                <w:color w:val="FFFFFF"/>
                <w:sz w:val="18"/>
              </w:rPr>
              <w:t>Toy baseline implementation</w:t>
            </w:r>
          </w:p>
        </w:tc>
      </w:tr>
      <w:tr>
        <w:tc>
          <w:tcPr>
            <w:tcW w:type="dxa" w:w="1944"/>
            <w:shd w:fill="E5F0F8"/>
            <w:vAlign w:val="center"/>
            <w:tcMar>
              <w:top w:w="105" w:type="dxa"/>
              <w:start w:w="120" w:type="dxa"/>
              <w:bottom w:w="105" w:type="dxa"/>
              <w:end w:w="120" w:type="dxa"/>
            </w:tcMar>
          </w:tcPr>
          <w:p>
            <w:pPr>
              <w:spacing w:after="0"/>
            </w:pPr>
            <w:r>
              <w:rPr>
                <w:rFonts w:ascii="Helvetica Neue" w:hAnsi="Helvetica Neue"/>
                <w:color w:val="24384D"/>
                <w:sz w:val="18"/>
              </w:rPr>
              <w:t>Scenarios</w:t>
            </w:r>
          </w:p>
        </w:tc>
        <w:tc>
          <w:tcPr>
            <w:tcW w:type="dxa" w:w="8136"/>
            <w:shd w:fill="E5F0F8"/>
            <w:vAlign w:val="center"/>
            <w:tcMar>
              <w:top w:w="105" w:type="dxa"/>
              <w:start w:w="120" w:type="dxa"/>
              <w:bottom w:w="105" w:type="dxa"/>
              <w:end w:w="120" w:type="dxa"/>
            </w:tcMar>
          </w:tcPr>
          <w:p>
            <w:pPr>
              <w:spacing w:after="0"/>
            </w:pPr>
            <w:r>
              <w:rPr>
                <w:rFonts w:ascii="Helvetica Neue" w:hAnsi="Helvetica Neue"/>
                <w:color w:val="24384D"/>
                <w:sz w:val="18"/>
              </w:rPr>
              <w:t>Straight motion, S-curve motion, constant-radius turn, and a forced visual occlusion</w:t>
            </w:r>
          </w:p>
        </w:tc>
      </w:tr>
      <w:tr>
        <w:tc>
          <w:tcPr>
            <w:tcW w:type="dxa" w:w="1944"/>
            <w:shd w:fill="F4F7FA"/>
            <w:vAlign w:val="center"/>
            <w:tcMar>
              <w:top w:w="105" w:type="dxa"/>
              <w:start w:w="120" w:type="dxa"/>
              <w:bottom w:w="105" w:type="dxa"/>
              <w:end w:w="120" w:type="dxa"/>
            </w:tcMar>
          </w:tcPr>
          <w:p>
            <w:pPr>
              <w:spacing w:after="0"/>
            </w:pPr>
            <w:r>
              <w:rPr>
                <w:rFonts w:ascii="Helvetica Neue" w:hAnsi="Helvetica Neue"/>
                <w:color w:val="24384D"/>
                <w:sz w:val="18"/>
              </w:rPr>
              <w:t>Perception</w:t>
            </w:r>
          </w:p>
        </w:tc>
        <w:tc>
          <w:tcPr>
            <w:tcW w:type="dxa" w:w="8136"/>
            <w:shd w:fill="F4F7FA"/>
            <w:vAlign w:val="center"/>
            <w:tcMar>
              <w:top w:w="105" w:type="dxa"/>
              <w:start w:w="120" w:type="dxa"/>
              <w:bottom w:w="105" w:type="dxa"/>
              <w:end w:w="120" w:type="dxa"/>
            </w:tcMar>
          </w:tcPr>
          <w:p>
            <w:pPr>
              <w:spacing w:after="0"/>
            </w:pPr>
            <w:r>
              <w:rPr>
                <w:rFonts w:ascii="Helvetica Neue" w:hAnsi="Helvetica Neue"/>
                <w:color w:val="24384D"/>
                <w:sz w:val="18"/>
              </w:rPr>
              <w:t>Synthetic bounding-box height and center with pixel noise at a nominal 15 Hz camera rate</w:t>
            </w:r>
          </w:p>
        </w:tc>
      </w:tr>
      <w:tr>
        <w:tc>
          <w:tcPr>
            <w:tcW w:type="dxa" w:w="1944"/>
            <w:shd w:fill="E5F0F8"/>
            <w:vAlign w:val="center"/>
            <w:tcMar>
              <w:top w:w="105" w:type="dxa"/>
              <w:start w:w="120" w:type="dxa"/>
              <w:bottom w:w="105" w:type="dxa"/>
              <w:end w:w="120" w:type="dxa"/>
            </w:tcMar>
          </w:tcPr>
          <w:p>
            <w:pPr>
              <w:spacing w:after="0"/>
            </w:pPr>
            <w:r>
              <w:rPr>
                <w:rFonts w:ascii="Helvetica Neue" w:hAnsi="Helvetica Neue"/>
                <w:color w:val="24384D"/>
                <w:sz w:val="18"/>
              </w:rPr>
              <w:t>Estimation</w:t>
            </w:r>
          </w:p>
        </w:tc>
        <w:tc>
          <w:tcPr>
            <w:tcW w:type="dxa" w:w="8136"/>
            <w:shd w:fill="E5F0F8"/>
            <w:vAlign w:val="center"/>
            <w:tcMar>
              <w:top w:w="105" w:type="dxa"/>
              <w:start w:w="120" w:type="dxa"/>
              <w:bottom w:w="105" w:type="dxa"/>
              <w:end w:w="120" w:type="dxa"/>
            </w:tcMar>
          </w:tcPr>
          <w:p>
            <w:pPr>
              <w:spacing w:after="0"/>
            </w:pPr>
            <w:r>
              <w:rPr>
                <w:rFonts w:ascii="Helvetica Neue" w:hAnsi="Helvetica Neue"/>
                <w:color w:val="24384D"/>
                <w:sz w:val="18"/>
              </w:rPr>
              <w:t>World-frame constant-velocity Kalman filter using follower pose and camera-derived range and bearing</w:t>
            </w:r>
          </w:p>
        </w:tc>
      </w:tr>
      <w:tr>
        <w:tc>
          <w:tcPr>
            <w:tcW w:type="dxa" w:w="1944"/>
            <w:shd w:fill="F4F7FA"/>
            <w:vAlign w:val="center"/>
            <w:tcMar>
              <w:top w:w="105" w:type="dxa"/>
              <w:start w:w="120" w:type="dxa"/>
              <w:bottom w:w="105" w:type="dxa"/>
              <w:end w:w="120" w:type="dxa"/>
            </w:tcMar>
          </w:tcPr>
          <w:p>
            <w:pPr>
              <w:spacing w:after="0"/>
            </w:pPr>
            <w:r>
              <w:rPr>
                <w:rFonts w:ascii="Helvetica Neue" w:hAnsi="Helvetica Neue"/>
                <w:color w:val="24384D"/>
                <w:sz w:val="18"/>
              </w:rPr>
              <w:t>Control</w:t>
            </w:r>
          </w:p>
        </w:tc>
        <w:tc>
          <w:tcPr>
            <w:tcW w:type="dxa" w:w="8136"/>
            <w:shd w:fill="F4F7FA"/>
            <w:vAlign w:val="center"/>
            <w:tcMar>
              <w:top w:w="105" w:type="dxa"/>
              <w:start w:w="120" w:type="dxa"/>
              <w:bottom w:w="105" w:type="dxa"/>
              <w:end w:w="120" w:type="dxa"/>
            </w:tcMar>
          </w:tcPr>
          <w:p>
            <w:pPr>
              <w:spacing w:after="0"/>
            </w:pPr>
            <w:r>
              <w:rPr>
                <w:rFonts w:ascii="Helvetica Neue" w:hAnsi="Helvetica Neue"/>
                <w:color w:val="24384D"/>
                <w:sz w:val="18"/>
              </w:rPr>
              <w:t>Bounded unicycle range-and-bearing controller at 50 Hz with TRACK, PREDICT, and SAFE_STOP states</w:t>
            </w:r>
          </w:p>
        </w:tc>
      </w:tr>
      <w:tr>
        <w:tc>
          <w:tcPr>
            <w:tcW w:type="dxa" w:w="1944"/>
            <w:shd w:fill="E5F0F8"/>
            <w:vAlign w:val="center"/>
            <w:tcMar>
              <w:top w:w="105" w:type="dxa"/>
              <w:start w:w="120" w:type="dxa"/>
              <w:bottom w:w="105" w:type="dxa"/>
              <w:end w:w="120" w:type="dxa"/>
            </w:tcMar>
          </w:tcPr>
          <w:p>
            <w:pPr>
              <w:spacing w:after="0"/>
            </w:pPr>
            <w:r>
              <w:rPr>
                <w:rFonts w:ascii="Helvetica Neue" w:hAnsi="Helvetica Neue"/>
                <w:color w:val="24384D"/>
                <w:sz w:val="18"/>
              </w:rPr>
              <w:t>Evidence</w:t>
            </w:r>
          </w:p>
        </w:tc>
        <w:tc>
          <w:tcPr>
            <w:tcW w:type="dxa" w:w="8136"/>
            <w:shd w:fill="E5F0F8"/>
            <w:vAlign w:val="center"/>
            <w:tcMar>
              <w:top w:w="105" w:type="dxa"/>
              <w:start w:w="120" w:type="dxa"/>
              <w:bottom w:w="105" w:type="dxa"/>
              <w:end w:w="120" w:type="dxa"/>
            </w:tcMar>
          </w:tcPr>
          <w:p>
            <w:pPr>
              <w:spacing w:after="0"/>
            </w:pPr>
            <w:r>
              <w:rPr>
                <w:rFonts w:ascii="Helvetica Neue" w:hAnsi="Helvetica Neue"/>
                <w:color w:val="24384D"/>
                <w:sz w:val="18"/>
              </w:rPr>
              <w:t>Per-trial metrics, representative time series, fixed configuration, recorded seeds, and four figures</w:t>
            </w:r>
          </w:p>
        </w:tc>
      </w:tr>
    </w:tbl>
    <w:p>
      <w:pPr>
        <w:spacing w:after="20"/>
      </w:pPr>
    </w:p>
    <w:p>
      <w:pPr>
        <w:pStyle w:val="Heading1"/>
        <w:keepNext/>
        <w:pageBreakBefore/>
      </w:pPr>
      <w:r>
        <w:rPr>
          <w:rFonts w:ascii="Helvetica Neue" w:hAnsi="Helvetica Neue"/>
          <w:b/>
          <w:color w:val="0B3153"/>
          <w:sz w:val="34"/>
        </w:rPr>
        <w:t>3 Representative Behavior</w:t>
      </w:r>
    </w:p>
    <w:p>
      <w:pPr>
        <w:spacing w:after="60"/>
        <w:jc w:val="center"/>
      </w:pPr>
      <w:r>
        <w:drawing>
          <wp:inline>
            <wp:extent cx="6172200" cy="3471862"/>
            <wp:docPr id="2" name="figure_1_range_baseline" descr="Range over 20 seconds. The true and filtered lines remain near 1.5 meters, measured samples contain small noise, and the forced occlusion is marked from 8.0 to 9.17 seconds."/>
            <wp:cNvGraphicFramePr>
              <a:graphicFrameLocks noChangeAspect="1"/>
            </wp:cNvGraphicFramePr>
            <a:graphic>
              <a:graphicData uri="http://schemas.openxmlformats.org/drawingml/2006/picture">
                <pic:pic>
                  <pic:nvPicPr>
                    <pic:cNvPr id="0" name="figure_1_range_baseline.png"/>
                    <pic:cNvPicPr/>
                  </pic:nvPicPr>
                  <pic:blipFill>
                    <a:blip r:embed="rId24"/>
                    <a:stretch>
                      <a:fillRect/>
                    </a:stretch>
                  </pic:blipFill>
                  <pic:spPr>
                    <a:xfrm>
                      <a:off x="0" y="0"/>
                      <a:ext cx="6172200" cy="3471862"/>
                    </a:xfrm>
                    <a:prstGeom prst="rect"/>
                  </pic:spPr>
                </pic:pic>
              </a:graphicData>
            </a:graphic>
          </wp:inline>
        </w:drawing>
      </w:r>
    </w:p>
    <w:p>
      <w:pPr>
        <w:spacing w:after="160"/>
        <w:jc w:val="center"/>
      </w:pPr>
      <w:r>
        <w:rPr>
          <w:rFonts w:ascii="Helvetica Neue" w:hAnsi="Helvetica Neue"/>
          <w:i/>
          <w:color w:val="60758A"/>
          <w:sz w:val="17"/>
        </w:rPr>
        <w:t>Figure 2  True measured and filtered leader range during the representative forced-occlusion trial</w:t>
      </w:r>
    </w:p>
    <w:p>
      <w:pPr>
        <w:spacing w:after="60"/>
        <w:jc w:val="center"/>
      </w:pPr>
      <w:r>
        <w:drawing>
          <wp:inline>
            <wp:extent cx="6172200" cy="3471862"/>
            <wp:docPr id="3" name="figure_2_formation_tracking" descr="Two smooth paths show the follower tracking behind the leader on an S-curve while preserving the desired separation."/>
            <wp:cNvGraphicFramePr>
              <a:graphicFrameLocks noChangeAspect="1"/>
            </wp:cNvGraphicFramePr>
            <a:graphic>
              <a:graphicData uri="http://schemas.openxmlformats.org/drawingml/2006/picture">
                <pic:pic>
                  <pic:nvPicPr>
                    <pic:cNvPr id="0" name="figure_2_formation_tracking.png"/>
                    <pic:cNvPicPr/>
                  </pic:nvPicPr>
                  <pic:blipFill>
                    <a:blip r:embed="rId25"/>
                    <a:stretch>
                      <a:fillRect/>
                    </a:stretch>
                  </pic:blipFill>
                  <pic:spPr>
                    <a:xfrm>
                      <a:off x="0" y="0"/>
                      <a:ext cx="6172200" cy="3471862"/>
                    </a:xfrm>
                    <a:prstGeom prst="rect"/>
                  </pic:spPr>
                </pic:pic>
              </a:graphicData>
            </a:graphic>
          </wp:inline>
        </w:drawing>
      </w:r>
    </w:p>
    <w:p>
      <w:pPr>
        <w:spacing w:after="160"/>
        <w:jc w:val="center"/>
      </w:pPr>
      <w:r>
        <w:rPr>
          <w:rFonts w:ascii="Helvetica Neue" w:hAnsi="Helvetica Neue"/>
          <w:i/>
          <w:color w:val="60758A"/>
          <w:sz w:val="17"/>
        </w:rPr>
        <w:t>Figure 3  Leader and follower world paths during the representative S-curve trial</w:t>
      </w:r>
    </w:p>
    <w:p>
      <w:pPr>
        <w:pStyle w:val="Heading1"/>
        <w:keepNext/>
        <w:pageBreakBefore/>
      </w:pPr>
      <w:r>
        <w:rPr>
          <w:rFonts w:ascii="Helvetica Neue" w:hAnsi="Helvetica Neue"/>
          <w:b/>
          <w:color w:val="0B3153"/>
          <w:sz w:val="34"/>
        </w:rPr>
        <w:t>4 Occlusion Handling and Limitations</w:t>
      </w:r>
    </w:p>
    <w:p>
      <w:pPr>
        <w:spacing w:after="60"/>
        <w:jc w:val="center"/>
      </w:pPr>
      <w:r>
        <w:drawing>
          <wp:inline>
            <wp:extent cx="6172200" cy="3471862"/>
            <wp:docPr id="4" name="figure_3_occlusion_recovery" descr="A time window around the occlusion shows TRACK samples in green and PREDICT samples in orange before tracking resumes."/>
            <wp:cNvGraphicFramePr>
              <a:graphicFrameLocks noChangeAspect="1"/>
            </wp:cNvGraphicFramePr>
            <a:graphic>
              <a:graphicData uri="http://schemas.openxmlformats.org/drawingml/2006/picture">
                <pic:pic>
                  <pic:nvPicPr>
                    <pic:cNvPr id="0" name="figure_3_occlusion_recovery.png"/>
                    <pic:cNvPicPr/>
                  </pic:nvPicPr>
                  <pic:blipFill>
                    <a:blip r:embed="rId26"/>
                    <a:stretch>
                      <a:fillRect/>
                    </a:stretch>
                  </pic:blipFill>
                  <pic:spPr>
                    <a:xfrm>
                      <a:off x="0" y="0"/>
                      <a:ext cx="6172200" cy="3471862"/>
                    </a:xfrm>
                    <a:prstGeom prst="rect"/>
                  </pic:spPr>
                </pic:pic>
              </a:graphicData>
            </a:graphic>
          </wp:inline>
        </w:drawing>
      </w:r>
    </w:p>
    <w:p>
      <w:pPr>
        <w:spacing w:after="160"/>
        <w:jc w:val="center"/>
      </w:pPr>
      <w:r>
        <w:rPr>
          <w:rFonts w:ascii="Helvetica Neue" w:hAnsi="Helvetica Neue"/>
          <w:i/>
          <w:color w:val="60758A"/>
          <w:sz w:val="17"/>
        </w:rPr>
        <w:t>Figure 4  Controller state through the forced visual occlusion</w:t>
      </w:r>
    </w:p>
    <w:p>
      <w:pPr>
        <w:pStyle w:val="Heading1"/>
        <w:keepNext/>
      </w:pPr>
      <w:r>
        <w:rPr>
          <w:rFonts w:ascii="Helvetica Neue" w:hAnsi="Helvetica Neue"/>
          <w:b/>
          <w:color w:val="0B3153"/>
          <w:sz w:val="34"/>
        </w:rPr>
        <w:t>Limits of This Evidence</w:t>
      </w:r>
    </w:p>
    <w:p>
      <w:pPr>
        <w:keepNext w:val="0"/>
        <w:spacing w:after="120"/>
      </w:pPr>
      <w:r>
        <w:rPr>
          <w:rFonts w:ascii="Helvetica Neue" w:hAnsi="Helvetica Neue"/>
          <w:color w:val="000000"/>
          <w:sz w:val="21"/>
        </w:rPr>
        <w:t>The follower pose is available without an odometry error model, the leader has a known marker height, and the camera model generates bounding-box geometry directly. The simulation does not include detector misses outside the declared occlusion, image artifacts, variable inference latency, wheel slip, actuator dynamics, message delay, or GPU contention. The low errors are therefore expected and should not be compared with real deployment performance.</w:t>
      </w:r>
    </w:p>
    <w:p>
      <w:pPr>
        <w:pStyle w:val="Heading1"/>
        <w:keepNext/>
      </w:pPr>
      <w:r>
        <w:rPr>
          <w:rFonts w:ascii="Helvetica Neue" w:hAnsi="Helvetica Neue"/>
          <w:b/>
          <w:color w:val="0B3153"/>
          <w:sz w:val="34"/>
        </w:rPr>
        <w:t>Recommended Next Gate</w:t>
      </w:r>
    </w:p>
    <w:p>
      <w:pPr>
        <w:keepNext w:val="0"/>
        <w:spacing w:after="120"/>
      </w:pPr>
      <w:r>
        <w:rPr>
          <w:rFonts w:ascii="Helvetica Neue" w:hAnsi="Helvetica Neue"/>
          <w:color w:val="000000"/>
          <w:sz w:val="21"/>
        </w:rPr>
        <w:t>I recommend reproducing only the calibrated range-and-bearing experiment in Gazebo next. That gate should compare camera-derived measurements against Gazebo ground truth across range, heading, lighting, and off-axis placement. I will not treat the detector, filter, or controller as validated until that evidence is reviewed.</w:t>
      </w:r>
    </w:p>
    <w:p>
      <w:pPr>
        <w:pStyle w:val="Heading1"/>
        <w:keepNext/>
      </w:pPr>
      <w:r>
        <w:rPr>
          <w:rFonts w:ascii="Helvetica Neue" w:hAnsi="Helvetica Neue"/>
          <w:b/>
          <w:color w:val="0B3153"/>
          <w:sz w:val="34"/>
        </w:rPr>
        <w:t>Approval Requested</w:t>
      </w:r>
    </w:p>
    <w:p>
      <w:pPr>
        <w:keepNext w:val="0"/>
        <w:spacing w:after="120"/>
      </w:pPr>
      <w:r>
        <w:rPr>
          <w:rFonts w:ascii="Helvetica Neue" w:hAnsi="Helvetica Neue"/>
          <w:color w:val="000000"/>
          <w:sz w:val="21"/>
        </w:rPr>
        <w:t>Please confirm whether this toy baseline and experiment structure are sufficient to begin the measurement-only Gazebo implementation. I will preserve the same seeds, configuration manifest, CSV schema, figures, and acceptance criteria so the next result can be compared directly with this baseline.</w:t>
      </w:r>
    </w:p>
    <w:sectPr>
      <w:headerReference r:id="rId10" w:type="default"/>
      <w:headerReference r:id="rId11" w:type="first"/>
      <w:footerReference r:id="rId12" w:type="default"/>
      <w:footerReference r:id="rId13" w:type="first"/>
      <w:footerReference w:type="even" r:id="rId22"/>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r>
    <w:r>
      <w:rPr>
        <w:rtl w:val="0"/>
      </w:rPr>
    </w:r>
    <w:r>
      <w:rPr>
        <w:rFonts w:ascii="Helvetica Neue" w:hAnsi="Helvetica Neue"/>
        <w:color w:val="60758A"/>
        <w:sz w:val="16"/>
      </w:rPr>
    </w:r>
    <w:r>
      <w:rPr>
        <w:rFonts w:ascii="Helvetica Neue" w:hAnsi="Helvetica Neue"/>
        <w:color w:val="60758A"/>
        <w:sz w:val="16"/>
      </w:rPr>
      <w:t>EE 616 Toy Simulation Results | Neeraj Kumar Kanchani</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59" w:lineRule="auto"/>
    </w:pPr>
    <w:rPr>
      <w:rFonts w:ascii="Helvetica Neue" w:hAnsi="Helvetica Neue"/>
      <w:color w:val="24384D"/>
      <w:sz w:val="21"/>
    </w:rPr>
  </w:style>
  <w:style w:type="paragraph" w:styleId="Heading1">
    <w:name w:val="heading 1"/>
    <w:basedOn w:val="Normal"/>
    <w:next w:val="Normal"/>
    <w:pPr>
      <w:keepNext/>
      <w:keepLines w:val="1"/>
      <w:pBdr>
        <w:top w:color="2f6b9a" w:space="2" w:sz="0" w:val="none"/>
        <w:left w:color="2f6b9a" w:space="2" w:sz="0" w:val="none"/>
        <w:bottom w:color="2f6b9a" w:space="2" w:sz="0" w:val="none"/>
        <w:right w:color="2f6b9a" w:space="2" w:sz="0" w:val="none"/>
      </w:pBdr>
      <w:spacing w:after="100" w:line="285" w:lineRule="auto" w:before="240"/>
    </w:pPr>
    <w:rPr>
      <w:rFonts w:ascii="Helvetica Neue" w:hAnsi="Helvetica Neue"/>
      <w:b/>
      <w:bCs w:val="1"/>
      <w:color w:val="0B3153"/>
      <w:sz w:val="34"/>
      <w:szCs w:val="27"/>
    </w:rPr>
  </w:style>
  <w:style w:type="paragraph" w:styleId="Heading2">
    <w:name w:val="heading 2"/>
    <w:basedOn w:val="Normal"/>
    <w:next w:val="Normal"/>
    <w:pPr>
      <w:keepNext/>
      <w:keepLines w:val="1"/>
      <w:spacing w:after="100" w:before="160" w:lineRule="auto"/>
    </w:pPr>
    <w:rPr>
      <w:rFonts w:ascii="Helvetica Neue" w:cs="Calibri" w:eastAsia="Calibri" w:hAnsi="Helvetica Neue"/>
      <w:b/>
      <w:bCs w:val="1"/>
      <w:smallCaps w:val="1"/>
      <w:color w:val="0B3153"/>
      <w:sz w:val="26"/>
      <w:szCs w:val="19"/>
    </w:rPr>
  </w:style>
  <w:style w:type="paragraph" w:styleId="Heading3">
    <w:name w:val="heading 3"/>
    <w:basedOn w:val="Normal"/>
    <w:next w:val="Normal"/>
    <w:pPr>
      <w:keepNext/>
      <w:keepLines w:val="1"/>
      <w:spacing w:before="160" w:after="100"/>
    </w:pPr>
    <w:rPr>
      <w:rFonts w:ascii="Helvetica Neue" w:cs="Helvetica Neue" w:eastAsia="Helvetica Neue" w:hAnsi="Helvetica Neue"/>
      <w:b/>
      <w:bCs w:val="1"/>
      <w:color w:val="60758A"/>
      <w:sz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240" w:lineRule="auto"/>
    </w:pPr>
    <w:rPr>
      <w:rFonts w:ascii="Helvetica Neue" w:hAnsi="Helvetica Neue"/>
      <w:b/>
      <w:bCs w:val="1"/>
      <w:color w:val="000000"/>
      <w:sz w:val="62"/>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image" Target="media/image2.png"/><Relationship Id="rId14" Type="http://schemas.openxmlformats.org/officeDocument/2006/relationships/hyperlink" Target="https://gazebosim.org/docs/harmonic/comparison/" TargetMode="External"/><Relationship Id="rId15" Type="http://schemas.openxmlformats.org/officeDocument/2006/relationships/hyperlink" Target="https://gazebosim.org/docs/harmonic/ros2_integration/" TargetMode="External"/><Relationship Id="rId16" Type="http://schemas.openxmlformats.org/officeDocument/2006/relationships/hyperlink" Target="https://docs.ros.org/en/jazzy/p/vision_msgs/" TargetMode="External"/><Relationship Id="rId17" Type="http://schemas.openxmlformats.org/officeDocument/2006/relationships/hyperlink" Target="https://docs.nvidia.com/deeplearning/tensorrt/latest/inference-library/quantized-types-schemes.html" TargetMode="External"/><Relationship Id="rId18" Type="http://schemas.openxmlformats.org/officeDocument/2006/relationships/hyperlink" Target="https://doi.org/10.1109/70.538972" TargetMode="External"/><Relationship Id="rId19" Type="http://schemas.openxmlformats.org/officeDocument/2006/relationships/hyperlink" Target="https://arxiv.org/abs/1501.01364" TargetMode="External"/><Relationship Id="rId20" Type="http://schemas.openxmlformats.org/officeDocument/2006/relationships/hyperlink" Target="https://arxiv.org/abs/1705.08940" TargetMode="External"/><Relationship Id="rId21" Type="http://schemas.openxmlformats.org/officeDocument/2006/relationships/hyperlink" Target="https://arxiv.org/abs/2605.17533" TargetMode="External"/><Relationship Id="rId22" Type="http://schemas.openxmlformats.org/officeDocument/2006/relationships/footer" Target="footer3.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Initial Toy Simulation Results for Vision Only Leader Follower Coordination</dc:title>
  <cp:lastModifiedBy>python-docx</cp:lastModifiedBy>
  <cp:revision>1</cp:revision>
  <dcterms:modified xsi:type="dcterms:W3CDTF">2026-09-16T02:54:18Z</dcterms:modified>
  <dc:subject>Kinematic baseline for faculty review before ROS 2 and Gazebo implementation</dc:subject>
  <dc:creator>Neeraj Kumar Kanchani</dc:creator>
  <cp:keywords>EE 616, leader follower, vision, toy simulation, Kalman filter, control</cp:keywords>
  <dc:description>Prepared for review by Professor Masudul Imtiaz</dc:description>
</cp:coreProperties>
</file>