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BAA60" w14:textId="77777777" w:rsidR="00CC16F4" w:rsidRPr="00581F94" w:rsidRDefault="000515E4" w:rsidP="000515E4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581F94">
        <w:rPr>
          <w:rFonts w:ascii="Times New Roman" w:hAnsi="Times New Roman" w:cs="Times New Roman"/>
          <w:b/>
          <w:sz w:val="28"/>
        </w:rPr>
        <w:t>Практическое задание и лабораторная работа №1</w:t>
      </w:r>
    </w:p>
    <w:p w14:paraId="2E83DF8C" w14:textId="77777777" w:rsidR="000515E4" w:rsidRPr="00581F94" w:rsidRDefault="000515E4" w:rsidP="000515E4">
      <w:pPr>
        <w:contextualSpacing/>
        <w:rPr>
          <w:rFonts w:ascii="Times New Roman" w:hAnsi="Times New Roman" w:cs="Times New Roman"/>
          <w:b/>
          <w:sz w:val="28"/>
        </w:rPr>
      </w:pPr>
      <w:r w:rsidRPr="00581F94">
        <w:rPr>
          <w:rFonts w:ascii="Times New Roman" w:hAnsi="Times New Roman" w:cs="Times New Roman"/>
          <w:b/>
          <w:sz w:val="28"/>
        </w:rPr>
        <w:t>Тема:</w:t>
      </w:r>
    </w:p>
    <w:p w14:paraId="1423B9F4" w14:textId="77777777" w:rsidR="000515E4" w:rsidRPr="00581F94" w:rsidRDefault="000515E4" w:rsidP="002B6B25">
      <w:pPr>
        <w:contextualSpacing/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Модели жизненного цикла и методы планирования и управления проектами. Инструментальные средства (</w:t>
      </w:r>
      <w:r w:rsidRPr="00581F94">
        <w:rPr>
          <w:rFonts w:ascii="Times New Roman" w:hAnsi="Times New Roman" w:cs="Times New Roman"/>
          <w:sz w:val="28"/>
          <w:lang w:val="en-US"/>
        </w:rPr>
        <w:t>CASE-</w:t>
      </w:r>
      <w:r w:rsidRPr="00581F94">
        <w:rPr>
          <w:rFonts w:ascii="Times New Roman" w:hAnsi="Times New Roman" w:cs="Times New Roman"/>
          <w:sz w:val="28"/>
        </w:rPr>
        <w:t>средства) планирования и управления проектами.</w:t>
      </w:r>
    </w:p>
    <w:p w14:paraId="39A1930B" w14:textId="77777777" w:rsidR="000515E4" w:rsidRPr="00581F94" w:rsidRDefault="000515E4" w:rsidP="000515E4">
      <w:pPr>
        <w:contextualSpacing/>
        <w:rPr>
          <w:rFonts w:ascii="Times New Roman" w:hAnsi="Times New Roman" w:cs="Times New Roman"/>
          <w:b/>
          <w:sz w:val="28"/>
        </w:rPr>
      </w:pPr>
      <w:r w:rsidRPr="00581F94">
        <w:rPr>
          <w:rFonts w:ascii="Times New Roman" w:hAnsi="Times New Roman" w:cs="Times New Roman"/>
          <w:b/>
          <w:sz w:val="28"/>
        </w:rPr>
        <w:t>Цель:</w:t>
      </w:r>
    </w:p>
    <w:p w14:paraId="0692D8D4" w14:textId="77777777" w:rsidR="000515E4" w:rsidRPr="00581F94" w:rsidRDefault="000515E4" w:rsidP="002B6B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Изучить моде</w:t>
      </w:r>
      <w:bookmarkStart w:id="0" w:name="_GoBack"/>
      <w:bookmarkEnd w:id="0"/>
      <w:r w:rsidRPr="00581F94">
        <w:rPr>
          <w:rFonts w:ascii="Times New Roman" w:hAnsi="Times New Roman" w:cs="Times New Roman"/>
          <w:sz w:val="28"/>
        </w:rPr>
        <w:t>ли жизненного цикла информационных систем и стандарты проектирования информационных систем;</w:t>
      </w:r>
    </w:p>
    <w:p w14:paraId="4A94E999" w14:textId="77777777" w:rsidR="000515E4" w:rsidRPr="00581F94" w:rsidRDefault="000515E4" w:rsidP="002B6B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Ознакомиться с методами планирования и управления проектами;</w:t>
      </w:r>
    </w:p>
    <w:p w14:paraId="4DD26F58" w14:textId="77777777" w:rsidR="000515E4" w:rsidRPr="00581F94" w:rsidRDefault="000515E4" w:rsidP="002B6B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Построить сетевую диаграмму проекта;</w:t>
      </w:r>
    </w:p>
    <w:p w14:paraId="1D0657DD" w14:textId="77777777" w:rsidR="000515E4" w:rsidRPr="00581F94" w:rsidRDefault="000515E4" w:rsidP="002B6B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Изучить автоматизированные средства планирования и управления проектами;</w:t>
      </w:r>
    </w:p>
    <w:p w14:paraId="17658B69" w14:textId="77777777" w:rsidR="000515E4" w:rsidRPr="00581F94" w:rsidRDefault="000515E4" w:rsidP="002B6B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Осуществить выбор и применение инструментального средства для планирования и управления проектом.</w:t>
      </w:r>
    </w:p>
    <w:p w14:paraId="2DA1F19E" w14:textId="77777777" w:rsidR="000515E4" w:rsidRPr="00581F94" w:rsidRDefault="000515E4" w:rsidP="000515E4">
      <w:pPr>
        <w:contextualSpacing/>
        <w:rPr>
          <w:rFonts w:ascii="Times New Roman" w:hAnsi="Times New Roman" w:cs="Times New Roman"/>
          <w:sz w:val="28"/>
        </w:rPr>
      </w:pPr>
    </w:p>
    <w:p w14:paraId="38BF1643" w14:textId="77777777" w:rsidR="000515E4" w:rsidRPr="00581F94" w:rsidRDefault="000515E4" w:rsidP="000515E4">
      <w:pPr>
        <w:contextualSpacing/>
        <w:rPr>
          <w:rFonts w:ascii="Times New Roman" w:hAnsi="Times New Roman" w:cs="Times New Roman"/>
          <w:sz w:val="28"/>
        </w:rPr>
      </w:pPr>
    </w:p>
    <w:p w14:paraId="15C5D658" w14:textId="77777777" w:rsidR="000515E4" w:rsidRPr="00581F94" w:rsidRDefault="000515E4" w:rsidP="000515E4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581F94">
        <w:rPr>
          <w:rFonts w:ascii="Times New Roman" w:hAnsi="Times New Roman" w:cs="Times New Roman"/>
          <w:b/>
          <w:sz w:val="28"/>
        </w:rPr>
        <w:t>Основная часть</w:t>
      </w:r>
    </w:p>
    <w:p w14:paraId="61BCA4D1" w14:textId="77777777" w:rsidR="000515E4" w:rsidRPr="00581F94" w:rsidRDefault="000515E4" w:rsidP="000515E4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1D0BBE45" w14:textId="77777777" w:rsidR="000515E4" w:rsidRPr="00581F94" w:rsidRDefault="000515E4" w:rsidP="000515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Отчёт о выполнении практического задания</w:t>
      </w:r>
    </w:p>
    <w:p w14:paraId="668F1676" w14:textId="12A9F52F" w:rsidR="000515E4" w:rsidRPr="00581F94" w:rsidRDefault="002B6B25" w:rsidP="002B6B25">
      <w:pPr>
        <w:ind w:left="360"/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Опишем предметную область «Расчётный центр услуг ЖКХ</w:t>
      </w:r>
      <w:r w:rsidR="0015699B" w:rsidRPr="00581F94">
        <w:rPr>
          <w:rFonts w:ascii="Times New Roman" w:eastAsia="Helvetica" w:hAnsi="Times New Roman" w:cs="Times New Roman"/>
          <w:sz w:val="28"/>
        </w:rPr>
        <w:t>»</w:t>
      </w:r>
      <w:r w:rsidRPr="00581F94">
        <w:rPr>
          <w:rFonts w:ascii="Times New Roman" w:hAnsi="Times New Roman" w:cs="Times New Roman"/>
          <w:sz w:val="28"/>
        </w:rPr>
        <w:t>:</w:t>
      </w:r>
    </w:p>
    <w:p w14:paraId="0F83ED90" w14:textId="46E7525C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Информационная система призвана решать следующие задачи:</w:t>
      </w:r>
    </w:p>
    <w:p w14:paraId="533D6BF1" w14:textId="77777777" w:rsidR="002B6B25" w:rsidRPr="00581F94" w:rsidRDefault="002B6B25" w:rsidP="002B6B25">
      <w:pPr>
        <w:pStyle w:val="a3"/>
        <w:numPr>
          <w:ilvl w:val="0"/>
          <w:numId w:val="4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сбор и обработка показаний измерительной аппаратуры переменного тока, холодной и горячей воды, отопительной системы;</w:t>
      </w:r>
    </w:p>
    <w:p w14:paraId="7662E7CF" w14:textId="77777777" w:rsidR="002B6B25" w:rsidRPr="00581F94" w:rsidRDefault="002B6B25" w:rsidP="002B6B25">
      <w:pPr>
        <w:pStyle w:val="a3"/>
        <w:numPr>
          <w:ilvl w:val="0"/>
          <w:numId w:val="4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расчёт потребления и цены по плавающим тарифам;</w:t>
      </w:r>
    </w:p>
    <w:p w14:paraId="4B63DDE5" w14:textId="77777777" w:rsidR="002B6B25" w:rsidRPr="00581F94" w:rsidRDefault="002B6B25" w:rsidP="002B6B25">
      <w:pPr>
        <w:pStyle w:val="a3"/>
        <w:numPr>
          <w:ilvl w:val="0"/>
          <w:numId w:val="4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прогнозирование потребления в соответствии с предыдущими данными</w:t>
      </w:r>
    </w:p>
    <w:p w14:paraId="51447108" w14:textId="77777777" w:rsidR="002B6B25" w:rsidRPr="00581F94" w:rsidRDefault="002B6B25" w:rsidP="002B6B25">
      <w:pPr>
        <w:pStyle w:val="a3"/>
        <w:numPr>
          <w:ilvl w:val="0"/>
          <w:numId w:val="4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сокращение времени на выставление счетов;</w:t>
      </w:r>
    </w:p>
    <w:p w14:paraId="49B12DC0" w14:textId="77777777" w:rsidR="002B6B25" w:rsidRPr="00581F94" w:rsidRDefault="002B6B25" w:rsidP="002B6B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своевременное предоставление максимального объема оперативной информации потребителям, связанной с перебоями, запланированными работами и изменениями в тарификации</w:t>
      </w:r>
      <w:r w:rsidRPr="00581F94">
        <w:rPr>
          <w:rFonts w:ascii="Times New Roman" w:hAnsi="Times New Roman" w:cs="Times New Roman"/>
          <w:sz w:val="28"/>
        </w:rPr>
        <w:t>;</w:t>
      </w:r>
    </w:p>
    <w:p w14:paraId="2D350388" w14:textId="77777777" w:rsidR="002B6B25" w:rsidRPr="00581F94" w:rsidRDefault="002B6B25" w:rsidP="002B6B25">
      <w:pPr>
        <w:pStyle w:val="a3"/>
        <w:numPr>
          <w:ilvl w:val="0"/>
          <w:numId w:val="4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эффективное информирование потребителей об задолженности на лицевых счетах;</w:t>
      </w:r>
    </w:p>
    <w:p w14:paraId="65D537A5" w14:textId="77777777" w:rsidR="002B6B25" w:rsidRPr="00581F94" w:rsidRDefault="002B6B25" w:rsidP="002B6B25">
      <w:pPr>
        <w:pStyle w:val="a3"/>
        <w:numPr>
          <w:ilvl w:val="0"/>
          <w:numId w:val="4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формирование и управление фондом капитального ремонта.</w:t>
      </w:r>
    </w:p>
    <w:p w14:paraId="3FC49A78" w14:textId="77777777" w:rsidR="002B6B25" w:rsidRPr="00581F94" w:rsidRDefault="002B6B25" w:rsidP="002B6B2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466CC26" w14:textId="6658203E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Целями проекта являются:</w:t>
      </w:r>
    </w:p>
    <w:p w14:paraId="26B2D6DA" w14:textId="77777777" w:rsidR="002B6B25" w:rsidRPr="00581F94" w:rsidRDefault="002B6B25" w:rsidP="002B6B25">
      <w:pPr>
        <w:pStyle w:val="a3"/>
        <w:numPr>
          <w:ilvl w:val="0"/>
          <w:numId w:val="5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обеспечение качественного обслуживания потребителей;</w:t>
      </w:r>
    </w:p>
    <w:p w14:paraId="35E92537" w14:textId="77777777" w:rsidR="002B6B25" w:rsidRPr="00581F94" w:rsidRDefault="002B6B25" w:rsidP="002B6B25">
      <w:pPr>
        <w:pStyle w:val="a3"/>
        <w:numPr>
          <w:ilvl w:val="0"/>
          <w:numId w:val="5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эффективное использование существующих ресурсов (как человеческих, так и материальных)</w:t>
      </w:r>
    </w:p>
    <w:p w14:paraId="4C45756A" w14:textId="77777777" w:rsidR="002B6B25" w:rsidRPr="00581F94" w:rsidRDefault="002B6B25" w:rsidP="002B6B25">
      <w:pPr>
        <w:pStyle w:val="a3"/>
        <w:numPr>
          <w:ilvl w:val="0"/>
          <w:numId w:val="5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снижение затрат и издержек, связанных с обслуживанием системы;</w:t>
      </w:r>
    </w:p>
    <w:p w14:paraId="1FB63375" w14:textId="77777777" w:rsidR="002B6B25" w:rsidRPr="00581F94" w:rsidRDefault="002B6B25" w:rsidP="002B6B25">
      <w:pPr>
        <w:pStyle w:val="a3"/>
        <w:numPr>
          <w:ilvl w:val="0"/>
          <w:numId w:val="5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содержание минимальной численности обслуживающего персонала;</w:t>
      </w:r>
    </w:p>
    <w:p w14:paraId="2BE0E214" w14:textId="77777777" w:rsidR="002B6B25" w:rsidRPr="00581F94" w:rsidRDefault="002B6B25" w:rsidP="002B6B25">
      <w:pPr>
        <w:pStyle w:val="a3"/>
        <w:numPr>
          <w:ilvl w:val="0"/>
          <w:numId w:val="5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эффективное проведение профилактики;</w:t>
      </w:r>
    </w:p>
    <w:p w14:paraId="6D4DD32F" w14:textId="77777777" w:rsidR="002B6B25" w:rsidRPr="00581F94" w:rsidRDefault="002B6B25" w:rsidP="002B6B25">
      <w:pPr>
        <w:pStyle w:val="a3"/>
        <w:numPr>
          <w:ilvl w:val="0"/>
          <w:numId w:val="5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упрощение доступа к внесению показаний и мониторингу потребления для конечных потребителей.</w:t>
      </w:r>
    </w:p>
    <w:p w14:paraId="5DAB9B92" w14:textId="77777777" w:rsidR="002B6B25" w:rsidRPr="00581F94" w:rsidRDefault="002B6B25" w:rsidP="002B6B2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04E39CC1" w14:textId="2B80423B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Проект информационной системы «Расчетный центр услуг ЖКХ» может быть разделён на следующие подразделения:</w:t>
      </w:r>
    </w:p>
    <w:p w14:paraId="2B01418D" w14:textId="77777777" w:rsidR="002B6B25" w:rsidRPr="00581F94" w:rsidRDefault="002B6B25" w:rsidP="002B6B25">
      <w:pPr>
        <w:pStyle w:val="a3"/>
        <w:numPr>
          <w:ilvl w:val="0"/>
          <w:numId w:val="6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lastRenderedPageBreak/>
        <w:t>сбор и обработка показаний, прогнозирование потребления;</w:t>
      </w:r>
    </w:p>
    <w:p w14:paraId="6A3C82DB" w14:textId="77777777" w:rsidR="002B6B25" w:rsidRPr="00581F94" w:rsidRDefault="002B6B25" w:rsidP="002B6B25">
      <w:pPr>
        <w:pStyle w:val="a3"/>
        <w:numPr>
          <w:ilvl w:val="0"/>
          <w:numId w:val="6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расчёт стоимости, выставление счетов, формирование и управление фондом капитального ремонта;</w:t>
      </w:r>
    </w:p>
    <w:p w14:paraId="2E74F416" w14:textId="0EF44BDC" w:rsidR="002B6B25" w:rsidRPr="00581F94" w:rsidRDefault="002B6B25" w:rsidP="002B6B25">
      <w:pPr>
        <w:pStyle w:val="a3"/>
        <w:numPr>
          <w:ilvl w:val="0"/>
          <w:numId w:val="6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предоставление своевременной информации о перебоях, профилактических мероприятиях, изменениям в условиях обслуживании или задолженности.</w:t>
      </w:r>
    </w:p>
    <w:p w14:paraId="798EE39C" w14:textId="77777777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</w:p>
    <w:p w14:paraId="57C4B261" w14:textId="77777777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Пользователями системы выступают конечные потребители коммунальных услуг и операторы расчётных центров.</w:t>
      </w:r>
    </w:p>
    <w:p w14:paraId="2FFC0A88" w14:textId="77777777" w:rsidR="002B6B25" w:rsidRPr="00581F94" w:rsidRDefault="002B6B25" w:rsidP="002B6B2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32CCE55" w14:textId="293300B6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Краткая информация о предметной области:</w:t>
      </w:r>
    </w:p>
    <w:p w14:paraId="18F4854C" w14:textId="77777777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Расчётный центр и его операторы должны предоставлять конечному потребителю коммунальных услуг следующие услуги:</w:t>
      </w:r>
    </w:p>
    <w:p w14:paraId="77AA762B" w14:textId="77777777" w:rsidR="002B6B25" w:rsidRPr="00581F94" w:rsidRDefault="002B6B25" w:rsidP="002B6B25">
      <w:pPr>
        <w:pStyle w:val="a3"/>
        <w:numPr>
          <w:ilvl w:val="0"/>
          <w:numId w:val="7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информирование о состоянии лицевого счёта услуги (электричество, холодная и горячая вода, отопление): последние показания измерительных приборов (внесённые проверяющим, автоматикой или со слов потребителя), размер задолженности или предоплаты по услугам, а так же тарификации и условиях её изменения;</w:t>
      </w:r>
    </w:p>
    <w:p w14:paraId="61844D59" w14:textId="77777777" w:rsidR="002B6B25" w:rsidRPr="00581F94" w:rsidRDefault="002B6B25" w:rsidP="002B6B25">
      <w:pPr>
        <w:pStyle w:val="a3"/>
        <w:numPr>
          <w:ilvl w:val="0"/>
          <w:numId w:val="7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внесение показаний, снятых потребителем не позднее 10 дней после снятия, на лицевой счёт услуги потребления;</w:t>
      </w:r>
    </w:p>
    <w:p w14:paraId="2B9847BE" w14:textId="77777777" w:rsidR="002B6B25" w:rsidRPr="00581F94" w:rsidRDefault="002B6B25" w:rsidP="002B6B25">
      <w:pPr>
        <w:pStyle w:val="a3"/>
        <w:numPr>
          <w:ilvl w:val="0"/>
          <w:numId w:val="7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оплата (или предоплата) услуг, внесение средств в фонд капитального ремонта;</w:t>
      </w:r>
    </w:p>
    <w:p w14:paraId="0C0519E5" w14:textId="77777777" w:rsidR="002B6B25" w:rsidRPr="00581F94" w:rsidRDefault="002B6B25" w:rsidP="002B6B25">
      <w:pPr>
        <w:pStyle w:val="a3"/>
        <w:numPr>
          <w:ilvl w:val="0"/>
          <w:numId w:val="7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информирование о планируемых профилактических мероприятиях и перебоях, а также их причинах;</w:t>
      </w:r>
    </w:p>
    <w:p w14:paraId="3ABF1FD0" w14:textId="77777777" w:rsidR="002B6B25" w:rsidRPr="00581F94" w:rsidRDefault="002B6B25" w:rsidP="002B6B25">
      <w:pPr>
        <w:pStyle w:val="a3"/>
        <w:numPr>
          <w:ilvl w:val="0"/>
          <w:numId w:val="7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заключение и расторжение договоров по предоставлению тех или иных коммунальных услуг.</w:t>
      </w:r>
    </w:p>
    <w:p w14:paraId="51343C30" w14:textId="77777777" w:rsidR="002B6B25" w:rsidRPr="00581F94" w:rsidRDefault="002B6B25" w:rsidP="002B6B2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BF5DE2B" w14:textId="77777777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При обслуживании потребителей необходимо обеспечение:</w:t>
      </w:r>
    </w:p>
    <w:p w14:paraId="02590492" w14:textId="77777777" w:rsidR="002B6B25" w:rsidRPr="00581F94" w:rsidRDefault="002B6B25" w:rsidP="002B6B25">
      <w:pPr>
        <w:pStyle w:val="a3"/>
        <w:numPr>
          <w:ilvl w:val="0"/>
          <w:numId w:val="8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актуальной информации о состоянии лицевых счетов потребителя, проводимых профилактических мероприятий и перебоях;</w:t>
      </w:r>
    </w:p>
    <w:p w14:paraId="2C110C90" w14:textId="77777777" w:rsidR="002B6B25" w:rsidRPr="00581F94" w:rsidRDefault="002B6B25" w:rsidP="002B6B25">
      <w:pPr>
        <w:pStyle w:val="a3"/>
        <w:numPr>
          <w:ilvl w:val="0"/>
          <w:numId w:val="8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точности предоставленной информации;</w:t>
      </w:r>
    </w:p>
    <w:p w14:paraId="251BBAA5" w14:textId="77777777" w:rsidR="002B6B25" w:rsidRPr="00581F94" w:rsidRDefault="002B6B25" w:rsidP="002B6B25">
      <w:pPr>
        <w:pStyle w:val="a3"/>
        <w:numPr>
          <w:ilvl w:val="0"/>
          <w:numId w:val="8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проверки вносимых со слов потребителя показаний и последующее их подтверждение в предусмотренный организацией срок;</w:t>
      </w:r>
    </w:p>
    <w:p w14:paraId="33D41D9D" w14:textId="77777777" w:rsidR="002B6B25" w:rsidRPr="00581F94" w:rsidRDefault="002B6B25" w:rsidP="002B6B25">
      <w:pPr>
        <w:pStyle w:val="a3"/>
        <w:numPr>
          <w:ilvl w:val="0"/>
          <w:numId w:val="8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максимального</w:t>
      </w:r>
      <w:r w:rsidRPr="00581F94">
        <w:rPr>
          <w:rFonts w:ascii="Times New Roman" w:hAnsi="Times New Roman" w:cs="Times New Roman"/>
          <w:sz w:val="28"/>
        </w:rPr>
        <w:t xml:space="preserve"> </w:t>
      </w:r>
      <w:r w:rsidRPr="00581F94">
        <w:rPr>
          <w:rFonts w:ascii="Times New Roman" w:eastAsia="Helvetica" w:hAnsi="Times New Roman" w:cs="Times New Roman"/>
          <w:sz w:val="28"/>
        </w:rPr>
        <w:t>информирования потребителей о изменениях в условиях обслуживания, перебоях и профилактических мероприятий.</w:t>
      </w:r>
    </w:p>
    <w:p w14:paraId="6B80E96C" w14:textId="77777777" w:rsidR="002B6B25" w:rsidRPr="00581F94" w:rsidRDefault="002B6B25" w:rsidP="002B6B2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4B87C8D3" w14:textId="4FF949BA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Как средство постоянного мониторинга потребления коммунальных услуг потребителем применяется web-сайт расчётного центра, дублирующий возможности операторов расчётного центра в полном объёме и автоматическом режиме. Исключением является возможность заключения и расторжения договоров, возможное только при личном посещении расчётного центра. Доступ к ресурсу ограничивается авторизацией по указанным при</w:t>
      </w:r>
      <w:r w:rsidRPr="00581F94">
        <w:rPr>
          <w:rFonts w:ascii="Times New Roman" w:hAnsi="Times New Roman" w:cs="Times New Roman"/>
          <w:sz w:val="28"/>
        </w:rPr>
        <w:t xml:space="preserve"> </w:t>
      </w:r>
      <w:r w:rsidRPr="00581F94">
        <w:rPr>
          <w:rFonts w:ascii="Times New Roman" w:eastAsia="Helvetica" w:hAnsi="Times New Roman" w:cs="Times New Roman"/>
          <w:sz w:val="28"/>
        </w:rPr>
        <w:t>заключении договора (или внесенным позднее изменениям) данным (адрес электронной почты, номер телефона или номер договора). В рамках одного личного кабинета необходима возможность объединение существующих лицевых счетов.</w:t>
      </w:r>
    </w:p>
    <w:p w14:paraId="33301268" w14:textId="298E326C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lastRenderedPageBreak/>
        <w:t>Данные по потреблению услуг предоставляются за определённый организацией период в автоматическом режима, включая графики потребления по дням (для автоматизированных измерительных приборов) или по месяцам, графики оплат и задолженностей. Данные за срок, выходящий из определённого организацией периода, не доступны в автоматическом режиме и могут быть получены в расчётном центре по запросу. Срок хранения данных – неограниченный на период действия договора.</w:t>
      </w:r>
    </w:p>
    <w:p w14:paraId="14FD764A" w14:textId="4F312882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Дублирование возможностей web-ресурса расчётного центра производится путём размещения тонких клиентов в виде терминалов в отделении расчётного центра.</w:t>
      </w:r>
    </w:p>
    <w:p w14:paraId="2BEBE3D0" w14:textId="77777777" w:rsidR="002B6B25" w:rsidRPr="00581F94" w:rsidRDefault="002B6B25" w:rsidP="002B6B25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</w:p>
    <w:p w14:paraId="1A5D8BF4" w14:textId="2AA27698" w:rsidR="000515E4" w:rsidRPr="00581F94" w:rsidRDefault="006829BE" w:rsidP="000515E4">
      <w:p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ab/>
        <w:t>При проектировании системы применяются следующие стандарты:</w:t>
      </w:r>
    </w:p>
    <w:p w14:paraId="5E3E85F4" w14:textId="77777777" w:rsidR="006829BE" w:rsidRPr="00581F94" w:rsidRDefault="006829BE" w:rsidP="006829BE">
      <w:pPr>
        <w:pStyle w:val="a3"/>
        <w:numPr>
          <w:ilvl w:val="0"/>
          <w:numId w:val="9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ГОСТ 34.601-90 - распространяется на автоматизированные системы и устанавливает стадии и этапы их создания. Кроме того, в стандарте содержится описание содержания работ на каждом этапе. Стадии и этапы работы, закрепленные в стандарте, в большей степени соответствуют каскадной модели жизненного цикла;</w:t>
      </w:r>
    </w:p>
    <w:p w14:paraId="1FA5D64E" w14:textId="77777777" w:rsidR="006829BE" w:rsidRPr="00581F94" w:rsidRDefault="006829BE" w:rsidP="006829BE">
      <w:pPr>
        <w:pStyle w:val="a3"/>
        <w:numPr>
          <w:ilvl w:val="0"/>
          <w:numId w:val="9"/>
        </w:num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 xml:space="preserve">ISO/IEC 12207:1995 - </w:t>
      </w:r>
      <w:r w:rsidRPr="00581F94">
        <w:rPr>
          <w:rFonts w:ascii="Times New Roman" w:eastAsia="Helvetica" w:hAnsi="Times New Roman" w:cs="Times New Roman"/>
          <w:sz w:val="28"/>
        </w:rPr>
        <w:t>стандарт на процессы и организацию жизненного цикла. Распространяется на все виды заказного ПО. Стандарт не содержит описания фаз, стадий и этапов.</w:t>
      </w:r>
    </w:p>
    <w:p w14:paraId="1954B290" w14:textId="77777777" w:rsidR="006829BE" w:rsidRPr="00581F94" w:rsidRDefault="006829BE" w:rsidP="006829BE">
      <w:pPr>
        <w:jc w:val="both"/>
        <w:rPr>
          <w:rFonts w:ascii="Times New Roman" w:eastAsia="Helvetica" w:hAnsi="Times New Roman" w:cs="Times New Roman"/>
          <w:sz w:val="28"/>
        </w:rPr>
      </w:pPr>
    </w:p>
    <w:p w14:paraId="5CF7EAB8" w14:textId="47463637" w:rsidR="006829BE" w:rsidRPr="00581F94" w:rsidRDefault="006829BE" w:rsidP="006829BE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Составим модель жизненного цикла для реализации проекта (рис. 1.1).</w:t>
      </w:r>
    </w:p>
    <w:p w14:paraId="1C520A39" w14:textId="77777777" w:rsidR="006829BE" w:rsidRPr="00581F94" w:rsidRDefault="006829BE" w:rsidP="006829BE">
      <w:pPr>
        <w:ind w:firstLine="709"/>
        <w:jc w:val="both"/>
        <w:rPr>
          <w:rFonts w:ascii="Times New Roman" w:eastAsia="Helvetica" w:hAnsi="Times New Roman" w:cs="Times New Roman"/>
          <w:sz w:val="28"/>
        </w:rPr>
      </w:pPr>
    </w:p>
    <w:p w14:paraId="6152F9CE" w14:textId="56A62880" w:rsidR="006829BE" w:rsidRPr="00581F94" w:rsidRDefault="006829BE" w:rsidP="006829BE">
      <w:pPr>
        <w:jc w:val="center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noProof/>
          <w:sz w:val="28"/>
          <w:lang w:eastAsia="ru-RU"/>
        </w:rPr>
        <w:drawing>
          <wp:inline distT="0" distB="0" distL="0" distR="0" wp14:anchorId="2C154A3E" wp14:editId="2F8AAF87">
            <wp:extent cx="4275909" cy="3713641"/>
            <wp:effectExtent l="0" t="0" r="0" b="0"/>
            <wp:docPr id="10" name="Изображение 10" descr="../../../../Desktop/Снимок%20экрана%202017-09-27%20в%2022.31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Снимок%20экрана%202017-09-27%20в%2022.31.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37" cy="371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91A0" w14:textId="5E91D981" w:rsidR="006829BE" w:rsidRPr="00581F94" w:rsidRDefault="006829BE" w:rsidP="006829BE">
      <w:pPr>
        <w:jc w:val="center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>Рисунок 1.1 – Модель жизненного цикла</w:t>
      </w:r>
    </w:p>
    <w:p w14:paraId="125EF6D0" w14:textId="77777777" w:rsidR="006829BE" w:rsidRPr="00581F94" w:rsidRDefault="006829BE" w:rsidP="006829BE">
      <w:pPr>
        <w:jc w:val="center"/>
        <w:rPr>
          <w:rFonts w:ascii="Times New Roman" w:eastAsia="Helvetica" w:hAnsi="Times New Roman" w:cs="Times New Roman"/>
          <w:sz w:val="28"/>
        </w:rPr>
      </w:pPr>
    </w:p>
    <w:p w14:paraId="602F55B0" w14:textId="2FEFF1C1" w:rsidR="006829BE" w:rsidRPr="00581F94" w:rsidRDefault="006829BE" w:rsidP="006829BE">
      <w:pPr>
        <w:jc w:val="both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sz w:val="28"/>
        </w:rPr>
        <w:tab/>
        <w:t>С целью определения работ по реализации проекта составим структурную декомпозицию работ проекта (рис 1.2).</w:t>
      </w:r>
    </w:p>
    <w:p w14:paraId="12F72FC2" w14:textId="77777777" w:rsidR="006829BE" w:rsidRPr="00581F94" w:rsidRDefault="006829BE" w:rsidP="006829BE">
      <w:pPr>
        <w:jc w:val="both"/>
        <w:rPr>
          <w:rFonts w:ascii="Times New Roman" w:eastAsia="Helvetica" w:hAnsi="Times New Roman" w:cs="Times New Roman"/>
          <w:sz w:val="28"/>
        </w:rPr>
      </w:pPr>
    </w:p>
    <w:p w14:paraId="3BA36C84" w14:textId="77777777" w:rsidR="006829BE" w:rsidRPr="00581F94" w:rsidRDefault="006829BE" w:rsidP="006829BE">
      <w:pPr>
        <w:jc w:val="both"/>
        <w:rPr>
          <w:rFonts w:ascii="Times New Roman" w:eastAsia="Helvetica" w:hAnsi="Times New Roman" w:cs="Times New Roman"/>
          <w:sz w:val="28"/>
        </w:rPr>
        <w:sectPr w:rsidR="006829BE" w:rsidRPr="00581F94" w:rsidSect="007E0F3E">
          <w:footerReference w:type="even" r:id="rId8"/>
          <w:footerReference w:type="default" r:id="rId9"/>
          <w:pgSz w:w="11900" w:h="16840"/>
          <w:pgMar w:top="851" w:right="567" w:bottom="851" w:left="1418" w:header="709" w:footer="709" w:gutter="0"/>
          <w:cols w:space="708"/>
          <w:docGrid w:linePitch="360"/>
        </w:sectPr>
      </w:pPr>
    </w:p>
    <w:p w14:paraId="5BDDA795" w14:textId="77777777" w:rsidR="006829BE" w:rsidRPr="00581F94" w:rsidRDefault="006829BE" w:rsidP="006829BE">
      <w:pPr>
        <w:ind w:right="-30"/>
        <w:jc w:val="center"/>
        <w:rPr>
          <w:rFonts w:ascii="Times New Roman" w:eastAsia="Helvetica" w:hAnsi="Times New Roman" w:cs="Times New Roman"/>
          <w:sz w:val="28"/>
        </w:rPr>
      </w:pPr>
      <w:r w:rsidRPr="00581F94">
        <w:rPr>
          <w:rFonts w:ascii="Times New Roman" w:eastAsia="Helvetica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D36F806" wp14:editId="4F456BA0">
            <wp:extent cx="9632775" cy="3448951"/>
            <wp:effectExtent l="0" t="0" r="0" b="571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0389" cy="34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C972" w14:textId="77777777" w:rsidR="006829BE" w:rsidRPr="00581F94" w:rsidRDefault="006829BE" w:rsidP="006829BE">
      <w:pPr>
        <w:ind w:right="-30"/>
        <w:jc w:val="center"/>
        <w:rPr>
          <w:rFonts w:ascii="Times New Roman" w:eastAsia="Helvetica" w:hAnsi="Times New Roman" w:cs="Times New Roman"/>
          <w:sz w:val="28"/>
        </w:rPr>
      </w:pPr>
    </w:p>
    <w:p w14:paraId="668D869B" w14:textId="7F4A2FF3" w:rsidR="006829BE" w:rsidRPr="00581F94" w:rsidRDefault="006829BE" w:rsidP="006829BE">
      <w:pPr>
        <w:ind w:right="-30"/>
        <w:jc w:val="center"/>
        <w:rPr>
          <w:rFonts w:ascii="Times New Roman" w:eastAsia="Helvetica" w:hAnsi="Times New Roman" w:cs="Times New Roman"/>
          <w:sz w:val="28"/>
        </w:rPr>
        <w:sectPr w:rsidR="006829BE" w:rsidRPr="00581F94" w:rsidSect="007E0F3E">
          <w:headerReference w:type="first" r:id="rId11"/>
          <w:pgSz w:w="16840" w:h="11900" w:orient="landscape"/>
          <w:pgMar w:top="1418" w:right="851" w:bottom="567" w:left="851" w:header="709" w:footer="709" w:gutter="0"/>
          <w:cols w:space="708"/>
          <w:docGrid w:linePitch="360"/>
        </w:sectPr>
      </w:pPr>
      <w:r w:rsidRPr="00581F94">
        <w:rPr>
          <w:rFonts w:ascii="Times New Roman" w:eastAsia="Helvetica" w:hAnsi="Times New Roman" w:cs="Times New Roman"/>
          <w:sz w:val="28"/>
        </w:rPr>
        <w:t>Рисунок 1.2 – Структурная декомпозиция проект</w:t>
      </w:r>
    </w:p>
    <w:p w14:paraId="11CED660" w14:textId="77777777" w:rsidR="000515E4" w:rsidRPr="00581F94" w:rsidRDefault="000515E4" w:rsidP="000515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lastRenderedPageBreak/>
        <w:t>Отчёт о выполнении задания на лабораторную работу</w:t>
      </w:r>
    </w:p>
    <w:p w14:paraId="01A5C560" w14:textId="5DE262F8" w:rsidR="00FA6A0B" w:rsidRPr="00581F94" w:rsidRDefault="00FA6A0B" w:rsidP="00FA6A0B">
      <w:pPr>
        <w:ind w:left="360"/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 xml:space="preserve">Для выбора используемого </w:t>
      </w:r>
      <w:r w:rsidRPr="00581F94">
        <w:rPr>
          <w:rFonts w:ascii="Times New Roman" w:hAnsi="Times New Roman" w:cs="Times New Roman"/>
          <w:sz w:val="28"/>
          <w:lang w:val="en-US"/>
        </w:rPr>
        <w:t>CASE</w:t>
      </w:r>
      <w:r w:rsidRPr="00581F94">
        <w:rPr>
          <w:rFonts w:ascii="Times New Roman" w:hAnsi="Times New Roman" w:cs="Times New Roman"/>
          <w:sz w:val="28"/>
        </w:rPr>
        <w:t>–средства воспользуемся их сравнительной характеристикой, приведённой в таблице 2.1.</w:t>
      </w:r>
    </w:p>
    <w:p w14:paraId="64BD93C1" w14:textId="77777777" w:rsidR="00FA6A0B" w:rsidRPr="00581F94" w:rsidRDefault="00FA6A0B" w:rsidP="00FA6A0B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554B3354" w14:textId="77777777" w:rsidR="005C5B7E" w:rsidRPr="00581F94" w:rsidRDefault="005C5B7E" w:rsidP="000515E4">
      <w:pPr>
        <w:jc w:val="both"/>
        <w:rPr>
          <w:rFonts w:ascii="Times New Roman" w:hAnsi="Times New Roman" w:cs="Times New Roman"/>
          <w:sz w:val="28"/>
          <w:lang w:val="en-US"/>
        </w:rPr>
      </w:pPr>
      <w:r w:rsidRPr="00581F94">
        <w:rPr>
          <w:rFonts w:ascii="Times New Roman" w:hAnsi="Times New Roman" w:cs="Times New Roman"/>
          <w:sz w:val="28"/>
        </w:rPr>
        <w:t xml:space="preserve">Таблица 2.1. Сравнительная характеристика </w:t>
      </w:r>
      <w:r w:rsidRPr="00581F94">
        <w:rPr>
          <w:rFonts w:ascii="Times New Roman" w:hAnsi="Times New Roman" w:cs="Times New Roman"/>
          <w:sz w:val="28"/>
          <w:lang w:val="en-US"/>
        </w:rPr>
        <w:t>CASE-</w:t>
      </w:r>
      <w:r w:rsidRPr="00581F94">
        <w:rPr>
          <w:rFonts w:ascii="Times New Roman" w:hAnsi="Times New Roman" w:cs="Times New Roman"/>
          <w:sz w:val="28"/>
        </w:rPr>
        <w:t>средств планирования и управления проектами.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4"/>
        <w:gridCol w:w="1579"/>
        <w:gridCol w:w="1354"/>
        <w:gridCol w:w="1191"/>
        <w:gridCol w:w="1624"/>
        <w:gridCol w:w="1243"/>
      </w:tblGrid>
      <w:tr w:rsidR="000515E4" w:rsidRPr="00581F94" w14:paraId="0A5FB082" w14:textId="77777777" w:rsidTr="000515E4">
        <w:tc>
          <w:tcPr>
            <w:tcW w:w="2913" w:type="dxa"/>
          </w:tcPr>
          <w:p w14:paraId="40FCFF4C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Функционал</w:t>
            </w:r>
            <w:r w:rsidRPr="00581F94">
              <w:rPr>
                <w:rFonts w:ascii="Times New Roman" w:hAnsi="Times New Roman" w:cs="Times New Roman"/>
                <w:sz w:val="28"/>
                <w:lang w:val="en-US"/>
              </w:rPr>
              <w:t>\</w:t>
            </w:r>
            <w:r w:rsidRPr="00581F94"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1594" w:type="dxa"/>
          </w:tcPr>
          <w:p w14:paraId="44DAE206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581F94">
              <w:rPr>
                <w:rFonts w:ascii="Times New Roman" w:hAnsi="Times New Roman" w:cs="Times New Roman"/>
                <w:sz w:val="28"/>
                <w:lang w:val="en-US"/>
              </w:rPr>
              <w:t>OpenProj</w:t>
            </w:r>
          </w:p>
        </w:tc>
        <w:tc>
          <w:tcPr>
            <w:tcW w:w="1377" w:type="dxa"/>
          </w:tcPr>
          <w:p w14:paraId="1C1DCABC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Trello</w:t>
            </w:r>
          </w:p>
        </w:tc>
        <w:tc>
          <w:tcPr>
            <w:tcW w:w="1220" w:type="dxa"/>
          </w:tcPr>
          <w:p w14:paraId="3DF75DDF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Jira</w:t>
            </w:r>
          </w:p>
        </w:tc>
        <w:tc>
          <w:tcPr>
            <w:tcW w:w="1637" w:type="dxa"/>
          </w:tcPr>
          <w:p w14:paraId="55D90A1A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Basecamp</w:t>
            </w:r>
          </w:p>
        </w:tc>
        <w:tc>
          <w:tcPr>
            <w:tcW w:w="1164" w:type="dxa"/>
          </w:tcPr>
          <w:p w14:paraId="02657C56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HubStaff</w:t>
            </w:r>
          </w:p>
        </w:tc>
      </w:tr>
      <w:tr w:rsidR="000515E4" w:rsidRPr="00581F94" w14:paraId="4709DEF4" w14:textId="77777777" w:rsidTr="000515E4">
        <w:tc>
          <w:tcPr>
            <w:tcW w:w="2913" w:type="dxa"/>
          </w:tcPr>
          <w:p w14:paraId="140326BA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 xml:space="preserve"> Диаграмма Ганта </w:t>
            </w:r>
          </w:p>
        </w:tc>
        <w:tc>
          <w:tcPr>
            <w:tcW w:w="1594" w:type="dxa"/>
          </w:tcPr>
          <w:p w14:paraId="57F15A38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377" w:type="dxa"/>
          </w:tcPr>
          <w:p w14:paraId="611EEAD3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220" w:type="dxa"/>
          </w:tcPr>
          <w:p w14:paraId="7A2385F4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637" w:type="dxa"/>
          </w:tcPr>
          <w:p w14:paraId="3FD6D1A9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164" w:type="dxa"/>
          </w:tcPr>
          <w:p w14:paraId="2F360927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0515E4" w:rsidRPr="00581F94" w14:paraId="75533A40" w14:textId="77777777" w:rsidTr="000515E4">
        <w:tc>
          <w:tcPr>
            <w:tcW w:w="2913" w:type="dxa"/>
          </w:tcPr>
          <w:p w14:paraId="60BB22E9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Бэклог</w:t>
            </w:r>
          </w:p>
        </w:tc>
        <w:tc>
          <w:tcPr>
            <w:tcW w:w="1594" w:type="dxa"/>
          </w:tcPr>
          <w:p w14:paraId="0637308C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377" w:type="dxa"/>
          </w:tcPr>
          <w:p w14:paraId="0E4E0D8E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220" w:type="dxa"/>
          </w:tcPr>
          <w:p w14:paraId="636AB7E2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637" w:type="dxa"/>
          </w:tcPr>
          <w:p w14:paraId="101D34E4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164" w:type="dxa"/>
          </w:tcPr>
          <w:p w14:paraId="4B82D5DC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</w:tr>
      <w:tr w:rsidR="000515E4" w:rsidRPr="00581F94" w14:paraId="25D99687" w14:textId="77777777" w:rsidTr="000515E4">
        <w:tc>
          <w:tcPr>
            <w:tcW w:w="2913" w:type="dxa"/>
          </w:tcPr>
          <w:p w14:paraId="14EEA795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Расчёт расходов</w:t>
            </w:r>
          </w:p>
        </w:tc>
        <w:tc>
          <w:tcPr>
            <w:tcW w:w="1594" w:type="dxa"/>
          </w:tcPr>
          <w:p w14:paraId="229FBC33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377" w:type="dxa"/>
          </w:tcPr>
          <w:p w14:paraId="6503A56D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220" w:type="dxa"/>
          </w:tcPr>
          <w:p w14:paraId="57EE2994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637" w:type="dxa"/>
          </w:tcPr>
          <w:p w14:paraId="66BDEA94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4" w:type="dxa"/>
          </w:tcPr>
          <w:p w14:paraId="1EDD2B79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0515E4" w:rsidRPr="00581F94" w14:paraId="53A1072D" w14:textId="77777777" w:rsidTr="000515E4">
        <w:tc>
          <w:tcPr>
            <w:tcW w:w="2913" w:type="dxa"/>
          </w:tcPr>
          <w:p w14:paraId="27707D28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Учёт времени</w:t>
            </w:r>
          </w:p>
        </w:tc>
        <w:tc>
          <w:tcPr>
            <w:tcW w:w="1594" w:type="dxa"/>
          </w:tcPr>
          <w:p w14:paraId="217E1F48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377" w:type="dxa"/>
          </w:tcPr>
          <w:p w14:paraId="7E82C606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220" w:type="dxa"/>
          </w:tcPr>
          <w:p w14:paraId="79F3CF35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637" w:type="dxa"/>
          </w:tcPr>
          <w:p w14:paraId="19612E59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164" w:type="dxa"/>
          </w:tcPr>
          <w:p w14:paraId="403BDD2E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0515E4" w:rsidRPr="00581F94" w14:paraId="4BAECE3A" w14:textId="77777777" w:rsidTr="000515E4">
        <w:tc>
          <w:tcPr>
            <w:tcW w:w="2913" w:type="dxa"/>
          </w:tcPr>
          <w:p w14:paraId="639D1E8A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  <w:lang w:val="en-US"/>
              </w:rPr>
              <w:t xml:space="preserve">PERT </w:t>
            </w:r>
            <w:r w:rsidRPr="00581F94">
              <w:rPr>
                <w:rFonts w:ascii="Times New Roman" w:hAnsi="Times New Roman" w:cs="Times New Roman"/>
                <w:sz w:val="28"/>
              </w:rPr>
              <w:t>диаграмма</w:t>
            </w:r>
          </w:p>
        </w:tc>
        <w:tc>
          <w:tcPr>
            <w:tcW w:w="1594" w:type="dxa"/>
          </w:tcPr>
          <w:p w14:paraId="1DA98221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377" w:type="dxa"/>
          </w:tcPr>
          <w:p w14:paraId="0AF1F858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220" w:type="dxa"/>
          </w:tcPr>
          <w:p w14:paraId="7FD0FEF6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637" w:type="dxa"/>
          </w:tcPr>
          <w:p w14:paraId="0FD23003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  <w:tc>
          <w:tcPr>
            <w:tcW w:w="1164" w:type="dxa"/>
          </w:tcPr>
          <w:p w14:paraId="0D889452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–</w:t>
            </w:r>
          </w:p>
        </w:tc>
      </w:tr>
      <w:tr w:rsidR="000515E4" w:rsidRPr="00581F94" w14:paraId="3C81DFAE" w14:textId="77777777" w:rsidTr="000515E4">
        <w:trPr>
          <w:trHeight w:val="355"/>
        </w:trPr>
        <w:tc>
          <w:tcPr>
            <w:tcW w:w="2913" w:type="dxa"/>
          </w:tcPr>
          <w:p w14:paraId="0C2A6901" w14:textId="77777777" w:rsidR="000515E4" w:rsidRPr="00581F94" w:rsidRDefault="000515E4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Установление сроков</w:t>
            </w:r>
          </w:p>
        </w:tc>
        <w:tc>
          <w:tcPr>
            <w:tcW w:w="1594" w:type="dxa"/>
          </w:tcPr>
          <w:p w14:paraId="520B0E59" w14:textId="77777777" w:rsidR="000515E4" w:rsidRPr="00581F94" w:rsidRDefault="005C5B7E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377" w:type="dxa"/>
          </w:tcPr>
          <w:p w14:paraId="0D325503" w14:textId="77777777" w:rsidR="000515E4" w:rsidRPr="00581F94" w:rsidRDefault="005C5B7E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220" w:type="dxa"/>
          </w:tcPr>
          <w:p w14:paraId="5EF3FE0C" w14:textId="77777777" w:rsidR="000515E4" w:rsidRPr="00581F94" w:rsidRDefault="005C5B7E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637" w:type="dxa"/>
          </w:tcPr>
          <w:p w14:paraId="516607C5" w14:textId="77777777" w:rsidR="000515E4" w:rsidRPr="00581F94" w:rsidRDefault="005C5B7E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164" w:type="dxa"/>
          </w:tcPr>
          <w:p w14:paraId="5245029B" w14:textId="77777777" w:rsidR="000515E4" w:rsidRPr="00581F94" w:rsidRDefault="005C5B7E" w:rsidP="000515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81F94"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</w:tbl>
    <w:p w14:paraId="5D6EFB36" w14:textId="77777777" w:rsidR="000515E4" w:rsidRPr="00581F94" w:rsidRDefault="000515E4" w:rsidP="000515E4">
      <w:pPr>
        <w:jc w:val="both"/>
        <w:rPr>
          <w:rFonts w:ascii="Times New Roman" w:hAnsi="Times New Roman" w:cs="Times New Roman"/>
          <w:sz w:val="28"/>
        </w:rPr>
      </w:pPr>
    </w:p>
    <w:p w14:paraId="50FBBE3A" w14:textId="5E8A04EC" w:rsidR="00FA6A0B" w:rsidRPr="00581F94" w:rsidRDefault="00FA6A0B" w:rsidP="000515E4">
      <w:p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ab/>
        <w:t xml:space="preserve">Наиболее подходящим является </w:t>
      </w:r>
      <w:r w:rsidRPr="00581F94">
        <w:rPr>
          <w:rFonts w:ascii="Times New Roman" w:hAnsi="Times New Roman" w:cs="Times New Roman"/>
          <w:sz w:val="28"/>
          <w:lang w:val="en-US"/>
        </w:rPr>
        <w:t>OpenProj</w:t>
      </w:r>
      <w:r w:rsidRPr="00581F94">
        <w:rPr>
          <w:rFonts w:ascii="Times New Roman" w:hAnsi="Times New Roman" w:cs="Times New Roman"/>
          <w:sz w:val="28"/>
        </w:rPr>
        <w:t xml:space="preserve"> – свободное ПО для планирования и управления проектами. Он позволяет строить диаграммы Ганта, учитывать задействованные в работах ресурсы, рассчитывать сроки и требуемое время выполнения работ, затраченные средства.</w:t>
      </w:r>
    </w:p>
    <w:p w14:paraId="4D194C1E" w14:textId="4F5DD3C6" w:rsidR="00FA6A0B" w:rsidRPr="00581F94" w:rsidRDefault="00FA6A0B" w:rsidP="000515E4">
      <w:p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ab/>
        <w:t xml:space="preserve">Составим список требуемых работ и их сроки (рис. 2.1). По составленному плану работ построим диаграмму Ганта (рис. 2.2) и </w:t>
      </w:r>
      <w:r w:rsidRPr="00581F94">
        <w:rPr>
          <w:rFonts w:ascii="Times New Roman" w:hAnsi="Times New Roman" w:cs="Times New Roman"/>
          <w:sz w:val="28"/>
          <w:lang w:val="en-US"/>
        </w:rPr>
        <w:t>PERT</w:t>
      </w:r>
      <w:r w:rsidRPr="00581F94">
        <w:rPr>
          <w:rFonts w:ascii="Times New Roman" w:hAnsi="Times New Roman" w:cs="Times New Roman"/>
          <w:sz w:val="28"/>
        </w:rPr>
        <w:t>-диаграмму (рис. 2.3).</w:t>
      </w:r>
    </w:p>
    <w:p w14:paraId="6FEBAC65" w14:textId="77777777" w:rsidR="00FA6A0B" w:rsidRPr="00581F94" w:rsidRDefault="00FA6A0B" w:rsidP="000515E4">
      <w:pPr>
        <w:jc w:val="both"/>
        <w:rPr>
          <w:rFonts w:ascii="Times New Roman" w:hAnsi="Times New Roman" w:cs="Times New Roman"/>
          <w:sz w:val="28"/>
        </w:rPr>
      </w:pPr>
    </w:p>
    <w:p w14:paraId="48EBD433" w14:textId="54F5F6E5" w:rsidR="00FA6A0B" w:rsidRPr="00581F94" w:rsidRDefault="00FA6A0B" w:rsidP="00FA6A0B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38DE76" wp14:editId="02F90A19">
            <wp:extent cx="5434421" cy="1692464"/>
            <wp:effectExtent l="0" t="0" r="1270" b="9525"/>
            <wp:docPr id="2" name="Изображение 2" descr="../../../../Desktop/ЖКХ-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ЖКХ-Работ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12" cy="16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80A3" w14:textId="3ED10C4C" w:rsidR="00FA6A0B" w:rsidRPr="00581F94" w:rsidRDefault="00FA6A0B" w:rsidP="00FA6A0B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Рисунок 2.1 – Список работ проекта</w:t>
      </w:r>
    </w:p>
    <w:p w14:paraId="63B200AE" w14:textId="77777777" w:rsidR="00FA6A0B" w:rsidRPr="00581F94" w:rsidRDefault="00FA6A0B" w:rsidP="000515E4">
      <w:pPr>
        <w:jc w:val="both"/>
        <w:rPr>
          <w:rFonts w:ascii="Times New Roman" w:hAnsi="Times New Roman" w:cs="Times New Roman"/>
          <w:sz w:val="28"/>
        </w:rPr>
      </w:pPr>
    </w:p>
    <w:p w14:paraId="523D572A" w14:textId="6F24638F" w:rsidR="00FA6A0B" w:rsidRPr="00581F94" w:rsidRDefault="00FA6A0B" w:rsidP="00FA6A0B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D331AA" wp14:editId="261FFE6C">
            <wp:extent cx="5891621" cy="1212928"/>
            <wp:effectExtent l="0" t="0" r="1270" b="6350"/>
            <wp:docPr id="1" name="Изображение 1" descr="../../../../Desktop/ЖКХ-Га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ЖКХ-Ганта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82" cy="121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4121" w14:textId="4E811412" w:rsidR="000515E4" w:rsidRPr="00581F94" w:rsidRDefault="00FA6A0B" w:rsidP="00FA6A0B">
      <w:pPr>
        <w:contextualSpacing/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Рисунок 2.2 – Диаграмма Ганта</w:t>
      </w:r>
    </w:p>
    <w:p w14:paraId="74D18776" w14:textId="77777777" w:rsidR="00FA6A0B" w:rsidRPr="00581F94" w:rsidRDefault="00FA6A0B" w:rsidP="00FA6A0B">
      <w:pPr>
        <w:contextualSpacing/>
        <w:jc w:val="center"/>
        <w:rPr>
          <w:rFonts w:ascii="Times New Roman" w:hAnsi="Times New Roman" w:cs="Times New Roman"/>
          <w:sz w:val="28"/>
        </w:rPr>
      </w:pPr>
    </w:p>
    <w:p w14:paraId="2546C17D" w14:textId="7D249DFE" w:rsidR="00FA6A0B" w:rsidRPr="00581F94" w:rsidRDefault="00FA6A0B" w:rsidP="00FA6A0B">
      <w:pPr>
        <w:contextualSpacing/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46AA1ED" wp14:editId="510D18D9">
            <wp:extent cx="6044021" cy="1547450"/>
            <wp:effectExtent l="0" t="0" r="1270" b="2540"/>
            <wp:docPr id="3" name="Изображение 3" descr="../../../../Desktop/ЖКХ-Се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ЖКХ-Сет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362" cy="15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20AC" w14:textId="151F361F" w:rsidR="00FA6A0B" w:rsidRPr="00581F94" w:rsidRDefault="00FA6A0B" w:rsidP="00FA6A0B">
      <w:pPr>
        <w:contextualSpacing/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 xml:space="preserve">Рисунок 2.3 – </w:t>
      </w:r>
      <w:r w:rsidRPr="00581F94">
        <w:rPr>
          <w:rFonts w:ascii="Times New Roman" w:hAnsi="Times New Roman" w:cs="Times New Roman"/>
          <w:sz w:val="28"/>
          <w:lang w:val="en-US"/>
        </w:rPr>
        <w:t>PERT</w:t>
      </w:r>
      <w:r w:rsidRPr="00581F94">
        <w:rPr>
          <w:rFonts w:ascii="Times New Roman" w:hAnsi="Times New Roman" w:cs="Times New Roman"/>
          <w:sz w:val="28"/>
        </w:rPr>
        <w:t>-диаграмма</w:t>
      </w:r>
    </w:p>
    <w:p w14:paraId="620C618E" w14:textId="77777777" w:rsidR="00FA6A0B" w:rsidRPr="00581F94" w:rsidRDefault="00FA6A0B" w:rsidP="00FA6A0B">
      <w:pPr>
        <w:contextualSpacing/>
        <w:jc w:val="center"/>
        <w:rPr>
          <w:rFonts w:ascii="Times New Roman" w:hAnsi="Times New Roman" w:cs="Times New Roman"/>
          <w:sz w:val="28"/>
        </w:rPr>
      </w:pPr>
    </w:p>
    <w:p w14:paraId="0625C89E" w14:textId="355D5529" w:rsidR="00FA6A0B" w:rsidRPr="00581F94" w:rsidRDefault="00FA6A0B" w:rsidP="00FA6A0B">
      <w:pPr>
        <w:contextualSpacing/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ab/>
        <w:t xml:space="preserve">Для указанных работ сформированы следующие отчёты в </w:t>
      </w:r>
      <w:r w:rsidRPr="00581F94">
        <w:rPr>
          <w:rFonts w:ascii="Times New Roman" w:hAnsi="Times New Roman" w:cs="Times New Roman"/>
          <w:sz w:val="28"/>
          <w:lang w:val="en-US"/>
        </w:rPr>
        <w:t>OpenProj</w:t>
      </w:r>
      <w:r w:rsidRPr="00581F94">
        <w:rPr>
          <w:rFonts w:ascii="Times New Roman" w:hAnsi="Times New Roman" w:cs="Times New Roman"/>
          <w:sz w:val="28"/>
        </w:rPr>
        <w:t>:</w:t>
      </w:r>
    </w:p>
    <w:p w14:paraId="5898D47F" w14:textId="2F5C19AF" w:rsidR="00FA6A0B" w:rsidRPr="00581F94" w:rsidRDefault="00FA6A0B" w:rsidP="00FA6A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Общий отчёт по проекту (рис 2.4);</w:t>
      </w:r>
    </w:p>
    <w:p w14:paraId="31AF7652" w14:textId="77777777" w:rsidR="00FA6A0B" w:rsidRPr="00581F94" w:rsidRDefault="00FA6A0B" w:rsidP="00FA6A0B">
      <w:pPr>
        <w:jc w:val="both"/>
        <w:rPr>
          <w:rFonts w:ascii="Times New Roman" w:hAnsi="Times New Roman" w:cs="Times New Roman"/>
          <w:sz w:val="28"/>
        </w:rPr>
      </w:pPr>
    </w:p>
    <w:p w14:paraId="77775FA1" w14:textId="60D6F1C2" w:rsidR="00FA6A0B" w:rsidRPr="00581F94" w:rsidRDefault="00FA6A0B" w:rsidP="00FA6A0B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058B3A" wp14:editId="676F3E21">
            <wp:extent cx="3448446" cy="2925354"/>
            <wp:effectExtent l="0" t="0" r="635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471" cy="29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9859" w14:textId="782E3B0E" w:rsidR="00FA6A0B" w:rsidRPr="00581F94" w:rsidRDefault="00FA6A0B" w:rsidP="00FA6A0B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Рисунок 2.4 – Общий отчёт по проекту</w:t>
      </w:r>
    </w:p>
    <w:p w14:paraId="1A643AF4" w14:textId="633D8DC6" w:rsidR="00FA6A0B" w:rsidRPr="00581F94" w:rsidRDefault="002B6B25" w:rsidP="00FA6A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Отчёт об отдельных задачах и их продолжительности (рис 2.5);</w:t>
      </w:r>
    </w:p>
    <w:p w14:paraId="554838E1" w14:textId="77777777" w:rsidR="002B6B25" w:rsidRPr="00581F94" w:rsidRDefault="002B6B25" w:rsidP="002B6B25">
      <w:pPr>
        <w:jc w:val="both"/>
        <w:rPr>
          <w:rFonts w:ascii="Times New Roman" w:hAnsi="Times New Roman" w:cs="Times New Roman"/>
          <w:sz w:val="28"/>
        </w:rPr>
      </w:pPr>
    </w:p>
    <w:p w14:paraId="5DB82455" w14:textId="3A13F29E" w:rsidR="002B6B25" w:rsidRPr="00581F94" w:rsidRDefault="002B6B25" w:rsidP="002B6B25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4F7A61" wp14:editId="5505C865">
            <wp:extent cx="5663021" cy="1718040"/>
            <wp:effectExtent l="0" t="0" r="127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2242" cy="1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22BE" w14:textId="430D72FF" w:rsidR="002B6B25" w:rsidRPr="00581F94" w:rsidRDefault="002B6B25" w:rsidP="002B6B25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Рисунок 2.5 – Отчёт задач</w:t>
      </w:r>
    </w:p>
    <w:p w14:paraId="768C4D31" w14:textId="77777777" w:rsidR="002B6B25" w:rsidRPr="00581F94" w:rsidRDefault="002B6B25" w:rsidP="002B6B25">
      <w:pPr>
        <w:jc w:val="both"/>
        <w:rPr>
          <w:rFonts w:ascii="Times New Roman" w:hAnsi="Times New Roman" w:cs="Times New Roman"/>
          <w:sz w:val="28"/>
        </w:rPr>
      </w:pPr>
    </w:p>
    <w:p w14:paraId="2CF2373B" w14:textId="52080891" w:rsidR="002B6B25" w:rsidRPr="00581F94" w:rsidRDefault="002B6B25" w:rsidP="00FA6A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Отчёт занятости задействованных лиц (рис 2.6).</w:t>
      </w:r>
    </w:p>
    <w:p w14:paraId="5ACEFE8B" w14:textId="77777777" w:rsidR="002B6B25" w:rsidRPr="00581F94" w:rsidRDefault="002B6B25" w:rsidP="002B6B25">
      <w:pPr>
        <w:jc w:val="both"/>
        <w:rPr>
          <w:rFonts w:ascii="Times New Roman" w:hAnsi="Times New Roman" w:cs="Times New Roman"/>
          <w:sz w:val="28"/>
        </w:rPr>
      </w:pPr>
    </w:p>
    <w:p w14:paraId="6DB06E58" w14:textId="46A4BE67" w:rsidR="002B6B25" w:rsidRPr="00581F94" w:rsidRDefault="002B6B25" w:rsidP="002B6B25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9293F13" wp14:editId="4E641FED">
            <wp:extent cx="4857478" cy="2731749"/>
            <wp:effectExtent l="0" t="0" r="0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255" cy="27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1E5D" w14:textId="18E8ADA8" w:rsidR="002B6B25" w:rsidRPr="00581F94" w:rsidRDefault="002B6B25" w:rsidP="002B6B25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5ACFFD" wp14:editId="2D52596B">
            <wp:extent cx="4824821" cy="3072995"/>
            <wp:effectExtent l="0" t="0" r="1270" b="6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3790" cy="30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AC53" w14:textId="761DF6A7" w:rsidR="002B6B25" w:rsidRPr="00581F94" w:rsidRDefault="002B6B25" w:rsidP="002B6B25">
      <w:pPr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>Рисунок 2.6 – Отчёт занятости</w:t>
      </w:r>
    </w:p>
    <w:p w14:paraId="22D741CB" w14:textId="59E5BDB4" w:rsidR="002B6B25" w:rsidRPr="00581F94" w:rsidRDefault="002B6B25">
      <w:pPr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br w:type="page"/>
      </w:r>
    </w:p>
    <w:p w14:paraId="3703C211" w14:textId="77777777" w:rsidR="000515E4" w:rsidRPr="00581F94" w:rsidRDefault="000515E4" w:rsidP="000515E4">
      <w:pPr>
        <w:contextualSpacing/>
        <w:jc w:val="center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lastRenderedPageBreak/>
        <w:t>Выводы</w:t>
      </w:r>
    </w:p>
    <w:p w14:paraId="2638DE4B" w14:textId="77777777" w:rsidR="000515E4" w:rsidRPr="00581F94" w:rsidRDefault="000515E4" w:rsidP="000515E4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6EB4AE19" w14:textId="186B7FDE" w:rsidR="000515E4" w:rsidRPr="00581F94" w:rsidRDefault="007E0F3E" w:rsidP="000515E4">
      <w:pPr>
        <w:contextualSpacing/>
        <w:jc w:val="both"/>
        <w:rPr>
          <w:rFonts w:ascii="Times New Roman" w:hAnsi="Times New Roman" w:cs="Times New Roman"/>
          <w:sz w:val="28"/>
        </w:rPr>
      </w:pPr>
      <w:r w:rsidRPr="00581F94">
        <w:rPr>
          <w:rFonts w:ascii="Times New Roman" w:hAnsi="Times New Roman" w:cs="Times New Roman"/>
          <w:sz w:val="28"/>
        </w:rPr>
        <w:tab/>
        <w:t>В ходе выполнения практического и лабораторного задания был проведён анализ предметной области по варианту, выбраны стандарты, регулирующие разработку проектов в этой области. Определена модель жизненного цикла и проведена структурная декомпозиция работ проекта. Дл</w:t>
      </w:r>
      <w:r w:rsidR="00D4228F" w:rsidRPr="00581F94">
        <w:rPr>
          <w:rFonts w:ascii="Times New Roman" w:hAnsi="Times New Roman" w:cs="Times New Roman"/>
          <w:sz w:val="28"/>
        </w:rPr>
        <w:t xml:space="preserve">я дальнейшего планирования было проведено сравнение существующих  </w:t>
      </w:r>
      <w:r w:rsidR="00D4228F" w:rsidRPr="00581F94">
        <w:rPr>
          <w:rFonts w:ascii="Times New Roman" w:hAnsi="Times New Roman" w:cs="Times New Roman"/>
          <w:sz w:val="28"/>
          <w:lang w:val="en-US"/>
        </w:rPr>
        <w:t>CASE</w:t>
      </w:r>
      <w:r w:rsidR="00D4228F" w:rsidRPr="00581F94">
        <w:rPr>
          <w:rFonts w:ascii="Times New Roman" w:hAnsi="Times New Roman" w:cs="Times New Roman"/>
          <w:sz w:val="28"/>
        </w:rPr>
        <w:t xml:space="preserve">-средств, сведённое в сравнительной таблице. Выбрав подходящее </w:t>
      </w:r>
      <w:r w:rsidR="00D4228F" w:rsidRPr="00581F94">
        <w:rPr>
          <w:rFonts w:ascii="Times New Roman" w:hAnsi="Times New Roman" w:cs="Times New Roman"/>
          <w:sz w:val="28"/>
          <w:lang w:val="en-US"/>
        </w:rPr>
        <w:t>CASE</w:t>
      </w:r>
      <w:r w:rsidR="00D4228F" w:rsidRPr="00581F94">
        <w:rPr>
          <w:rFonts w:ascii="Times New Roman" w:hAnsi="Times New Roman" w:cs="Times New Roman"/>
          <w:sz w:val="28"/>
        </w:rPr>
        <w:t xml:space="preserve">-средство были распланированы работы, составлена диаграмма Ганта и </w:t>
      </w:r>
      <w:r w:rsidR="00D4228F" w:rsidRPr="00581F94">
        <w:rPr>
          <w:rFonts w:ascii="Times New Roman" w:hAnsi="Times New Roman" w:cs="Times New Roman"/>
          <w:sz w:val="28"/>
          <w:lang w:val="en-US"/>
        </w:rPr>
        <w:t>PERT</w:t>
      </w:r>
      <w:r w:rsidR="00D4228F" w:rsidRPr="00581F94">
        <w:rPr>
          <w:rFonts w:ascii="Times New Roman" w:hAnsi="Times New Roman" w:cs="Times New Roman"/>
          <w:sz w:val="28"/>
        </w:rPr>
        <w:t>-диаграмма, получены отчёты о времени и стоимости проекта, занятости в нём заинтересованных лиц, а также длительности и сроках запланированных работ.</w:t>
      </w:r>
    </w:p>
    <w:sectPr w:rsidR="000515E4" w:rsidRPr="00581F94" w:rsidSect="007E0F3E">
      <w:footerReference w:type="first" r:id="rId19"/>
      <w:pgSz w:w="11900" w:h="16840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B1A30" w14:textId="77777777" w:rsidR="000F000A" w:rsidRDefault="000F000A" w:rsidP="000515E4">
      <w:r>
        <w:separator/>
      </w:r>
    </w:p>
  </w:endnote>
  <w:endnote w:type="continuationSeparator" w:id="0">
    <w:p w14:paraId="3716DC3A" w14:textId="77777777" w:rsidR="000F000A" w:rsidRDefault="000F000A" w:rsidP="0005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37FC1" w14:textId="77777777" w:rsidR="000515E4" w:rsidRDefault="000515E4" w:rsidP="005B345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788EEA6" w14:textId="77777777" w:rsidR="000515E4" w:rsidRDefault="000515E4" w:rsidP="000515E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30824" w14:textId="77777777" w:rsidR="000515E4" w:rsidRDefault="000515E4" w:rsidP="005B345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81F94">
      <w:rPr>
        <w:rStyle w:val="a8"/>
        <w:noProof/>
      </w:rPr>
      <w:t>3</w:t>
    </w:r>
    <w:r>
      <w:rPr>
        <w:rStyle w:val="a8"/>
      </w:rPr>
      <w:fldChar w:fldCharType="end"/>
    </w:r>
  </w:p>
  <w:p w14:paraId="7D9C37C6" w14:textId="77777777" w:rsidR="000515E4" w:rsidRDefault="000515E4" w:rsidP="000515E4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01F77" w14:textId="77777777" w:rsidR="007E0F3E" w:rsidRDefault="007E0F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59583" w14:textId="77777777" w:rsidR="000F000A" w:rsidRDefault="000F000A" w:rsidP="000515E4">
      <w:r>
        <w:separator/>
      </w:r>
    </w:p>
  </w:footnote>
  <w:footnote w:type="continuationSeparator" w:id="0">
    <w:p w14:paraId="79ABA09D" w14:textId="77777777" w:rsidR="000F000A" w:rsidRDefault="000F000A" w:rsidP="00051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13FA5" w14:textId="77777777" w:rsidR="007E0F3E" w:rsidRDefault="007E0F3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4666"/>
    <w:multiLevelType w:val="hybridMultilevel"/>
    <w:tmpl w:val="069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E6980"/>
    <w:multiLevelType w:val="hybridMultilevel"/>
    <w:tmpl w:val="4DFE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F0853"/>
    <w:multiLevelType w:val="hybridMultilevel"/>
    <w:tmpl w:val="02A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A089B"/>
    <w:multiLevelType w:val="hybridMultilevel"/>
    <w:tmpl w:val="ABF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E50F1"/>
    <w:multiLevelType w:val="hybridMultilevel"/>
    <w:tmpl w:val="00F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83E7B"/>
    <w:multiLevelType w:val="hybridMultilevel"/>
    <w:tmpl w:val="64CA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C6FB8"/>
    <w:multiLevelType w:val="hybridMultilevel"/>
    <w:tmpl w:val="792C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B4A6D"/>
    <w:multiLevelType w:val="hybridMultilevel"/>
    <w:tmpl w:val="1332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B40C4"/>
    <w:multiLevelType w:val="hybridMultilevel"/>
    <w:tmpl w:val="D0CE1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E4"/>
    <w:rsid w:val="000515E4"/>
    <w:rsid w:val="000F000A"/>
    <w:rsid w:val="0015699B"/>
    <w:rsid w:val="002B6B25"/>
    <w:rsid w:val="004A344D"/>
    <w:rsid w:val="00581F94"/>
    <w:rsid w:val="005C5B7E"/>
    <w:rsid w:val="006829BE"/>
    <w:rsid w:val="007E0F3E"/>
    <w:rsid w:val="008D4FE9"/>
    <w:rsid w:val="00CC16F4"/>
    <w:rsid w:val="00D4228F"/>
    <w:rsid w:val="00F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EC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justnero</cp:lastModifiedBy>
  <cp:revision>5</cp:revision>
  <dcterms:created xsi:type="dcterms:W3CDTF">2017-09-27T20:17:00Z</dcterms:created>
  <dcterms:modified xsi:type="dcterms:W3CDTF">2017-09-27T21:09:00Z</dcterms:modified>
</cp:coreProperties>
</file>