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C5B8" w14:textId="77777777" w:rsidR="00CC34F2" w:rsidRPr="001A38EC" w:rsidRDefault="00CC34F2" w:rsidP="00CC34F2">
      <w:pPr>
        <w:spacing w:before="119"/>
        <w:ind w:right="380"/>
        <w:jc w:val="center"/>
        <w:rPr>
          <w:rFonts w:ascii="Times New Roman" w:hAnsi="Times New Roman" w:cs="Times New Roman"/>
        </w:rPr>
      </w:pPr>
      <w:bookmarkStart w:id="0" w:name="_Toc135845673"/>
      <w:r w:rsidRPr="001A38EC">
        <w:rPr>
          <w:rFonts w:ascii="Times New Roman" w:hAnsi="Times New Roman" w:cs="Times New Roman"/>
          <w:b/>
          <w:sz w:val="28"/>
        </w:rPr>
        <w:t>МОСКОВСКИЙ ГОСУДАРСТВЕННЫЙ УНИВЕРСИТЕТ ИМЕНИ М. В. ЛОМОНОСОВА</w:t>
      </w:r>
      <w:bookmarkEnd w:id="0"/>
    </w:p>
    <w:p w14:paraId="01BE028F" w14:textId="77777777" w:rsidR="00CC34F2" w:rsidRPr="001A38EC" w:rsidRDefault="00CC34F2" w:rsidP="00CC34F2">
      <w:pPr>
        <w:spacing w:before="119"/>
        <w:ind w:left="473" w:right="380"/>
        <w:jc w:val="center"/>
        <w:rPr>
          <w:rFonts w:ascii="Times New Roman" w:hAnsi="Times New Roman" w:cs="Times New Roman"/>
          <w:b/>
          <w:sz w:val="28"/>
        </w:rPr>
      </w:pPr>
      <w:r w:rsidRPr="001A3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64925A" wp14:editId="524F8254">
                <wp:simplePos x="0" y="0"/>
                <wp:positionH relativeFrom="page">
                  <wp:posOffset>1171575</wp:posOffset>
                </wp:positionH>
                <wp:positionV relativeFrom="paragraph">
                  <wp:posOffset>539115</wp:posOffset>
                </wp:positionV>
                <wp:extent cx="5848350" cy="1270"/>
                <wp:effectExtent l="0" t="0" r="0" b="0"/>
                <wp:wrapTopAndBottom/>
                <wp:docPr id="149435383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1270"/>
                        </a:xfrm>
                        <a:custGeom>
                          <a:avLst/>
                          <a:gdLst>
                            <a:gd name="T0" fmla="+- 0 1845 1845"/>
                            <a:gd name="T1" fmla="*/ T0 w 9210"/>
                            <a:gd name="T2" fmla="+- 0 11055 1845"/>
                            <a:gd name="T3" fmla="*/ T2 w 92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10">
                              <a:moveTo>
                                <a:pt x="0" y="0"/>
                              </a:moveTo>
                              <a:lnTo>
                                <a:pt x="92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C93F7" id="Freeform 2" o:spid="_x0000_s1026" style="position:absolute;margin-left:92.25pt;margin-top:42.45pt;width:460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vvcmQIAAJgFAAAOAAAAZHJzL2Uyb0RvYy54bWysVNtu1DAQfUfiHyw/gtpcuqHbqNkKtRQh&#13;&#10;lYvU5QO8jrOJcGxjezdbvp7xONmGBV4QebDGmfGZM8fjub459JLshXWdVhXNzlNKhOK67tS2ol/X&#13;&#10;92dLSpxnqmZSK1HRJ+Hozerli+vBlCLXrZa1sARAlCsHU9HWe1MmieOt6Jk710YocDba9szD1m6T&#13;&#10;2rIB0HuZ5Gn6Jhm0rY3VXDgHf++ik64Qv2kE95+bxglPZEWBm8fV4roJa7K6ZuXWMtN2fKTB/oFF&#13;&#10;zzoFSY9Qd8wzsrPdb1B9x612uvHnXPeJbpqOC6wBqsnSk2oeW2YE1gLiOHOUyf0/WP5p/2i+2EDd&#13;&#10;mQfNvzlQJBmMK4+esHEQQzbDR13DHbKd11jsobF9OAllkANq+nTUVBw84fCzWC6WFwVIz8GX5Zco&#13;&#10;ecLK6SzfOf9eaMRh+wfn443UYKGeNVGsh6RrgGh6CZfz+oykJFsuClzGGzyGZVPYq4SsUzKQqzyb&#13;&#10;rvkYlE9BEStLiz+DXUxxASyfgUEB24kiayfW/KBG2mARFp5AikIZ7YJAayA3KQQIEBRK/Ess5D6N&#13;&#10;jWfGFBZ6+7SrLSXQ1ZuoiWE+MAspgkmGiqIW4Uev92Kt0eVPrg6SPHulmkfh8Tmr6IYTIQH0TTQw&#13;&#10;aeA6u1ql7zsp8W6lQipFXqA2TsuuDs7Axtnt5lZasmfhveIXigGwX8KMdf6OuTbGoSvWbPVO1Zil&#13;&#10;Fax+N9qedTLaACRBdGzw0NNhTrhyo+sn6G+r43iAcQZGq+0PSgYYDRV133fMCkrkBwVv7ypbLMIs&#13;&#10;wc2iuMxhY+eezdzDFAeoinoKHRHMWx/nz87YbttCpgx1UPotvKumCw8A+UVW4waeP8owjqowX+Z7&#13;&#10;jHoeqKufAAAA//8DAFBLAwQUAAYACAAAACEA6PgBF+AAAAAPAQAADwAAAGRycy9kb3ducmV2Lnht&#13;&#10;bExPy07DMBC8I/EP1iJxo3aqBIU0TkVBSFxbHuLoxkscET+I3TTw9d2e4LLSzM7O7NTr2Q5swjH2&#13;&#10;3knIFgIYutbr3nUSXl+ebkpgMSmn1eAdSvjBCOvm8qJWlfZHt8VplzpGJi5WSoJJKVScx9agVXHh&#13;&#10;AzraffrRqkRw7Lge1ZHM7cCXQtxyq3pHCUYFfDDYfu0OlnLDd25a+2HeN8vw9jyK6XeTcymvr+bH&#13;&#10;FY37FbCEc/q7gHMH+h8aemzvD05HNhAu84KkEsr8DthZkImCmD0xRQa8qfn/Hs0JAAD//wMAUEsB&#13;&#10;Ai0AFAAGAAgAAAAhALaDOJL+AAAA4QEAABMAAAAAAAAAAAAAAAAAAAAAAFtDb250ZW50X1R5cGVz&#13;&#10;XS54bWxQSwECLQAUAAYACAAAACEAOP0h/9YAAACUAQAACwAAAAAAAAAAAAAAAAAvAQAAX3JlbHMv&#13;&#10;LnJlbHNQSwECLQAUAAYACAAAACEAphr73JkCAACYBQAADgAAAAAAAAAAAAAAAAAuAgAAZHJzL2Uy&#13;&#10;b0RvYy54bWxQSwECLQAUAAYACAAAACEA6PgBF+AAAAAPAQAADwAAAAAAAAAAAAAAAADzBAAAZHJz&#13;&#10;L2Rvd25yZXYueG1sUEsFBgAAAAAEAAQA8wAAAAAGAAAAAA==&#13;&#10;" path="m,l9210,e" filled="f">
                <v:path arrowok="t" o:connecttype="custom" o:connectlocs="0,0;5848350,0" o:connectangles="0,0"/>
                <w10:wrap type="topAndBottom" anchorx="page"/>
              </v:shape>
            </w:pict>
          </mc:Fallback>
        </mc:AlternateContent>
      </w:r>
      <w:r w:rsidRPr="001A38EC">
        <w:rPr>
          <w:rFonts w:ascii="Times New Roman" w:hAnsi="Times New Roman" w:cs="Times New Roman"/>
          <w:b/>
          <w:sz w:val="28"/>
        </w:rPr>
        <w:t>ЭКОНОМИЧЕСКИЙ ФАКУЛЬТЕТ</w:t>
      </w:r>
    </w:p>
    <w:p w14:paraId="7174CBD6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28BCD12C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6EB15C46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252DDAB9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6B2CB742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2D7F46D4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06CD0391" w14:textId="67C16A1F" w:rsidR="00CC34F2" w:rsidRPr="001A38EC" w:rsidRDefault="00CC34F2" w:rsidP="00CC34F2">
      <w:pPr>
        <w:pStyle w:val="af6"/>
        <w:spacing w:before="4"/>
        <w:jc w:val="center"/>
        <w:rPr>
          <w:b/>
          <w:bCs/>
          <w:sz w:val="32"/>
          <w:szCs w:val="32"/>
        </w:rPr>
      </w:pPr>
      <w:r w:rsidRPr="001A38EC">
        <w:rPr>
          <w:b/>
          <w:bCs/>
          <w:sz w:val="32"/>
          <w:szCs w:val="32"/>
        </w:rPr>
        <w:t>Оценка спроса на Московском рынке первичной недвижимости</w:t>
      </w:r>
    </w:p>
    <w:p w14:paraId="6DC3BABC" w14:textId="792DC7DE" w:rsidR="00CC34F2" w:rsidRPr="001A38EC" w:rsidRDefault="00CC34F2" w:rsidP="00CC34F2">
      <w:pPr>
        <w:pStyle w:val="af6"/>
        <w:jc w:val="center"/>
        <w:rPr>
          <w:sz w:val="32"/>
          <w:szCs w:val="32"/>
        </w:rPr>
      </w:pPr>
      <w:r w:rsidRPr="001A38EC">
        <w:rPr>
          <w:color w:val="333333"/>
          <w:sz w:val="32"/>
          <w:szCs w:val="32"/>
          <w:shd w:val="clear" w:color="auto" w:fill="FFFFFF"/>
        </w:rPr>
        <w:t>Проект</w:t>
      </w:r>
    </w:p>
    <w:p w14:paraId="08DFAFBC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086563CA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34B20178" w14:textId="77777777" w:rsidR="00CC34F2" w:rsidRPr="001A38EC" w:rsidRDefault="00CC34F2" w:rsidP="00CC34F2">
      <w:pPr>
        <w:pStyle w:val="af6"/>
        <w:rPr>
          <w:b/>
          <w:sz w:val="30"/>
        </w:rPr>
      </w:pPr>
    </w:p>
    <w:p w14:paraId="2BEF1E34" w14:textId="77777777" w:rsidR="00CC34F2" w:rsidRPr="001A38EC" w:rsidRDefault="00CC34F2" w:rsidP="00CC34F2">
      <w:pPr>
        <w:pStyle w:val="af6"/>
        <w:ind w:firstLine="3969"/>
        <w:rPr>
          <w:bCs/>
        </w:rPr>
      </w:pPr>
    </w:p>
    <w:p w14:paraId="0F6680EB" w14:textId="77777777" w:rsidR="00CC34F2" w:rsidRPr="001A38EC" w:rsidRDefault="00CC34F2" w:rsidP="00CC34F2">
      <w:pPr>
        <w:pStyle w:val="af6"/>
        <w:ind w:firstLine="3969"/>
        <w:rPr>
          <w:bCs/>
        </w:rPr>
      </w:pPr>
    </w:p>
    <w:p w14:paraId="6A6C6A8B" w14:textId="77777777" w:rsidR="00CC34F2" w:rsidRPr="001A38EC" w:rsidRDefault="00CC34F2" w:rsidP="00CC34F2">
      <w:pPr>
        <w:pStyle w:val="af6"/>
        <w:ind w:firstLine="3969"/>
        <w:rPr>
          <w:bCs/>
        </w:rPr>
      </w:pPr>
    </w:p>
    <w:p w14:paraId="5C405905" w14:textId="77777777" w:rsidR="00CC34F2" w:rsidRPr="001A38EC" w:rsidRDefault="00CC34F2" w:rsidP="00CC34F2">
      <w:pPr>
        <w:pStyle w:val="af6"/>
        <w:ind w:firstLine="3969"/>
        <w:rPr>
          <w:bCs/>
        </w:rPr>
      </w:pPr>
    </w:p>
    <w:p w14:paraId="2BA3FEB1" w14:textId="77777777" w:rsidR="00CC34F2" w:rsidRPr="001A38EC" w:rsidRDefault="00CC34F2" w:rsidP="00CC34F2">
      <w:pPr>
        <w:pStyle w:val="af6"/>
        <w:ind w:firstLine="3969"/>
        <w:rPr>
          <w:bCs/>
        </w:rPr>
      </w:pPr>
    </w:p>
    <w:p w14:paraId="4D6E9907" w14:textId="4104E5FB" w:rsidR="00CC34F2" w:rsidRPr="001A38EC" w:rsidRDefault="00CC34F2" w:rsidP="00CC34F2">
      <w:pPr>
        <w:pStyle w:val="af6"/>
        <w:ind w:firstLine="3969"/>
      </w:pPr>
      <w:r w:rsidRPr="001A38EC">
        <w:rPr>
          <w:bCs/>
        </w:rPr>
        <w:t xml:space="preserve">Выполнили </w:t>
      </w:r>
      <w:r w:rsidRPr="001A38EC">
        <w:t>студенты</w:t>
      </w:r>
    </w:p>
    <w:p w14:paraId="26F17B62" w14:textId="77777777" w:rsidR="00CC34F2" w:rsidRPr="001A38EC" w:rsidRDefault="00CC34F2" w:rsidP="00CC34F2">
      <w:pPr>
        <w:pStyle w:val="af6"/>
        <w:ind w:firstLine="3969"/>
        <w:rPr>
          <w:bCs/>
        </w:rPr>
      </w:pPr>
      <w:r w:rsidRPr="001A38EC">
        <w:t>II</w:t>
      </w:r>
      <w:r w:rsidRPr="001A38EC">
        <w:rPr>
          <w:lang w:val="en-US"/>
        </w:rPr>
        <w:t>I</w:t>
      </w:r>
      <w:r w:rsidRPr="001A38EC">
        <w:t xml:space="preserve"> курса Экономического факультета</w:t>
      </w:r>
    </w:p>
    <w:p w14:paraId="0C64612E" w14:textId="27C0A1F8" w:rsidR="00CC34F2" w:rsidRPr="001A38EC" w:rsidRDefault="00CC34F2" w:rsidP="00CC34F2">
      <w:pPr>
        <w:pStyle w:val="af6"/>
        <w:ind w:firstLine="3969"/>
      </w:pPr>
      <w:proofErr w:type="spellStart"/>
      <w:r w:rsidRPr="001A38EC">
        <w:t>Афшар</w:t>
      </w:r>
      <w:proofErr w:type="spellEnd"/>
      <w:r w:rsidRPr="001A38EC">
        <w:t xml:space="preserve"> Али-Фарин</w:t>
      </w:r>
    </w:p>
    <w:p w14:paraId="19173047" w14:textId="7EA1486C" w:rsidR="00CC34F2" w:rsidRPr="001A38EC" w:rsidRDefault="00CC34F2" w:rsidP="00CC34F2">
      <w:pPr>
        <w:pStyle w:val="af6"/>
        <w:ind w:firstLine="3969"/>
      </w:pPr>
      <w:r w:rsidRPr="001A38EC">
        <w:t xml:space="preserve">Вейцман Вениамин </w:t>
      </w:r>
    </w:p>
    <w:p w14:paraId="0106A80F" w14:textId="6FDA1C95" w:rsidR="00CC34F2" w:rsidRPr="001A38EC" w:rsidRDefault="00CC34F2" w:rsidP="00CC34F2">
      <w:pPr>
        <w:pStyle w:val="af6"/>
        <w:ind w:firstLine="3969"/>
      </w:pPr>
      <w:r w:rsidRPr="001A38EC">
        <w:t>Волкова Элина</w:t>
      </w:r>
    </w:p>
    <w:p w14:paraId="72E3B9C6" w14:textId="5BA80E9A" w:rsidR="00CC34F2" w:rsidRPr="001A38EC" w:rsidRDefault="00CC34F2" w:rsidP="00CC34F2">
      <w:pPr>
        <w:pStyle w:val="af6"/>
        <w:ind w:firstLine="3969"/>
      </w:pPr>
      <w:proofErr w:type="spellStart"/>
      <w:r w:rsidRPr="001A38EC">
        <w:t>Отливанчик</w:t>
      </w:r>
      <w:proofErr w:type="spellEnd"/>
      <w:r w:rsidRPr="001A38EC">
        <w:t xml:space="preserve"> Марк</w:t>
      </w:r>
    </w:p>
    <w:p w14:paraId="4A2A4B1C" w14:textId="7163B81B" w:rsidR="00CC34F2" w:rsidRPr="001A38EC" w:rsidRDefault="00CC34F2" w:rsidP="00CC34F2">
      <w:pPr>
        <w:pStyle w:val="af6"/>
        <w:ind w:firstLine="3969"/>
      </w:pPr>
      <w:r w:rsidRPr="001A38EC">
        <w:t>Сысоев Никита</w:t>
      </w:r>
    </w:p>
    <w:p w14:paraId="71BAB58D" w14:textId="77777777" w:rsidR="00CC34F2" w:rsidRPr="001A38EC" w:rsidRDefault="00CC34F2" w:rsidP="00CC34F2">
      <w:pPr>
        <w:pStyle w:val="af6"/>
        <w:ind w:firstLine="3969"/>
        <w:rPr>
          <w:sz w:val="30"/>
        </w:rPr>
      </w:pPr>
    </w:p>
    <w:p w14:paraId="6F161B71" w14:textId="77777777" w:rsidR="00CC34F2" w:rsidRPr="001A38EC" w:rsidRDefault="00CC34F2" w:rsidP="00CC34F2">
      <w:pPr>
        <w:pStyle w:val="af6"/>
        <w:rPr>
          <w:sz w:val="30"/>
        </w:rPr>
      </w:pPr>
    </w:p>
    <w:p w14:paraId="3E27AAC6" w14:textId="77777777" w:rsidR="00CC34F2" w:rsidRPr="001A38EC" w:rsidRDefault="00CC34F2" w:rsidP="00CC34F2">
      <w:pPr>
        <w:pStyle w:val="af6"/>
        <w:rPr>
          <w:sz w:val="30"/>
        </w:rPr>
      </w:pPr>
    </w:p>
    <w:p w14:paraId="12CF36FD" w14:textId="77777777" w:rsidR="00CC34F2" w:rsidRPr="001A38EC" w:rsidRDefault="00CC34F2" w:rsidP="00CC34F2">
      <w:pPr>
        <w:pStyle w:val="af6"/>
        <w:rPr>
          <w:sz w:val="30"/>
        </w:rPr>
      </w:pPr>
    </w:p>
    <w:p w14:paraId="327D3F35" w14:textId="77777777" w:rsidR="00CC34F2" w:rsidRPr="001A38EC" w:rsidRDefault="00CC34F2" w:rsidP="00CC34F2">
      <w:pPr>
        <w:pStyle w:val="af6"/>
        <w:spacing w:before="11"/>
        <w:rPr>
          <w:sz w:val="41"/>
        </w:rPr>
      </w:pPr>
    </w:p>
    <w:p w14:paraId="09EEB00B" w14:textId="77777777" w:rsidR="00CC34F2" w:rsidRPr="001A38EC" w:rsidRDefault="00CC34F2" w:rsidP="00CC34F2">
      <w:pPr>
        <w:pStyle w:val="af6"/>
        <w:ind w:left="473" w:right="380"/>
        <w:jc w:val="center"/>
      </w:pPr>
    </w:p>
    <w:p w14:paraId="24E45D08" w14:textId="77777777" w:rsidR="00CC34F2" w:rsidRPr="001A38EC" w:rsidRDefault="00CC34F2" w:rsidP="00CC34F2">
      <w:pPr>
        <w:pStyle w:val="af6"/>
        <w:ind w:left="473" w:right="380"/>
        <w:jc w:val="center"/>
      </w:pPr>
    </w:p>
    <w:p w14:paraId="71118369" w14:textId="77777777" w:rsidR="00CC34F2" w:rsidRPr="001A38EC" w:rsidRDefault="00CC34F2" w:rsidP="00CC34F2">
      <w:pPr>
        <w:pStyle w:val="af6"/>
        <w:ind w:left="473" w:right="380"/>
        <w:jc w:val="center"/>
      </w:pPr>
    </w:p>
    <w:p w14:paraId="25AABFF7" w14:textId="77777777" w:rsidR="00CC34F2" w:rsidRPr="001A38EC" w:rsidRDefault="00CC34F2" w:rsidP="00CC34F2">
      <w:pPr>
        <w:pStyle w:val="af6"/>
        <w:ind w:left="473" w:right="380"/>
        <w:jc w:val="center"/>
      </w:pPr>
    </w:p>
    <w:p w14:paraId="04D66196" w14:textId="77777777" w:rsidR="00CC34F2" w:rsidRPr="001A38EC" w:rsidRDefault="00CC34F2" w:rsidP="00CC34F2">
      <w:pPr>
        <w:pStyle w:val="af6"/>
        <w:ind w:left="473" w:right="380"/>
        <w:jc w:val="center"/>
      </w:pPr>
    </w:p>
    <w:p w14:paraId="228D8723" w14:textId="77777777" w:rsidR="00CC34F2" w:rsidRPr="001A38EC" w:rsidRDefault="00CC34F2" w:rsidP="00CC34F2">
      <w:pPr>
        <w:pStyle w:val="af6"/>
        <w:ind w:left="473" w:right="380"/>
        <w:jc w:val="center"/>
      </w:pPr>
    </w:p>
    <w:p w14:paraId="67D1B6DF" w14:textId="77777777" w:rsidR="00CC34F2" w:rsidRPr="001A38EC" w:rsidRDefault="00CC34F2" w:rsidP="00CC34F2">
      <w:pPr>
        <w:pStyle w:val="af6"/>
        <w:ind w:left="473" w:right="380"/>
        <w:jc w:val="center"/>
      </w:pPr>
    </w:p>
    <w:p w14:paraId="73618757" w14:textId="77777777" w:rsidR="00CC34F2" w:rsidRPr="001A38EC" w:rsidRDefault="00CC34F2" w:rsidP="00CC34F2">
      <w:pPr>
        <w:pStyle w:val="af6"/>
        <w:ind w:left="473" w:right="380"/>
        <w:jc w:val="center"/>
      </w:pPr>
    </w:p>
    <w:p w14:paraId="7F91F7E2" w14:textId="77777777" w:rsidR="00CC34F2" w:rsidRPr="001A38EC" w:rsidRDefault="00CC34F2" w:rsidP="00CC34F2">
      <w:pPr>
        <w:pStyle w:val="af6"/>
        <w:ind w:left="473" w:right="380"/>
        <w:jc w:val="center"/>
      </w:pPr>
    </w:p>
    <w:p w14:paraId="1DDF8CDE" w14:textId="77777777" w:rsidR="00CC34F2" w:rsidRPr="001A38EC" w:rsidRDefault="00CC34F2" w:rsidP="00CC34F2">
      <w:pPr>
        <w:pStyle w:val="af6"/>
        <w:ind w:left="473" w:right="380"/>
        <w:jc w:val="center"/>
      </w:pPr>
      <w:r w:rsidRPr="001A38EC">
        <w:t>Москва,</w:t>
      </w:r>
      <w:r w:rsidRPr="001A38EC">
        <w:rPr>
          <w:spacing w:val="-3"/>
        </w:rPr>
        <w:t xml:space="preserve"> </w:t>
      </w:r>
      <w:r w:rsidRPr="001A38EC">
        <w:t>2024</w:t>
      </w:r>
    </w:p>
    <w:p w14:paraId="22E4BDC4" w14:textId="77777777" w:rsidR="00CC34F2" w:rsidRPr="001A38EC" w:rsidRDefault="00CC34F2" w:rsidP="00CC34F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146205C" w14:textId="48D8BAF6" w:rsidR="0014765A" w:rsidRPr="001A38EC" w:rsidRDefault="0014765A" w:rsidP="00CC34F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lastRenderedPageBreak/>
        <w:t>Проект по эмпирическим отраслевым рынкам</w:t>
      </w:r>
    </w:p>
    <w:p w14:paraId="64EA023E" w14:textId="097345B7" w:rsidR="001A38EC" w:rsidRPr="001A38EC" w:rsidRDefault="001A38EC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Аннотация</w:t>
      </w:r>
    </w:p>
    <w:p w14:paraId="640C4222" w14:textId="77777777" w:rsidR="005C6089" w:rsidRPr="001A38EC" w:rsidRDefault="005C6089" w:rsidP="005C6089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В данной работе проводится эмпирическое исследование спроса на рынке новостроек Москвы. Основной целью является оценка факторов, влияющих на спрос на жилую недвижимость с использованием данных по девелоперам от ДОМ.РФ. Исследование включает обзор литературы, выбор переменных, эмпирическую стратегию и оценку результатов. Методология основана на </w:t>
      </w:r>
      <w:proofErr w:type="spellStart"/>
      <w:r w:rsidRPr="001A38EC">
        <w:rPr>
          <w:rFonts w:ascii="Times New Roman" w:hAnsi="Times New Roman" w:cs="Times New Roman"/>
        </w:rPr>
        <w:t>двухшаговом</w:t>
      </w:r>
      <w:proofErr w:type="spellEnd"/>
      <w:r w:rsidRPr="001A38EC">
        <w:rPr>
          <w:rFonts w:ascii="Times New Roman" w:hAnsi="Times New Roman" w:cs="Times New Roman"/>
        </w:rPr>
        <w:t xml:space="preserve"> методе наименьших квадратов (2МНК), позволяющем устранить </w:t>
      </w:r>
      <w:proofErr w:type="spellStart"/>
      <w:r w:rsidRPr="001A38EC">
        <w:rPr>
          <w:rFonts w:ascii="Times New Roman" w:hAnsi="Times New Roman" w:cs="Times New Roman"/>
        </w:rPr>
        <w:t>эндогенность</w:t>
      </w:r>
      <w:proofErr w:type="spellEnd"/>
      <w:r w:rsidRPr="001A38EC">
        <w:rPr>
          <w:rFonts w:ascii="Times New Roman" w:hAnsi="Times New Roman" w:cs="Times New Roman"/>
        </w:rPr>
        <w:t xml:space="preserve"> регрессора.</w:t>
      </w:r>
    </w:p>
    <w:p w14:paraId="4551EDD7" w14:textId="77777777" w:rsidR="005C6089" w:rsidRPr="001A38EC" w:rsidRDefault="005C6089" w:rsidP="005C6089">
      <w:pPr>
        <w:spacing w:line="360" w:lineRule="auto"/>
        <w:jc w:val="both"/>
        <w:rPr>
          <w:rFonts w:ascii="Times New Roman" w:hAnsi="Times New Roman" w:cs="Times New Roman"/>
        </w:rPr>
      </w:pPr>
    </w:p>
    <w:p w14:paraId="731E22A0" w14:textId="743B327D" w:rsidR="005C6089" w:rsidRPr="001A38EC" w:rsidRDefault="005C6089" w:rsidP="005C6089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  <w:b/>
          <w:bCs/>
        </w:rPr>
        <w:t>Ключевые слова</w:t>
      </w:r>
      <w:r w:rsidRPr="001A38EC">
        <w:rPr>
          <w:rFonts w:ascii="Times New Roman" w:hAnsi="Times New Roman" w:cs="Times New Roman"/>
        </w:rPr>
        <w:t xml:space="preserve">: оценка спроса, спрос на недвижимость, рынок новостроек Москвы, </w:t>
      </w:r>
      <w:proofErr w:type="spellStart"/>
      <w:r w:rsidRPr="001A38EC">
        <w:rPr>
          <w:rFonts w:ascii="Times New Roman" w:hAnsi="Times New Roman" w:cs="Times New Roman"/>
        </w:rPr>
        <w:t>двухшаговый</w:t>
      </w:r>
      <w:proofErr w:type="spellEnd"/>
      <w:r w:rsidRPr="001A38EC">
        <w:rPr>
          <w:rFonts w:ascii="Times New Roman" w:hAnsi="Times New Roman" w:cs="Times New Roman"/>
        </w:rPr>
        <w:t xml:space="preserve"> метод наименьших квадратов, </w:t>
      </w:r>
      <w:proofErr w:type="spellStart"/>
      <w:r w:rsidRPr="001A38EC">
        <w:rPr>
          <w:rFonts w:ascii="Times New Roman" w:hAnsi="Times New Roman" w:cs="Times New Roman"/>
        </w:rPr>
        <w:t>эндогенность</w:t>
      </w:r>
      <w:proofErr w:type="spellEnd"/>
      <w:r w:rsidRPr="001A38EC">
        <w:rPr>
          <w:rFonts w:ascii="Times New Roman" w:hAnsi="Times New Roman" w:cs="Times New Roman"/>
        </w:rPr>
        <w:t>.</w:t>
      </w:r>
    </w:p>
    <w:p w14:paraId="03812E2E" w14:textId="77777777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DD55396" w14:textId="3682D6F0" w:rsidR="0014765A" w:rsidRPr="00637577" w:rsidRDefault="001A38EC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Данные:</w:t>
      </w:r>
    </w:p>
    <w:p w14:paraId="0C4AB797" w14:textId="77777777" w:rsidR="001A38EC" w:rsidRPr="00637577" w:rsidRDefault="00000000" w:rsidP="001A38EC">
      <w:pPr>
        <w:spacing w:line="360" w:lineRule="auto"/>
        <w:jc w:val="both"/>
        <w:rPr>
          <w:rFonts w:ascii="Times New Roman" w:hAnsi="Times New Roman" w:cs="Times New Roman"/>
        </w:rPr>
      </w:pPr>
      <w:hyperlink r:id="rId8" w:history="1">
        <w:r w:rsidR="001A38EC" w:rsidRPr="001A38EC">
          <w:rPr>
            <w:rStyle w:val="af"/>
            <w:rFonts w:ascii="Times New Roman" w:hAnsi="Times New Roman" w:cs="Times New Roman"/>
            <w:lang w:val="en-US"/>
          </w:rPr>
          <w:t>https</w:t>
        </w:r>
        <w:r w:rsidR="001A38EC" w:rsidRPr="00637577">
          <w:rPr>
            <w:rStyle w:val="af"/>
            <w:rFonts w:ascii="Times New Roman" w:hAnsi="Times New Roman" w:cs="Times New Roman"/>
          </w:rPr>
          <w:t>://</w:t>
        </w:r>
        <w:proofErr w:type="spellStart"/>
        <w:r w:rsidR="001A38EC" w:rsidRPr="001A38EC">
          <w:rPr>
            <w:rStyle w:val="af"/>
            <w:rFonts w:ascii="Times New Roman" w:hAnsi="Times New Roman" w:cs="Times New Roman"/>
          </w:rPr>
          <w:t>наш</w:t>
        </w:r>
        <w:r w:rsidR="001A38EC" w:rsidRPr="00637577">
          <w:rPr>
            <w:rStyle w:val="af"/>
            <w:rFonts w:ascii="Times New Roman" w:hAnsi="Times New Roman" w:cs="Times New Roman"/>
          </w:rPr>
          <w:t>.</w:t>
        </w:r>
        <w:r w:rsidR="001A38EC" w:rsidRPr="001A38EC">
          <w:rPr>
            <w:rStyle w:val="af"/>
            <w:rFonts w:ascii="Times New Roman" w:hAnsi="Times New Roman" w:cs="Times New Roman"/>
          </w:rPr>
          <w:t>дом</w:t>
        </w:r>
        <w:r w:rsidR="001A38EC" w:rsidRPr="00637577">
          <w:rPr>
            <w:rStyle w:val="af"/>
            <w:rFonts w:ascii="Times New Roman" w:hAnsi="Times New Roman" w:cs="Times New Roman"/>
          </w:rPr>
          <w:t>.</w:t>
        </w:r>
        <w:r w:rsidR="001A38EC" w:rsidRPr="001A38EC">
          <w:rPr>
            <w:rStyle w:val="af"/>
            <w:rFonts w:ascii="Times New Roman" w:hAnsi="Times New Roman" w:cs="Times New Roman"/>
          </w:rPr>
          <w:t>рф</w:t>
        </w:r>
        <w:proofErr w:type="spellEnd"/>
        <w:r w:rsidR="001A38EC" w:rsidRPr="00637577">
          <w:rPr>
            <w:rStyle w:val="af"/>
            <w:rFonts w:ascii="Times New Roman" w:hAnsi="Times New Roman" w:cs="Times New Roman"/>
          </w:rPr>
          <w:t>/</w:t>
        </w:r>
        <w:r w:rsidR="001A38EC" w:rsidRPr="001A38EC">
          <w:rPr>
            <w:rStyle w:val="af"/>
            <w:rFonts w:ascii="Times New Roman" w:hAnsi="Times New Roman" w:cs="Times New Roman"/>
          </w:rPr>
          <w:t>аналитика</w:t>
        </w:r>
        <w:r w:rsidR="001A38EC" w:rsidRPr="00637577">
          <w:rPr>
            <w:rStyle w:val="af"/>
            <w:rFonts w:ascii="Times New Roman" w:hAnsi="Times New Roman" w:cs="Times New Roman"/>
          </w:rPr>
          <w:t>/</w:t>
        </w:r>
        <w:proofErr w:type="spellStart"/>
        <w:r w:rsidR="001A38EC" w:rsidRPr="001A38EC">
          <w:rPr>
            <w:rStyle w:val="af"/>
            <w:rFonts w:ascii="Times New Roman" w:hAnsi="Times New Roman" w:cs="Times New Roman"/>
          </w:rPr>
          <w:t>реализация</w:t>
        </w:r>
        <w:r w:rsidR="001A38EC" w:rsidRPr="00637577">
          <w:rPr>
            <w:rStyle w:val="af"/>
            <w:rFonts w:ascii="Times New Roman" w:hAnsi="Times New Roman" w:cs="Times New Roman"/>
          </w:rPr>
          <w:t>_</w:t>
        </w:r>
        <w:r w:rsidR="001A38EC" w:rsidRPr="001A38EC">
          <w:rPr>
            <w:rStyle w:val="af"/>
            <w:rFonts w:ascii="Times New Roman" w:hAnsi="Times New Roman" w:cs="Times New Roman"/>
          </w:rPr>
          <w:t>строящихся</w:t>
        </w:r>
        <w:r w:rsidR="001A38EC" w:rsidRPr="00637577">
          <w:rPr>
            <w:rStyle w:val="af"/>
            <w:rFonts w:ascii="Times New Roman" w:hAnsi="Times New Roman" w:cs="Times New Roman"/>
          </w:rPr>
          <w:t>_</w:t>
        </w:r>
        <w:r w:rsidR="001A38EC" w:rsidRPr="001A38EC">
          <w:rPr>
            <w:rStyle w:val="af"/>
            <w:rFonts w:ascii="Times New Roman" w:hAnsi="Times New Roman" w:cs="Times New Roman"/>
          </w:rPr>
          <w:t>квартир</w:t>
        </w:r>
        <w:proofErr w:type="spellEnd"/>
      </w:hyperlink>
    </w:p>
    <w:p w14:paraId="48CA19C0" w14:textId="77777777" w:rsidR="001A38EC" w:rsidRPr="00637577" w:rsidRDefault="001A38EC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BF44FCC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6A628B0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F73D123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92B0673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2A368B6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1F4B634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3FEC98D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086FCD7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59E9D0B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0FBA024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03B4332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C8D9EE5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1586D8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4E2C32A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A661307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8F4C2D1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0E2AC82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300D63C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227A1EC" w14:textId="77777777" w:rsidR="0014765A" w:rsidRPr="00637577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7BCAAE" w14:textId="77777777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91B36ED" w14:textId="77777777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lastRenderedPageBreak/>
        <w:t>План:</w:t>
      </w:r>
    </w:p>
    <w:p w14:paraId="4416E10A" w14:textId="77777777" w:rsidR="0014765A" w:rsidRPr="001A38EC" w:rsidRDefault="0014765A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Введение. Формулировка гипотез</w:t>
      </w:r>
    </w:p>
    <w:p w14:paraId="3CC4064A" w14:textId="77777777" w:rsidR="0014765A" w:rsidRPr="001A38EC" w:rsidRDefault="0014765A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Обзор литературы</w:t>
      </w:r>
    </w:p>
    <w:p w14:paraId="47320D90" w14:textId="77777777" w:rsidR="0014765A" w:rsidRPr="001A38EC" w:rsidRDefault="0014765A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Парадигма</w:t>
      </w:r>
    </w:p>
    <w:p w14:paraId="663F2E7E" w14:textId="77777777" w:rsidR="0014765A" w:rsidRPr="001A38EC" w:rsidRDefault="0014765A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Обзор данных</w:t>
      </w:r>
    </w:p>
    <w:p w14:paraId="20E7882B" w14:textId="77777777" w:rsidR="0014765A" w:rsidRPr="001A38EC" w:rsidRDefault="0014765A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Эмпирическая стратегия</w:t>
      </w:r>
    </w:p>
    <w:p w14:paraId="085B2B3D" w14:textId="2237B12A" w:rsidR="0014765A" w:rsidRPr="001A38EC" w:rsidRDefault="0014765A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Некоторые результаты</w:t>
      </w:r>
    </w:p>
    <w:p w14:paraId="4D946C54" w14:textId="66511063" w:rsidR="002A0A78" w:rsidRPr="001A38EC" w:rsidRDefault="002A0A78" w:rsidP="0014765A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Список литературы</w:t>
      </w:r>
    </w:p>
    <w:p w14:paraId="47C3A8F5" w14:textId="77777777" w:rsidR="00E21ADE" w:rsidRDefault="00E21ADE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9668DA" w14:textId="64A27732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Введение. Формулировка гипотез.</w:t>
      </w:r>
    </w:p>
    <w:p w14:paraId="214134AF" w14:textId="77777777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Оценки спроса и факторов, на него влияющих, являются важной промежуточной задачей для ответа на множество других вопросов, которые встают перед населением, перед управляющими компаний и государством как регулятором. Застройщикам важно правильно оценить спрос, чтобы состоятельно спрогнозировать будущую прибыль, привлечь инвесторов, да и в целом, успешно реализовать свой проект.  Иначе придётся столкнуться с неудовлетворительными результатами. Построить меньше, чем готовы купить потребители, и не съесть заслуженный кусок пирога. Либо построить больше, и не заработать ничего. Тогда руководству останется лишь уныло развести руками.</w:t>
      </w:r>
    </w:p>
    <w:p w14:paraId="5D8EEDF9" w14:textId="77777777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</w:rPr>
      </w:pPr>
    </w:p>
    <w:p w14:paraId="4F4C3F79" w14:textId="77777777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Правильная оценка спроса важна не только компаниям, но и различным государственным органам, чтобы проверять эффективность принятых экономических мер, планировать будущую городскую застройку и для много другого. Далее представим гипотезы нашего исследования.</w:t>
      </w:r>
    </w:p>
    <w:p w14:paraId="3B2BF2E1" w14:textId="54E9383E" w:rsidR="0014765A" w:rsidRPr="001A38EC" w:rsidRDefault="0014765A" w:rsidP="0014765A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  <w:b/>
          <w:bCs/>
        </w:rPr>
        <w:t>Гипотезы</w:t>
      </w:r>
      <w:r w:rsidRPr="001A38EC">
        <w:rPr>
          <w:rFonts w:ascii="Times New Roman" w:hAnsi="Times New Roman" w:cs="Times New Roman"/>
        </w:rPr>
        <w:t>:</w:t>
      </w:r>
    </w:p>
    <w:p w14:paraId="20116720" w14:textId="77777777" w:rsidR="0014765A" w:rsidRPr="001A38EC" w:rsidRDefault="0014765A" w:rsidP="0014765A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Эластичность спроса крупных застройщиков отличается от эластичности рынка в целом, то есть кривая спроса более пологая для крупных застройщиков, чем в среднем по рынку.</w:t>
      </w:r>
    </w:p>
    <w:p w14:paraId="56ADF1BE" w14:textId="0885E61F" w:rsidR="0014765A" w:rsidRPr="001A38EC" w:rsidRDefault="0014765A" w:rsidP="0014765A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Мы предполагаем такую зависимость, потому что у </w:t>
      </w:r>
      <w:r w:rsidR="00EF5B64">
        <w:rPr>
          <w:rFonts w:ascii="Times New Roman" w:hAnsi="Times New Roman" w:cs="Times New Roman"/>
        </w:rPr>
        <w:t>«</w:t>
      </w:r>
      <w:r w:rsidRPr="001A38EC">
        <w:rPr>
          <w:rFonts w:ascii="Times New Roman" w:hAnsi="Times New Roman" w:cs="Times New Roman"/>
        </w:rPr>
        <w:t>больших</w:t>
      </w:r>
      <w:r w:rsidR="00EF5B64">
        <w:rPr>
          <w:rFonts w:ascii="Times New Roman" w:hAnsi="Times New Roman" w:cs="Times New Roman"/>
        </w:rPr>
        <w:t>»</w:t>
      </w:r>
      <w:r w:rsidRPr="001A38EC">
        <w:rPr>
          <w:rFonts w:ascii="Times New Roman" w:hAnsi="Times New Roman" w:cs="Times New Roman"/>
        </w:rPr>
        <w:t xml:space="preserve"> застройщиков, скорее всего, правильно выстроенная маркетинговая стратегия, хорошая репутация, четко налаженная система поставок и производственного процесса. </w:t>
      </w:r>
      <w:r w:rsidR="00637577">
        <w:rPr>
          <w:rFonts w:ascii="Times New Roman" w:hAnsi="Times New Roman" w:cs="Times New Roman"/>
        </w:rPr>
        <w:t>К</w:t>
      </w:r>
      <w:r w:rsidRPr="001A38EC">
        <w:rPr>
          <w:rFonts w:ascii="Times New Roman" w:hAnsi="Times New Roman" w:cs="Times New Roman"/>
        </w:rPr>
        <w:t xml:space="preserve">рупные компании </w:t>
      </w:r>
      <w:r w:rsidR="00637577">
        <w:rPr>
          <w:rFonts w:ascii="Times New Roman" w:hAnsi="Times New Roman" w:cs="Times New Roman"/>
        </w:rPr>
        <w:t xml:space="preserve">также </w:t>
      </w:r>
      <w:r w:rsidRPr="001A38EC">
        <w:rPr>
          <w:rFonts w:ascii="Times New Roman" w:hAnsi="Times New Roman" w:cs="Times New Roman"/>
        </w:rPr>
        <w:t xml:space="preserve">легче переживают экономические шоки, а их бренд внушает доверие потребителям. </w:t>
      </w:r>
    </w:p>
    <w:p w14:paraId="6A1FEBEC" w14:textId="4B6B414C" w:rsidR="0014765A" w:rsidRPr="001A38EC" w:rsidRDefault="0014765A" w:rsidP="0014765A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На величину спроса влияет ряд факторов: инфляционные ожидания и реальны</w:t>
      </w:r>
      <w:r w:rsidR="00637577">
        <w:rPr>
          <w:rFonts w:ascii="Times New Roman" w:hAnsi="Times New Roman" w:cs="Times New Roman"/>
        </w:rPr>
        <w:t>е</w:t>
      </w:r>
      <w:r w:rsidRPr="001A38EC">
        <w:rPr>
          <w:rFonts w:ascii="Times New Roman" w:hAnsi="Times New Roman" w:cs="Times New Roman"/>
        </w:rPr>
        <w:t xml:space="preserve"> доходы населения.</w:t>
      </w:r>
    </w:p>
    <w:p w14:paraId="65AABE22" w14:textId="77777777" w:rsidR="0014765A" w:rsidRPr="001A38EC" w:rsidRDefault="0014765A" w:rsidP="0014765A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lastRenderedPageBreak/>
        <w:t xml:space="preserve">Если инфляционные ожидания высоки, то потребление предпочитается сбережению. Более того, в нашей стране люди склонны предполагать, что лучшей инвестицией является покупка недвижимости. </w:t>
      </w:r>
    </w:p>
    <w:p w14:paraId="3F60667E" w14:textId="624D12CA" w:rsidR="00941B19" w:rsidRPr="001A38EC" w:rsidRDefault="0014765A" w:rsidP="008860EC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</w:rPr>
        <w:t>Рост реальных доходов населения может стимулировать покупку недвижимости домохозяйствами.</w:t>
      </w:r>
    </w:p>
    <w:p w14:paraId="5BEAAC84" w14:textId="77777777" w:rsidR="00CC5DD4" w:rsidRDefault="00CC5DD4" w:rsidP="00392B3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531BDEF" w14:textId="49E7C7D9" w:rsidR="00392B30" w:rsidRPr="001A38EC" w:rsidRDefault="00392B30" w:rsidP="00392B3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t>Обзор литературы по теме:</w:t>
      </w:r>
    </w:p>
    <w:p w14:paraId="23931F1D" w14:textId="05119E1F" w:rsidR="00392B30" w:rsidRPr="001A38EC" w:rsidRDefault="001917D6" w:rsidP="00AC18B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bookmarkStart w:id="1" w:name="OLE_LINK11"/>
      <w:r w:rsidRPr="001A38EC">
        <w:rPr>
          <w:rFonts w:ascii="Times New Roman" w:hAnsi="Times New Roman" w:cs="Times New Roman"/>
        </w:rPr>
        <w:t xml:space="preserve">Так как </w:t>
      </w:r>
      <w:r w:rsidR="00017538" w:rsidRPr="001A38EC">
        <w:rPr>
          <w:rFonts w:ascii="Times New Roman" w:hAnsi="Times New Roman" w:cs="Times New Roman"/>
        </w:rPr>
        <w:t>мы исследуем рынок недвижимости Москвы с помощью 2МНК, нам удалось найти в литературе разные работы, которые тем или иным образом связаны с нашей работой.</w:t>
      </w:r>
    </w:p>
    <w:p w14:paraId="102AA5BB" w14:textId="4AC653AC" w:rsidR="00AC18B0" w:rsidRPr="001A38EC" w:rsidRDefault="00AC18B0" w:rsidP="00AC18B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bookmarkStart w:id="2" w:name="OLE_LINK12"/>
      <w:bookmarkEnd w:id="1"/>
      <w:r w:rsidRPr="001A38EC">
        <w:rPr>
          <w:rFonts w:ascii="Times New Roman" w:hAnsi="Times New Roman" w:cs="Times New Roman"/>
        </w:rPr>
        <w:t>Первая работа “</w:t>
      </w:r>
      <w:r w:rsidRPr="001A38EC">
        <w:rPr>
          <w:rFonts w:ascii="Times New Roman" w:hAnsi="Times New Roman" w:cs="Times New Roman"/>
          <w:lang w:val="en-US"/>
        </w:rPr>
        <w:t>A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joint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model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of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tenure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choice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and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demand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for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housing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in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the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city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of</w:t>
      </w:r>
      <w:r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Karachi</w:t>
      </w:r>
      <w:r w:rsidRPr="001A38EC">
        <w:rPr>
          <w:rFonts w:ascii="Times New Roman" w:hAnsi="Times New Roman" w:cs="Times New Roman"/>
        </w:rPr>
        <w:t>”</w:t>
      </w:r>
      <w:r w:rsidR="00430A46" w:rsidRPr="001A38EC">
        <w:rPr>
          <w:rStyle w:val="ae"/>
          <w:rFonts w:ascii="Times New Roman" w:hAnsi="Times New Roman" w:cs="Times New Roman"/>
        </w:rPr>
        <w:footnoteReference w:id="1"/>
      </w:r>
      <w:r w:rsidR="002851AA" w:rsidRPr="001A38E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</w:rPr>
        <w:t xml:space="preserve">использует </w:t>
      </w:r>
      <w:proofErr w:type="spellStart"/>
      <w:r w:rsidR="006948E5" w:rsidRPr="001A38EC">
        <w:rPr>
          <w:rFonts w:ascii="Times New Roman" w:hAnsi="Times New Roman" w:cs="Times New Roman"/>
        </w:rPr>
        <w:t>двухшаговый</w:t>
      </w:r>
      <w:proofErr w:type="spellEnd"/>
      <w:r w:rsidRPr="001A38EC">
        <w:rPr>
          <w:rFonts w:ascii="Times New Roman" w:hAnsi="Times New Roman" w:cs="Times New Roman"/>
        </w:rPr>
        <w:t xml:space="preserve"> МНК для оценки спроса в пакистанском городе Карачи. Главная идея работы – выбор населения между съёмом или покупкой жилья (</w:t>
      </w:r>
      <w:r w:rsidRPr="001A38EC">
        <w:rPr>
          <w:rFonts w:ascii="Times New Roman" w:hAnsi="Times New Roman" w:cs="Times New Roman"/>
          <w:lang w:val="en-US"/>
        </w:rPr>
        <w:t>tenure</w:t>
      </w:r>
      <w:r w:rsidRPr="001A38EC">
        <w:rPr>
          <w:rFonts w:ascii="Times New Roman" w:hAnsi="Times New Roman" w:cs="Times New Roman"/>
        </w:rPr>
        <w:t>) должен влиять на спрос на недвижимость. Тогда первый шаг будет оценка выбора между съёмом и покупкой:</w:t>
      </w:r>
    </w:p>
    <w:bookmarkEnd w:id="2"/>
    <w:p w14:paraId="4BA91DF3" w14:textId="34DB6D3D" w:rsidR="00AC18B0" w:rsidRPr="001A38EC" w:rsidRDefault="0000000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73AC204A" w14:textId="1F8B0F6C" w:rsidR="00AC18B0" w:rsidRPr="001A38EC" w:rsidRDefault="00AC18B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A38EC"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Pr="001A38EC">
        <w:rPr>
          <w:rFonts w:ascii="Times New Roman" w:eastAsiaTheme="minorEastAsia" w:hAnsi="Times New Roman" w:cs="Times New Roman"/>
        </w:rPr>
        <w:t xml:space="preserve"> = 1, если </w:t>
      </w:r>
      <m:oMath>
        <m:r>
          <w:rPr>
            <w:rFonts w:ascii="Cambria Math" w:hAnsi="Cambria Math" w:cs="Times New Roman"/>
            <w:lang w:val="en-US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</w:p>
    <w:p w14:paraId="394937D7" w14:textId="7B4CC63E" w:rsidR="00AC18B0" w:rsidRPr="001A38EC" w:rsidRDefault="0000000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AC18B0" w:rsidRPr="001A38EC">
        <w:rPr>
          <w:rFonts w:ascii="Times New Roman" w:eastAsiaTheme="minorEastAsia" w:hAnsi="Times New Roman" w:cs="Times New Roman"/>
        </w:rPr>
        <w:t xml:space="preserve"> = 0, иначе</w:t>
      </w:r>
    </w:p>
    <w:p w14:paraId="4621B763" w14:textId="709755CD" w:rsidR="00AC18B0" w:rsidRPr="001A38EC" w:rsidRDefault="00AC18B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A38EC">
        <w:rPr>
          <w:rFonts w:ascii="Times New Roman" w:eastAsiaTheme="minorEastAsia" w:hAnsi="Times New Roman" w:cs="Times New Roman"/>
        </w:rPr>
        <w:t>Второй шаг, оценка спроса:</w:t>
      </w:r>
    </w:p>
    <w:p w14:paraId="02E2CAFD" w14:textId="6813FFE9" w:rsidR="00AC18B0" w:rsidRPr="001A38EC" w:rsidRDefault="0000000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1t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1t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</w:rPr>
            <m:t xml:space="preserve">если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=1</m:t>
          </m:r>
        </m:oMath>
      </m:oMathPara>
    </w:p>
    <w:p w14:paraId="654D75D2" w14:textId="102F65EB" w:rsidR="00AC18B0" w:rsidRPr="001A38EC" w:rsidRDefault="0000000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2t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2t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, </m:t>
          </m:r>
          <m:r>
            <w:rPr>
              <w:rFonts w:ascii="Cambria Math" w:hAnsi="Cambria Math" w:cs="Times New Roman"/>
            </w:rPr>
            <m:t xml:space="preserve">если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=0</m:t>
          </m:r>
        </m:oMath>
      </m:oMathPara>
    </w:p>
    <w:p w14:paraId="29548042" w14:textId="622F003B" w:rsidR="00AC18B0" w:rsidRPr="001A38EC" w:rsidRDefault="00863EA7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Матрица</w:t>
      </w:r>
      <w:r w:rsidR="00AC18B0" w:rsidRPr="001A38E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AC18B0" w:rsidRPr="001A38EC">
        <w:rPr>
          <w:rFonts w:ascii="Times New Roman" w:eastAsiaTheme="minorEastAsia" w:hAnsi="Times New Roman" w:cs="Times New Roman"/>
        </w:rPr>
        <w:t xml:space="preserve"> – векторы характеристик, определяющие спрос домохозяйства на покупку (1), съём (2) жилья.</w:t>
      </w:r>
    </w:p>
    <w:p w14:paraId="0C79E93D" w14:textId="2F87EAD3" w:rsidR="00AC18B0" w:rsidRPr="001A38EC" w:rsidRDefault="00AC18B0" w:rsidP="00AC18B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1A38EC">
        <w:rPr>
          <w:rFonts w:ascii="Times New Roman" w:eastAsiaTheme="minorEastAsia" w:hAnsi="Times New Roman" w:cs="Times New Roman"/>
        </w:rPr>
        <w:t xml:space="preserve">Результаты таковы: в городе Карачи высок уровень владения жильём. На вероятность покупки жилья явно влияет уровень заработка домохозяйства. Оценка эластичностей показывает, что </w:t>
      </w:r>
      <w:r w:rsidRPr="004856F9">
        <w:rPr>
          <w:rFonts w:ascii="Times New Roman" w:eastAsiaTheme="minorEastAsia" w:hAnsi="Times New Roman" w:cs="Times New Roman"/>
        </w:rPr>
        <w:t>спрос на съём</w:t>
      </w:r>
      <w:r w:rsidRPr="001A38EC">
        <w:rPr>
          <w:rFonts w:ascii="Times New Roman" w:eastAsiaTheme="minorEastAsia" w:hAnsi="Times New Roman" w:cs="Times New Roman"/>
        </w:rPr>
        <w:t xml:space="preserve"> больше </w:t>
      </w:r>
      <w:r w:rsidR="004856F9">
        <w:rPr>
          <w:rFonts w:ascii="Times New Roman" w:eastAsiaTheme="minorEastAsia" w:hAnsi="Times New Roman" w:cs="Times New Roman"/>
        </w:rPr>
        <w:t>подвержен влиянию</w:t>
      </w:r>
      <w:r w:rsidRPr="001A38EC">
        <w:rPr>
          <w:rFonts w:ascii="Times New Roman" w:eastAsiaTheme="minorEastAsia" w:hAnsi="Times New Roman" w:cs="Times New Roman"/>
        </w:rPr>
        <w:t xml:space="preserve"> возраст</w:t>
      </w:r>
      <w:r w:rsidR="004856F9">
        <w:rPr>
          <w:rFonts w:ascii="Times New Roman" w:eastAsiaTheme="minorEastAsia" w:hAnsi="Times New Roman" w:cs="Times New Roman"/>
        </w:rPr>
        <w:t>а</w:t>
      </w:r>
      <w:r w:rsidRPr="001A38EC">
        <w:rPr>
          <w:rFonts w:ascii="Times New Roman" w:eastAsiaTheme="minorEastAsia" w:hAnsi="Times New Roman" w:cs="Times New Roman"/>
        </w:rPr>
        <w:t xml:space="preserve"> и уров</w:t>
      </w:r>
      <w:r w:rsidR="004856F9">
        <w:rPr>
          <w:rFonts w:ascii="Times New Roman" w:eastAsiaTheme="minorEastAsia" w:hAnsi="Times New Roman" w:cs="Times New Roman"/>
        </w:rPr>
        <w:t>ня</w:t>
      </w:r>
      <w:r w:rsidRPr="001A38EC">
        <w:rPr>
          <w:rFonts w:ascii="Times New Roman" w:eastAsiaTheme="minorEastAsia" w:hAnsi="Times New Roman" w:cs="Times New Roman"/>
        </w:rPr>
        <w:t xml:space="preserve"> образования главы семьи, в то время как спрос на покупку более чувствителен к размеру домохозяйства.</w:t>
      </w:r>
    </w:p>
    <w:p w14:paraId="4B2DD872" w14:textId="2085125A" w:rsidR="00AC18B0" w:rsidRPr="001A38EC" w:rsidRDefault="00AC18B0" w:rsidP="00AC18B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Вторая работа </w:t>
      </w:r>
      <w:proofErr w:type="spellStart"/>
      <w:r w:rsidRPr="001A38EC">
        <w:rPr>
          <w:rFonts w:ascii="Times New Roman" w:hAnsi="Times New Roman" w:cs="Times New Roman"/>
          <w:b/>
          <w:bCs/>
          <w:lang w:val="en-US"/>
        </w:rPr>
        <w:t>Dahan</w:t>
      </w:r>
      <w:proofErr w:type="spellEnd"/>
      <w:r w:rsidRPr="001A38EC">
        <w:rPr>
          <w:rFonts w:ascii="Times New Roman" w:hAnsi="Times New Roman" w:cs="Times New Roman"/>
          <w:b/>
          <w:bCs/>
        </w:rPr>
        <w:t xml:space="preserve"> (2018)</w:t>
      </w:r>
      <w:r w:rsidRPr="001A38EC">
        <w:rPr>
          <w:rStyle w:val="ae"/>
          <w:rFonts w:ascii="Times New Roman" w:hAnsi="Times New Roman" w:cs="Times New Roman"/>
          <w:lang w:val="en-US"/>
        </w:rPr>
        <w:footnoteReference w:id="2"/>
      </w:r>
      <w:r w:rsidRPr="001A38EC">
        <w:rPr>
          <w:rFonts w:ascii="Times New Roman" w:hAnsi="Times New Roman" w:cs="Times New Roman"/>
        </w:rPr>
        <w:t xml:space="preserve"> исследует спрос на рынке недвижимости в Дубае с 2000 по 2020 года. Для этого он использует очень простую эконометрическую модель. Он оценивает логарифмированную версию следующей модели:</w:t>
      </w:r>
    </w:p>
    <w:p w14:paraId="6D6B5FD8" w14:textId="7ABA8EBC" w:rsidR="00AC18B0" w:rsidRPr="001A38EC" w:rsidRDefault="00000000" w:rsidP="00AC18B0">
      <w:pPr>
        <w:spacing w:line="360" w:lineRule="auto"/>
        <w:ind w:firstLine="708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b>
          </m:sSub>
        </m:oMath>
      </m:oMathPara>
    </w:p>
    <w:p w14:paraId="48742998" w14:textId="4444E472" w:rsidR="00017538" w:rsidRPr="001A38EC" w:rsidRDefault="00AC18B0" w:rsidP="00AC18B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lastRenderedPageBreak/>
        <w:t xml:space="preserve"> </w:t>
      </w:r>
      <w:r w:rsidR="008D1C0F">
        <w:rPr>
          <w:rFonts w:ascii="Times New Roman" w:hAnsi="Times New Roman" w:cs="Times New Roman"/>
        </w:rPr>
        <w:t>Спрос</w:t>
      </w:r>
      <w:r w:rsidRPr="001A38EC">
        <w:rPr>
          <w:rFonts w:ascii="Times New Roman" w:hAnsi="Times New Roman" w:cs="Times New Roman"/>
        </w:rPr>
        <w:t xml:space="preserve"> в периоде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1A38EC">
        <w:rPr>
          <w:rFonts w:ascii="Times New Roman" w:hAnsi="Times New Roman" w:cs="Times New Roman"/>
        </w:rPr>
        <w:t xml:space="preserve"> оценивается с помощью цен на здания в периоде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1A38EC">
        <w:rPr>
          <w:rFonts w:ascii="Times New Roman" w:hAnsi="Times New Roman" w:cs="Times New Roman"/>
        </w:rPr>
        <w:t xml:space="preserve"> </w:t>
      </w:r>
      <w:r w:rsidR="005A0991">
        <w:rPr>
          <w:rFonts w:ascii="Times New Roman" w:hAnsi="Times New Roman" w:cs="Times New Roman"/>
        </w:rPr>
        <w:t xml:space="preserve">и объема продаж в периоде </w:t>
      </w:r>
      <m:oMath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-1</m:t>
        </m:r>
        <m:r>
          <w:rPr>
            <w:rStyle w:val="ae"/>
            <w:rFonts w:ascii="Cambria Math" w:hAnsi="Cambria Math" w:cs="Times New Roman"/>
            <w:i/>
          </w:rPr>
          <w:footnoteReference w:id="3"/>
        </m:r>
      </m:oMath>
      <w:r w:rsidRPr="001A38EC">
        <w:rPr>
          <w:rFonts w:ascii="Times New Roman" w:hAnsi="Times New Roman" w:cs="Times New Roman"/>
        </w:rPr>
        <w:t xml:space="preserve">, ВВП на душу населения в периоде </w:t>
      </w:r>
      <m:oMath>
        <m:r>
          <w:rPr>
            <w:rFonts w:ascii="Cambria Math" w:hAnsi="Cambria Math" w:cs="Times New Roman"/>
            <w:lang w:val="en-US"/>
          </w:rPr>
          <m:t>t</m:t>
        </m:r>
      </m:oMath>
      <w:r w:rsidRPr="001A38EC">
        <w:rPr>
          <w:rFonts w:ascii="Times New Roman" w:hAnsi="Times New Roman" w:cs="Times New Roman"/>
        </w:rPr>
        <w:t xml:space="preserve"> и спрос из прошлого периода.</w:t>
      </w:r>
    </w:p>
    <w:p w14:paraId="263CC090" w14:textId="017A23DF" w:rsidR="003D5D7E" w:rsidRPr="00F26517" w:rsidRDefault="00AC18B0" w:rsidP="00F26517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Получены следующие результаты</w:t>
      </w:r>
      <w:r w:rsidRPr="00637577">
        <w:rPr>
          <w:rFonts w:ascii="Times New Roman" w:hAnsi="Times New Roman" w:cs="Times New Roman"/>
        </w:rPr>
        <w:t xml:space="preserve">: </w:t>
      </w:r>
    </w:p>
    <w:p w14:paraId="70EC741F" w14:textId="580976FF" w:rsidR="001A38EC" w:rsidRPr="002646D9" w:rsidRDefault="001A38EC" w:rsidP="001A38EC">
      <w:pPr>
        <w:spacing w:line="360" w:lineRule="auto"/>
        <w:ind w:firstLine="708"/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1A38EC">
        <w:rPr>
          <w:rFonts w:ascii="Times New Roman" w:hAnsi="Times New Roman" w:cs="Times New Roman"/>
          <w:lang w:val="en-US"/>
        </w:rPr>
        <w:t>log</w:t>
      </w:r>
      <w:r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proofErr w:type="spellEnd"/>
      <w:r w:rsidRPr="002646D9">
        <w:rPr>
          <w:rFonts w:ascii="Times New Roman" w:hAnsi="Times New Roman" w:cs="Times New Roman"/>
        </w:rPr>
        <w:t xml:space="preserve"> = 2.861 + 0.85 </w:t>
      </w:r>
      <w:r w:rsidRPr="001A38EC">
        <w:rPr>
          <w:rFonts w:ascii="Times New Roman" w:hAnsi="Times New Roman" w:cs="Times New Roman"/>
          <w:lang w:val="en-US"/>
        </w:rPr>
        <w:t>log</w:t>
      </w:r>
      <w:r w:rsidRPr="002646D9">
        <w:rPr>
          <w:rFonts w:ascii="Times New Roman" w:hAnsi="Times New Roman" w:cs="Times New Roman"/>
        </w:rPr>
        <w:t xml:space="preserve"> </w:t>
      </w:r>
      <w:proofErr w:type="spellStart"/>
      <w:r w:rsidRPr="001A38EC">
        <w:rPr>
          <w:rFonts w:ascii="Times New Roman" w:hAnsi="Times New Roman" w:cs="Times New Roman"/>
          <w:lang w:val="en-US"/>
        </w:rPr>
        <w:t>gdp</w:t>
      </w:r>
      <w:proofErr w:type="spellEnd"/>
      <w:r w:rsidRPr="002646D9">
        <w:rPr>
          <w:rFonts w:ascii="Times New Roman" w:hAnsi="Times New Roman" w:cs="Times New Roman"/>
        </w:rPr>
        <w:t>(</w:t>
      </w:r>
      <w:r w:rsidRPr="001A38EC">
        <w:rPr>
          <w:rFonts w:ascii="Times New Roman" w:hAnsi="Times New Roman" w:cs="Times New Roman"/>
          <w:lang w:val="en-US"/>
        </w:rPr>
        <w:t>Y</w:t>
      </w:r>
      <w:r w:rsidRPr="002646D9">
        <w:rPr>
          <w:rFonts w:ascii="Times New Roman" w:hAnsi="Times New Roman" w:cs="Times New Roman"/>
        </w:rPr>
        <w:t xml:space="preserve">) - 0.67 </w:t>
      </w:r>
      <w:r>
        <w:rPr>
          <w:rFonts w:ascii="Times New Roman" w:hAnsi="Times New Roman" w:cs="Times New Roman"/>
          <w:lang w:val="en-US"/>
        </w:rPr>
        <w:t>l</w:t>
      </w:r>
      <w:r w:rsidRPr="001A38EC">
        <w:rPr>
          <w:rFonts w:ascii="Times New Roman" w:hAnsi="Times New Roman" w:cs="Times New Roman"/>
          <w:lang w:val="en-US"/>
        </w:rPr>
        <w:t>og</w:t>
      </w:r>
      <w:r w:rsidRPr="002646D9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Price</w:t>
      </w:r>
      <w:r w:rsidRPr="002646D9">
        <w:rPr>
          <w:rFonts w:ascii="Times New Roman" w:hAnsi="Times New Roman" w:cs="Times New Roman"/>
        </w:rPr>
        <w:t>(</w:t>
      </w:r>
      <w:r w:rsidRPr="001A38EC">
        <w:rPr>
          <w:rFonts w:ascii="Times New Roman" w:hAnsi="Times New Roman" w:cs="Times New Roman"/>
          <w:lang w:val="en-US"/>
        </w:rPr>
        <w:t>P</w:t>
      </w:r>
      <w:r w:rsidRPr="002646D9">
        <w:rPr>
          <w:rFonts w:ascii="Times New Roman" w:hAnsi="Times New Roman" w:cs="Times New Roman"/>
        </w:rPr>
        <w:t xml:space="preserve">) + 0.674 </w:t>
      </w:r>
      <w:r w:rsidRPr="001A38EC">
        <w:rPr>
          <w:rFonts w:ascii="Times New Roman" w:hAnsi="Times New Roman" w:cs="Times New Roman"/>
          <w:lang w:val="en-US"/>
        </w:rPr>
        <w:t>log</w:t>
      </w:r>
      <w:r w:rsidRPr="002646D9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2646D9">
        <w:rPr>
          <w:rFonts w:ascii="Times New Roman" w:hAnsi="Times New Roman" w:cs="Times New Roman"/>
          <w:vertAlign w:val="subscript"/>
        </w:rPr>
        <w:t>-1</w:t>
      </w:r>
    </w:p>
    <w:p w14:paraId="547F00ED" w14:textId="6229FA64" w:rsidR="001A38EC" w:rsidRPr="00637577" w:rsidRDefault="001A38EC" w:rsidP="001A38EC">
      <w:pPr>
        <w:spacing w:line="360" w:lineRule="auto"/>
        <w:jc w:val="both"/>
        <w:rPr>
          <w:rFonts w:ascii="Times New Roman" w:hAnsi="Times New Roman" w:cs="Times New Roman"/>
        </w:rPr>
      </w:pPr>
      <w:r w:rsidRPr="002646D9">
        <w:rPr>
          <w:rFonts w:ascii="Times New Roman" w:hAnsi="Times New Roman" w:cs="Times New Roman"/>
        </w:rPr>
        <w:t xml:space="preserve">                                                </w:t>
      </w:r>
      <w:r w:rsidRPr="00637577">
        <w:rPr>
          <w:rFonts w:ascii="Times New Roman" w:hAnsi="Times New Roman" w:cs="Times New Roman"/>
        </w:rPr>
        <w:t xml:space="preserve">(1.1)            </w:t>
      </w:r>
      <w:proofErr w:type="gramStart"/>
      <w:r w:rsidRPr="00637577">
        <w:rPr>
          <w:rFonts w:ascii="Times New Roman" w:hAnsi="Times New Roman" w:cs="Times New Roman"/>
        </w:rPr>
        <w:t xml:space="preserve">   (</w:t>
      </w:r>
      <w:proofErr w:type="gramEnd"/>
      <w:r w:rsidRPr="00637577">
        <w:rPr>
          <w:rFonts w:ascii="Times New Roman" w:hAnsi="Times New Roman" w:cs="Times New Roman"/>
        </w:rPr>
        <w:t>2.7)                          (-2.9)</w:t>
      </w:r>
    </w:p>
    <w:p w14:paraId="4791CBF7" w14:textId="49C0A5F4" w:rsidR="001A38EC" w:rsidRPr="00637577" w:rsidRDefault="001A38EC" w:rsidP="001A38E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637577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  <w:lang w:val="en-US"/>
        </w:rPr>
        <w:t>R</w:t>
      </w:r>
      <w:r w:rsidRPr="00637577">
        <w:rPr>
          <w:rFonts w:ascii="Times New Roman" w:hAnsi="Times New Roman" w:cs="Times New Roman"/>
        </w:rPr>
        <w:t>^2 = 0.74</w:t>
      </w:r>
      <w:proofErr w:type="gramStart"/>
      <w:r w:rsidRPr="00637577">
        <w:rPr>
          <w:rFonts w:ascii="Times New Roman" w:hAnsi="Times New Roman" w:cs="Times New Roman"/>
        </w:rPr>
        <w:t xml:space="preserve">,  </w:t>
      </w:r>
      <w:r w:rsidRPr="001A38EC">
        <w:rPr>
          <w:rFonts w:ascii="Times New Roman" w:hAnsi="Times New Roman" w:cs="Times New Roman"/>
          <w:lang w:val="en-US"/>
        </w:rPr>
        <w:t>DW</w:t>
      </w:r>
      <w:proofErr w:type="gramEnd"/>
      <w:r w:rsidRPr="00637577">
        <w:rPr>
          <w:rFonts w:ascii="Times New Roman" w:hAnsi="Times New Roman" w:cs="Times New Roman"/>
        </w:rPr>
        <w:t xml:space="preserve"> = 1.94 (2000–2017)</w:t>
      </w:r>
    </w:p>
    <w:p w14:paraId="772521ED" w14:textId="31893057" w:rsidR="00AC18B0" w:rsidRPr="001A38EC" w:rsidRDefault="000F5DFE" w:rsidP="001A38EC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Автор </w:t>
      </w:r>
      <w:r w:rsidRPr="008F49F6">
        <w:rPr>
          <w:rFonts w:ascii="Times New Roman" w:hAnsi="Times New Roman" w:cs="Times New Roman"/>
        </w:rPr>
        <w:t>положительно оценил</w:t>
      </w:r>
      <w:r w:rsidRPr="001A38EC">
        <w:rPr>
          <w:rFonts w:ascii="Times New Roman" w:hAnsi="Times New Roman" w:cs="Times New Roman"/>
        </w:rPr>
        <w:t xml:space="preserve"> результаты построения модели, отметив высокий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2207B" w:rsidRPr="0062207B">
        <w:rPr>
          <w:rFonts w:ascii="Times New Roman" w:eastAsiaTheme="minorEastAsia" w:hAnsi="Times New Roman" w:cs="Times New Roman"/>
        </w:rPr>
        <w:t xml:space="preserve"> </w:t>
      </w:r>
      <w:r w:rsidRPr="001A38EC">
        <w:rPr>
          <w:rFonts w:ascii="Times New Roman" w:hAnsi="Times New Roman" w:cs="Times New Roman"/>
        </w:rPr>
        <w:t xml:space="preserve">и </w:t>
      </w:r>
      <w:r w:rsidR="008F49F6">
        <w:rPr>
          <w:rFonts w:ascii="Times New Roman" w:hAnsi="Times New Roman" w:cs="Times New Roman"/>
        </w:rPr>
        <w:t>значимость всех переменных</w:t>
      </w:r>
      <w:r w:rsidRPr="001A38EC">
        <w:rPr>
          <w:rFonts w:ascii="Times New Roman" w:hAnsi="Times New Roman" w:cs="Times New Roman"/>
        </w:rPr>
        <w:t xml:space="preserve"> на 5% уровне значимости. </w:t>
      </w:r>
      <w:r w:rsidRPr="00AC54A8">
        <w:rPr>
          <w:rFonts w:ascii="Times New Roman" w:hAnsi="Times New Roman" w:cs="Times New Roman"/>
        </w:rPr>
        <w:t>Также</w:t>
      </w:r>
      <w:r w:rsidRPr="001A38EC">
        <w:rPr>
          <w:rFonts w:ascii="Times New Roman" w:hAnsi="Times New Roman" w:cs="Times New Roman"/>
        </w:rPr>
        <w:t xml:space="preserve"> в этой работе был проведён прогноз будущих значений спроса с 2018 по 2020 годы с помощью рассмотрения разных сценариев ежегодного </w:t>
      </w:r>
      <w:proofErr w:type="spellStart"/>
      <w:proofErr w:type="gramStart"/>
      <w:r w:rsidRPr="001A38EC">
        <w:rPr>
          <w:rFonts w:ascii="Times New Roman" w:hAnsi="Times New Roman" w:cs="Times New Roman"/>
        </w:rPr>
        <w:t>роста,</w:t>
      </w:r>
      <w:r w:rsidR="002514EA">
        <w:rPr>
          <w:rFonts w:ascii="Times New Roman" w:hAnsi="Times New Roman" w:cs="Times New Roman"/>
        </w:rPr>
        <w:t>ы</w:t>
      </w:r>
      <w:proofErr w:type="spellEnd"/>
      <w:proofErr w:type="gramEnd"/>
      <w:r w:rsidRPr="001A38EC">
        <w:rPr>
          <w:rFonts w:ascii="Times New Roman" w:hAnsi="Times New Roman" w:cs="Times New Roman"/>
        </w:rPr>
        <w:t xml:space="preserve"> но это к нашей работе уже не относится. В целом, возникают некоторые вопросы об основании корректного составления эконометрической модели в этой статье.</w:t>
      </w:r>
    </w:p>
    <w:p w14:paraId="613C529A" w14:textId="2FD93EF4" w:rsidR="005D74AA" w:rsidRPr="001A38EC" w:rsidRDefault="005D74AA" w:rsidP="005D74AA">
      <w:pPr>
        <w:pStyle w:val="af4"/>
        <w:shd w:val="clear" w:color="auto" w:fill="FFFFFF"/>
        <w:rPr>
          <w:b/>
          <w:bCs/>
        </w:rPr>
      </w:pPr>
      <w:r w:rsidRPr="001A38EC">
        <w:rPr>
          <w:b/>
          <w:bCs/>
        </w:rPr>
        <w:t>Парадигма "Структура-поведение-результат"</w:t>
      </w:r>
    </w:p>
    <w:p w14:paraId="6239B6BC" w14:textId="16F6BF2B" w:rsidR="005D74AA" w:rsidRPr="001A38EC" w:rsidRDefault="005D74AA" w:rsidP="005D74AA">
      <w:pPr>
        <w:pStyle w:val="af4"/>
        <w:shd w:val="clear" w:color="auto" w:fill="FFFFFF"/>
      </w:pPr>
      <w:r w:rsidRPr="001A38EC">
        <w:t>Данная часть проекта основана на трёх источниках.</w:t>
      </w:r>
    </w:p>
    <w:p w14:paraId="5B242D80" w14:textId="2368CBCC" w:rsidR="005D74AA" w:rsidRPr="001A38EC" w:rsidRDefault="005D74AA" w:rsidP="005D74AA">
      <w:pPr>
        <w:pStyle w:val="af4"/>
        <w:shd w:val="clear" w:color="auto" w:fill="FFFFFF"/>
      </w:pPr>
      <w:r w:rsidRPr="001A38EC">
        <w:t xml:space="preserve">Первый – обзор рынка жилой недвижимости Москвы (1кв. 2024) от </w:t>
      </w:r>
      <w:proofErr w:type="spellStart"/>
      <w:r w:rsidRPr="001A38EC">
        <w:rPr>
          <w:lang w:val="en-US"/>
        </w:rPr>
        <w:t>Nikoliers</w:t>
      </w:r>
      <w:proofErr w:type="spellEnd"/>
      <w:r w:rsidRPr="001A38EC">
        <w:t xml:space="preserve">. Найден в телеграм-канале </w:t>
      </w:r>
      <w:proofErr w:type="spellStart"/>
      <w:r w:rsidRPr="001A38EC">
        <w:t>Экспертосфера</w:t>
      </w:r>
      <w:proofErr w:type="spellEnd"/>
      <w:r w:rsidRPr="001A38EC">
        <w:t>.</w:t>
      </w:r>
    </w:p>
    <w:p w14:paraId="15F27439" w14:textId="77777777" w:rsidR="005D74AA" w:rsidRPr="001A38EC" w:rsidRDefault="005D74AA" w:rsidP="005D74AA">
      <w:pPr>
        <w:pStyle w:val="af4"/>
        <w:shd w:val="clear" w:color="auto" w:fill="FFFFFF"/>
      </w:pPr>
      <w:r w:rsidRPr="001A38EC">
        <w:t xml:space="preserve">Второй – статья </w:t>
      </w:r>
      <w:hyperlink r:id="rId9" w:history="1">
        <w:r w:rsidRPr="001A38EC">
          <w:rPr>
            <w:rStyle w:val="af"/>
          </w:rPr>
          <w:t>https://pampadu.ru/blog/3597-spros-na-kvartiry-i-nedvizhimost-v-2023-godu/</w:t>
        </w:r>
      </w:hyperlink>
      <w:r w:rsidRPr="001A38EC">
        <w:t xml:space="preserve"> </w:t>
      </w:r>
    </w:p>
    <w:p w14:paraId="116177B1" w14:textId="6F4832D9" w:rsidR="005D74AA" w:rsidRPr="001A38EC" w:rsidRDefault="005D74AA" w:rsidP="005D74AA">
      <w:pPr>
        <w:pStyle w:val="af4"/>
        <w:shd w:val="clear" w:color="auto" w:fill="FFFFFF"/>
      </w:pPr>
      <w:r w:rsidRPr="001A38EC">
        <w:t xml:space="preserve">Третий – итоги 2023 года в жилищной сфере от </w:t>
      </w:r>
      <w:r w:rsidR="00C05BCB" w:rsidRPr="001A38EC">
        <w:t>ДОМ</w:t>
      </w:r>
      <w:r w:rsidRPr="001A38EC">
        <w:t>.</w:t>
      </w:r>
      <w:r w:rsidR="00C05BCB" w:rsidRPr="001A38EC">
        <w:t>РФ</w:t>
      </w:r>
      <w:r w:rsidRPr="001A38EC">
        <w:t xml:space="preserve">. </w:t>
      </w:r>
    </w:p>
    <w:p w14:paraId="633971A1" w14:textId="77777777" w:rsidR="005D74AA" w:rsidRPr="001A38EC" w:rsidRDefault="005D74AA" w:rsidP="005D74AA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14:paraId="16B83FA4" w14:textId="77777777" w:rsidR="005D74AA" w:rsidRDefault="005D74AA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0E795E10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477C25BC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738A612B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1168B2D8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71BC4D2D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21988BFA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2378B434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4453837C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2B6D192C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1B9986EF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30EA560E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37EC6977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4A3BE044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7B312A3C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0FB0A4E4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073C877C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32AF5E39" w14:textId="77777777" w:rsidR="001A38EC" w:rsidRDefault="001A38EC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5D1C9A98" w14:textId="77777777" w:rsidR="005D74AA" w:rsidRPr="001A38EC" w:rsidRDefault="005D74AA" w:rsidP="0045406E">
      <w:pPr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62D3782D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b/>
          <w:sz w:val="20"/>
          <w:szCs w:val="20"/>
          <w:lang w:eastAsia="ja-JP"/>
        </w:rPr>
      </w:pPr>
    </w:p>
    <w:p w14:paraId="2DC90D66" w14:textId="2D63A591" w:rsidR="005D74AA" w:rsidRPr="001A38EC" w:rsidRDefault="005D74AA" w:rsidP="005D74AA">
      <w:pPr>
        <w:jc w:val="center"/>
        <w:rPr>
          <w:rFonts w:ascii="Times New Roman" w:hAnsi="Times New Roman" w:cs="Times New Roman"/>
          <w:b/>
        </w:rPr>
      </w:pPr>
      <w:r w:rsidRPr="001A38EC">
        <w:rPr>
          <w:rFonts w:ascii="Times New Roman" w:hAnsi="Times New Roman" w:cs="Times New Roman"/>
          <w:b/>
          <w:lang w:eastAsia="ja-JP"/>
        </w:rPr>
        <w:lastRenderedPageBreak/>
        <w:t>Блоки п</w:t>
      </w:r>
      <w:r w:rsidRPr="001A38EC">
        <w:rPr>
          <w:rFonts w:ascii="Times New Roman" w:hAnsi="Times New Roman" w:cs="Times New Roman"/>
          <w:b/>
        </w:rPr>
        <w:t>арадигмы «Структура – поведение – результат»</w:t>
      </w:r>
    </w:p>
    <w:p w14:paraId="3801E94F" w14:textId="0AAB433F" w:rsidR="005D74AA" w:rsidRPr="001A38EC" w:rsidRDefault="005D74AA" w:rsidP="005D74AA">
      <w:pPr>
        <w:jc w:val="center"/>
        <w:rPr>
          <w:rFonts w:ascii="Times New Roman" w:hAnsi="Times New Roman" w:cs="Times New Roman"/>
          <w:b/>
        </w:rPr>
      </w:pPr>
      <w:r w:rsidRPr="001A38EC">
        <w:rPr>
          <w:rFonts w:ascii="Times New Roman" w:hAnsi="Times New Roman" w:cs="Times New Roman"/>
          <w:b/>
        </w:rPr>
        <w:t>Московского рынка недвижимости</w:t>
      </w:r>
    </w:p>
    <w:p w14:paraId="1513C8B7" w14:textId="77777777" w:rsidR="005D74AA" w:rsidRPr="001A38EC" w:rsidRDefault="005D74AA" w:rsidP="005D74AA">
      <w:pPr>
        <w:rPr>
          <w:rFonts w:ascii="Times New Roman" w:hAnsi="Times New Roman" w:cs="Times New Roman"/>
          <w:sz w:val="20"/>
          <w:szCs w:val="20"/>
        </w:rPr>
      </w:pPr>
    </w:p>
    <w:p w14:paraId="3307D2F9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2940"/>
        <w:gridCol w:w="3009"/>
      </w:tblGrid>
      <w:tr w:rsidR="005D74AA" w:rsidRPr="001A38EC" w14:paraId="70CA3B29" w14:textId="77777777" w:rsidTr="00E57A5E">
        <w:trPr>
          <w:trHeight w:val="32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96B24" w:themeFill="accent3"/>
            <w:noWrap/>
            <w:vAlign w:val="bottom"/>
            <w:hideMark/>
          </w:tcPr>
          <w:p w14:paraId="4E3560AA" w14:textId="77777777" w:rsidR="005D74AA" w:rsidRPr="001A38EC" w:rsidRDefault="005D74AA" w:rsidP="00E5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eastAsia="Times New Roman" w:hAnsi="Times New Roman" w:cs="Times New Roman"/>
                <w:color w:val="FFFFFF" w:themeColor="background1"/>
              </w:rPr>
              <w:t>Базовые условия</w:t>
            </w:r>
          </w:p>
        </w:tc>
      </w:tr>
      <w:tr w:rsidR="005D74AA" w:rsidRPr="001A38EC" w14:paraId="02A949F1" w14:textId="77777777" w:rsidTr="00E57A5E">
        <w:trPr>
          <w:trHeight w:val="320"/>
          <w:jc w:val="center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9932" w14:textId="77777777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 стороны спроса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CC09" w14:textId="77777777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 стороны предложения</w:t>
            </w:r>
          </w:p>
        </w:tc>
      </w:tr>
      <w:tr w:rsidR="005D74AA" w:rsidRPr="001A38EC" w14:paraId="49CC2029" w14:textId="77777777" w:rsidTr="00DF6F68">
        <w:trPr>
          <w:trHeight w:val="696"/>
          <w:jc w:val="center"/>
        </w:trPr>
        <w:tc>
          <w:tcPr>
            <w:tcW w:w="29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5CEC3" w14:textId="77777777" w:rsidR="005D74AA" w:rsidRPr="001A38EC" w:rsidRDefault="005D74AA" w:rsidP="005D74AA">
            <w:pPr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Рост экономики, высокие темпы повышения зарплат и рекордно низкая безработица обеспечивали рост спроса на жилье в течение всего 2023 года</w:t>
            </w:r>
          </w:p>
          <w:p w14:paraId="33865FC5" w14:textId="7AD16D11" w:rsidR="005D74AA" w:rsidRPr="001A38EC" w:rsidRDefault="005D74AA" w:rsidP="005D74AA">
            <w:pPr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4CB68" w14:textId="52200E0C" w:rsidR="005D74AA" w:rsidRPr="001A38EC" w:rsidRDefault="005D74AA" w:rsidP="005D74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Застройщики</w:t>
            </w:r>
            <w:proofErr w:type="spellEnd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по итогам 2023 г. вывели на рынок </w:t>
            </w:r>
            <w:proofErr w:type="spellStart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самыи</w:t>
            </w:r>
            <w:proofErr w:type="spellEnd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̆ </w:t>
            </w:r>
            <w:proofErr w:type="spellStart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большои</w:t>
            </w:r>
            <w:proofErr w:type="spellEnd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̆ за историю наблюдений объем новых проектов (49 млн кв. м)</w:t>
            </w:r>
          </w:p>
        </w:tc>
      </w:tr>
      <w:tr w:rsidR="005D74AA" w:rsidRPr="001A38EC" w14:paraId="4285C10B" w14:textId="77777777" w:rsidTr="005D74AA">
        <w:trPr>
          <w:trHeight w:val="230"/>
          <w:jc w:val="center"/>
        </w:trPr>
        <w:tc>
          <w:tcPr>
            <w:tcW w:w="2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72B7" w14:textId="77777777" w:rsidR="005D74AA" w:rsidRPr="001A38EC" w:rsidRDefault="005D74AA" w:rsidP="005D74AA">
            <w:pPr>
              <w:jc w:val="both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D99DB7A" w14:textId="77777777" w:rsidR="005D74AA" w:rsidRPr="001A38EC" w:rsidRDefault="005D74AA" w:rsidP="00E5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AA" w:rsidRPr="001A38EC" w14:paraId="5D74CC4B" w14:textId="77777777" w:rsidTr="002336F3">
        <w:trPr>
          <w:trHeight w:val="348"/>
          <w:jc w:val="center"/>
        </w:trPr>
        <w:tc>
          <w:tcPr>
            <w:tcW w:w="29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4A4F8" w14:textId="77777777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9A1E6" w14:textId="77777777" w:rsidR="005D74AA" w:rsidRPr="001A38EC" w:rsidRDefault="005D74AA" w:rsidP="00E5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AA" w:rsidRPr="001A38EC" w14:paraId="2CF501D6" w14:textId="77777777" w:rsidTr="002336F3">
        <w:trPr>
          <w:trHeight w:val="230"/>
          <w:jc w:val="center"/>
        </w:trPr>
        <w:tc>
          <w:tcPr>
            <w:tcW w:w="2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E8104" w14:textId="77777777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E083C10" w14:textId="77777777" w:rsidR="005D74AA" w:rsidRPr="001A38EC" w:rsidRDefault="005D74AA" w:rsidP="00E5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AA" w:rsidRPr="001A38EC" w14:paraId="06D01518" w14:textId="77777777" w:rsidTr="00432C87">
        <w:trPr>
          <w:trHeight w:val="456"/>
          <w:jc w:val="center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9A79C" w14:textId="77777777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FB6AE" w14:textId="77777777" w:rsidR="005D74AA" w:rsidRPr="001A38EC" w:rsidRDefault="005D74AA" w:rsidP="00E5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FA9465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page" w:tblpX="7141" w:tblpY="136"/>
        <w:tblW w:w="3256" w:type="dxa"/>
        <w:tblLook w:val="04A0" w:firstRow="1" w:lastRow="0" w:firstColumn="1" w:lastColumn="0" w:noHBand="0" w:noVBand="1"/>
      </w:tblPr>
      <w:tblGrid>
        <w:gridCol w:w="3256"/>
      </w:tblGrid>
      <w:tr w:rsidR="005D74AA" w:rsidRPr="001A38EC" w14:paraId="301AE593" w14:textId="77777777" w:rsidTr="00E57A5E">
        <w:trPr>
          <w:trHeight w:val="3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6B24" w:themeFill="accent3"/>
            <w:noWrap/>
            <w:vAlign w:val="bottom"/>
            <w:hideMark/>
          </w:tcPr>
          <w:p w14:paraId="461BB5D1" w14:textId="77777777" w:rsidR="005D74AA" w:rsidRPr="001A38EC" w:rsidRDefault="005D74AA" w:rsidP="005D74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eastAsia="Times New Roman" w:hAnsi="Times New Roman" w:cs="Times New Roman"/>
                <w:color w:val="FFFFFF" w:themeColor="background1"/>
              </w:rPr>
              <w:t>Государственная политика</w:t>
            </w:r>
          </w:p>
        </w:tc>
      </w:tr>
      <w:tr w:rsidR="005D74AA" w:rsidRPr="001A38EC" w14:paraId="1B997143" w14:textId="77777777" w:rsidTr="005D74AA">
        <w:trPr>
          <w:trHeight w:val="8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5F94B" w14:textId="500B8219" w:rsidR="005D74AA" w:rsidRPr="001A38EC" w:rsidRDefault="005D74AA" w:rsidP="005D74AA">
            <w:pPr>
              <w:pStyle w:val="af4"/>
              <w:shd w:val="clear" w:color="auto" w:fill="FFFFFF"/>
              <w:rPr>
                <w:sz w:val="20"/>
                <w:szCs w:val="20"/>
              </w:rPr>
            </w:pPr>
            <w:r w:rsidRPr="001A38EC">
              <w:rPr>
                <w:color w:val="000000" w:themeColor="text1"/>
                <w:sz w:val="20"/>
                <w:szCs w:val="20"/>
              </w:rPr>
              <w:t>В марте на очередном заседании ЦБ принято решение оставить ключевую ставку на прежнем уровне (16%)</w:t>
            </w:r>
          </w:p>
        </w:tc>
      </w:tr>
      <w:tr w:rsidR="005D74AA" w:rsidRPr="001A38EC" w14:paraId="19C1B34B" w14:textId="77777777" w:rsidTr="005D74AA">
        <w:trPr>
          <w:trHeight w:val="58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AE7F6" w14:textId="5C7B6EA0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увеличение первоначального взноса по льготной ипотеке до 20%</w:t>
            </w:r>
          </w:p>
        </w:tc>
      </w:tr>
      <w:tr w:rsidR="005D74AA" w:rsidRPr="001A38EC" w14:paraId="48DF588F" w14:textId="77777777" w:rsidTr="00E57A5E">
        <w:trPr>
          <w:trHeight w:val="58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7FF71" w14:textId="77777777" w:rsidR="005D74AA" w:rsidRPr="001A38EC" w:rsidRDefault="005D74AA" w:rsidP="00E57A5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76"/>
        <w:tblW w:w="4437" w:type="dxa"/>
        <w:tblLook w:val="04A0" w:firstRow="1" w:lastRow="0" w:firstColumn="1" w:lastColumn="0" w:noHBand="0" w:noVBand="1"/>
      </w:tblPr>
      <w:tblGrid>
        <w:gridCol w:w="4437"/>
      </w:tblGrid>
      <w:tr w:rsidR="005D74AA" w:rsidRPr="001A38EC" w14:paraId="500CDF19" w14:textId="77777777" w:rsidTr="005D74AA">
        <w:trPr>
          <w:trHeight w:val="123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6B24" w:themeFill="accent3"/>
            <w:noWrap/>
            <w:vAlign w:val="bottom"/>
            <w:hideMark/>
          </w:tcPr>
          <w:p w14:paraId="3B553CDE" w14:textId="77777777" w:rsidR="005D74AA" w:rsidRPr="001A38EC" w:rsidRDefault="005D74AA" w:rsidP="005D74A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A38EC">
              <w:rPr>
                <w:rFonts w:ascii="Times New Roman" w:eastAsia="Times New Roman" w:hAnsi="Times New Roman" w:cs="Times New Roman"/>
                <w:color w:val="FFFFFF" w:themeColor="background1"/>
              </w:rPr>
              <w:t>Структура рынка</w:t>
            </w:r>
          </w:p>
        </w:tc>
      </w:tr>
      <w:tr w:rsidR="005D74AA" w:rsidRPr="001A38EC" w14:paraId="238B12A4" w14:textId="77777777" w:rsidTr="005D74AA">
        <w:trPr>
          <w:trHeight w:val="616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7A2BE" w14:textId="4FD16292" w:rsidR="005D74AA" w:rsidRPr="001A38EC" w:rsidRDefault="005D74AA" w:rsidP="005D74AA">
            <w:pPr>
              <w:pStyle w:val="af4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A38EC">
              <w:rPr>
                <w:color w:val="000000" w:themeColor="text1"/>
                <w:sz w:val="20"/>
                <w:szCs w:val="20"/>
              </w:rPr>
              <w:t xml:space="preserve">Масштабирование и диверсификация портфеля </w:t>
            </w:r>
            <w:proofErr w:type="spellStart"/>
            <w:r w:rsidRPr="001A38EC">
              <w:rPr>
                <w:color w:val="000000" w:themeColor="text1"/>
                <w:sz w:val="20"/>
                <w:szCs w:val="20"/>
              </w:rPr>
              <w:t>застройщиков</w:t>
            </w:r>
            <w:proofErr w:type="spellEnd"/>
            <w:r w:rsidRPr="001A38EC">
              <w:rPr>
                <w:color w:val="000000" w:themeColor="text1"/>
                <w:sz w:val="20"/>
                <w:szCs w:val="20"/>
              </w:rPr>
              <w:t xml:space="preserve"> с Москвы на регионы </w:t>
            </w:r>
          </w:p>
        </w:tc>
      </w:tr>
      <w:tr w:rsidR="005D74AA" w:rsidRPr="001A38EC" w14:paraId="51BEF438" w14:textId="77777777" w:rsidTr="005D74AA">
        <w:trPr>
          <w:trHeight w:val="67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EBA7246" w14:textId="3D6C5AF3" w:rsidR="005D74AA" w:rsidRPr="001A38EC" w:rsidRDefault="005D74AA" w:rsidP="005D74AA">
            <w:pPr>
              <w:pStyle w:val="af4"/>
              <w:shd w:val="clear" w:color="auto" w:fill="FFFFFF"/>
              <w:rPr>
                <w:sz w:val="20"/>
                <w:szCs w:val="20"/>
              </w:rPr>
            </w:pPr>
            <w:r w:rsidRPr="001A38EC">
              <w:rPr>
                <w:color w:val="49494C"/>
                <w:sz w:val="20"/>
                <w:szCs w:val="20"/>
              </w:rPr>
              <w:t xml:space="preserve">Размытие классов жилья и смещение бизнес- сегмента в более отдаленные от центра Москвы локации </w:t>
            </w:r>
          </w:p>
        </w:tc>
      </w:tr>
      <w:tr w:rsidR="005D74AA" w:rsidRPr="001A38EC" w14:paraId="1EC2CB10" w14:textId="77777777" w:rsidTr="005D74AA">
        <w:trPr>
          <w:trHeight w:val="154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36BFF" w14:textId="77777777" w:rsidR="005D74AA" w:rsidRPr="001A38EC" w:rsidRDefault="005D74AA" w:rsidP="005D74AA">
            <w:pPr>
              <w:pStyle w:val="af4"/>
              <w:shd w:val="clear" w:color="auto" w:fill="FFFFFF"/>
              <w:rPr>
                <w:color w:val="49494C"/>
                <w:sz w:val="20"/>
                <w:szCs w:val="20"/>
              </w:rPr>
            </w:pPr>
          </w:p>
        </w:tc>
      </w:tr>
      <w:tr w:rsidR="005D74AA" w:rsidRPr="001A38EC" w14:paraId="590C1DA2" w14:textId="77777777" w:rsidTr="005D74AA">
        <w:trPr>
          <w:trHeight w:val="139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E7B3E25" w14:textId="77777777" w:rsidR="005D74AA" w:rsidRPr="001A38EC" w:rsidRDefault="005D74AA" w:rsidP="005D74AA">
            <w:pPr>
              <w:pStyle w:val="af4"/>
              <w:shd w:val="clear" w:color="auto" w:fill="FFFFFF"/>
              <w:rPr>
                <w:color w:val="49494C"/>
                <w:sz w:val="20"/>
                <w:szCs w:val="20"/>
              </w:rPr>
            </w:pPr>
          </w:p>
        </w:tc>
      </w:tr>
      <w:tr w:rsidR="005D74AA" w:rsidRPr="001A38EC" w14:paraId="7250A769" w14:textId="77777777" w:rsidTr="005D74AA">
        <w:trPr>
          <w:trHeight w:val="64"/>
        </w:trPr>
        <w:tc>
          <w:tcPr>
            <w:tcW w:w="4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9450" w14:textId="77777777" w:rsidR="005D74AA" w:rsidRPr="001A38EC" w:rsidRDefault="005D74AA" w:rsidP="005D74AA">
            <w:pPr>
              <w:pStyle w:val="af4"/>
              <w:shd w:val="clear" w:color="auto" w:fill="FFFFFF"/>
              <w:rPr>
                <w:color w:val="49494C"/>
                <w:sz w:val="20"/>
                <w:szCs w:val="20"/>
              </w:rPr>
            </w:pPr>
          </w:p>
        </w:tc>
      </w:tr>
    </w:tbl>
    <w:p w14:paraId="2956D939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D829AA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6C31CF3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63A66F9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98D505A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5043C4" w14:textId="5E9F189C" w:rsidR="005D74AA" w:rsidRPr="001A38EC" w:rsidRDefault="005D74AA" w:rsidP="005D74AA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page" w:tblpX="2305" w:tblpY="1811"/>
        <w:tblW w:w="2940" w:type="dxa"/>
        <w:tblLook w:val="04A0" w:firstRow="1" w:lastRow="0" w:firstColumn="1" w:lastColumn="0" w:noHBand="0" w:noVBand="1"/>
      </w:tblPr>
      <w:tblGrid>
        <w:gridCol w:w="2940"/>
      </w:tblGrid>
      <w:tr w:rsidR="005D74AA" w:rsidRPr="001A38EC" w14:paraId="433F462C" w14:textId="77777777" w:rsidTr="005D74AA">
        <w:trPr>
          <w:trHeight w:val="32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6B24" w:themeFill="accent3"/>
            <w:noWrap/>
            <w:vAlign w:val="bottom"/>
            <w:hideMark/>
          </w:tcPr>
          <w:p w14:paraId="6B44A372" w14:textId="77777777" w:rsidR="005D74AA" w:rsidRPr="001A38EC" w:rsidRDefault="005D74AA" w:rsidP="005D74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hAnsi="Times New Roman" w:cs="Times New Roman"/>
                <w:color w:val="FFFFFF" w:themeColor="background1"/>
              </w:rPr>
              <w:t>Поведение фирм на рынке</w:t>
            </w:r>
          </w:p>
        </w:tc>
      </w:tr>
      <w:tr w:rsidR="005D74AA" w:rsidRPr="001A38EC" w14:paraId="1255A835" w14:textId="77777777" w:rsidTr="005D74AA">
        <w:trPr>
          <w:trHeight w:val="272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661CE" w14:textId="77777777" w:rsidR="005D74AA" w:rsidRPr="001A38EC" w:rsidRDefault="005D74AA" w:rsidP="005D74A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Девелоперы увеличили строительную активность, стремясь создать «задел»</w:t>
            </w:r>
          </w:p>
          <w:p w14:paraId="6D73E644" w14:textId="0A4304E4" w:rsidR="005D74AA" w:rsidRPr="001A38EC" w:rsidRDefault="005D74AA" w:rsidP="005D74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по продажам до ожидаемого отключения «</w:t>
            </w:r>
            <w:proofErr w:type="spellStart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Льготнои</w:t>
            </w:r>
            <w:proofErr w:type="spellEnd"/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̆ ипотеки».</w:t>
            </w:r>
          </w:p>
        </w:tc>
      </w:tr>
      <w:tr w:rsidR="005D74AA" w:rsidRPr="001A38EC" w14:paraId="4224FFD6" w14:textId="77777777" w:rsidTr="005D74AA">
        <w:trPr>
          <w:trHeight w:val="32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2F95C" w14:textId="77777777" w:rsidR="005D74AA" w:rsidRPr="001A38EC" w:rsidRDefault="005D74AA" w:rsidP="005D74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D74AA" w:rsidRPr="001A38EC" w14:paraId="0BE5EACF" w14:textId="77777777" w:rsidTr="005D74AA">
        <w:trPr>
          <w:trHeight w:val="24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303820" w14:textId="77777777" w:rsidR="005D74AA" w:rsidRPr="001A38EC" w:rsidRDefault="005D74AA" w:rsidP="005D74A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B22A323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D96428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0E448D9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0CB591D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50EF8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025C37C2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26D3C407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2513FD04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0ADE3CFA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0AD5F0FB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4C8A7C77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77D5AC4E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5B402CB0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47FF3B9F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259F1AE1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63D6F497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p w14:paraId="4872304D" w14:textId="77777777" w:rsidR="005D74AA" w:rsidRPr="001A38EC" w:rsidRDefault="005D74AA" w:rsidP="005D74AA">
      <w:pPr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5209" w:tblpY="-53"/>
        <w:tblW w:w="3964" w:type="dxa"/>
        <w:tblLook w:val="04A0" w:firstRow="1" w:lastRow="0" w:firstColumn="1" w:lastColumn="0" w:noHBand="0" w:noVBand="1"/>
      </w:tblPr>
      <w:tblGrid>
        <w:gridCol w:w="3964"/>
      </w:tblGrid>
      <w:tr w:rsidR="005D74AA" w:rsidRPr="001A38EC" w14:paraId="607CD4E1" w14:textId="77777777" w:rsidTr="005D74AA">
        <w:trPr>
          <w:trHeight w:val="68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6B24" w:themeFill="accent3"/>
            <w:vAlign w:val="bottom"/>
            <w:hideMark/>
          </w:tcPr>
          <w:p w14:paraId="0CCAF099" w14:textId="77777777" w:rsidR="005D74AA" w:rsidRPr="001A38EC" w:rsidRDefault="005D74AA" w:rsidP="005D74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eastAsia="Times New Roman" w:hAnsi="Times New Roman" w:cs="Times New Roman"/>
                <w:color w:val="FFFFFF" w:themeColor="background1"/>
              </w:rPr>
              <w:t>Результативность функционирования рынка</w:t>
            </w:r>
          </w:p>
        </w:tc>
      </w:tr>
      <w:tr w:rsidR="005D74AA" w:rsidRPr="001A38EC" w14:paraId="7D1E1942" w14:textId="77777777" w:rsidTr="005D74AA">
        <w:trPr>
          <w:trHeight w:val="86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FA307" w14:textId="77777777" w:rsidR="005D74AA" w:rsidRPr="001A38EC" w:rsidRDefault="005D74AA" w:rsidP="005D74AA">
            <w:pPr>
              <w:pStyle w:val="af4"/>
              <w:shd w:val="clear" w:color="auto" w:fill="FFFFFF"/>
              <w:rPr>
                <w:sz w:val="20"/>
                <w:szCs w:val="20"/>
              </w:rPr>
            </w:pPr>
            <w:r w:rsidRPr="001A38EC">
              <w:rPr>
                <w:color w:val="000000" w:themeColor="text1"/>
                <w:sz w:val="20"/>
                <w:szCs w:val="20"/>
              </w:rPr>
              <w:t xml:space="preserve">По итогам I квартала 2024 г. общая средневзвешенная цена квадратного метра </w:t>
            </w:r>
            <w:proofErr w:type="spellStart"/>
            <w:r w:rsidRPr="001A38EC">
              <w:rPr>
                <w:color w:val="000000" w:themeColor="text1"/>
                <w:sz w:val="20"/>
                <w:szCs w:val="20"/>
              </w:rPr>
              <w:t>жилои</w:t>
            </w:r>
            <w:proofErr w:type="spellEnd"/>
            <w:r w:rsidRPr="001A38EC">
              <w:rPr>
                <w:color w:val="000000" w:themeColor="text1"/>
                <w:sz w:val="20"/>
                <w:szCs w:val="20"/>
              </w:rPr>
              <w:t xml:space="preserve">̆ недвижимости Москвы по всем классам выросла на 2%, до 471 тыс. руб. за кв. м, а за год увеличение произошло на 8%. </w:t>
            </w:r>
          </w:p>
        </w:tc>
      </w:tr>
      <w:tr w:rsidR="005D74AA" w:rsidRPr="001A38EC" w14:paraId="732838E8" w14:textId="77777777" w:rsidTr="005D74AA">
        <w:trPr>
          <w:trHeight w:val="32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BF164" w14:textId="77777777" w:rsidR="005D74AA" w:rsidRPr="001A38EC" w:rsidRDefault="005D74AA" w:rsidP="005D74A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A38EC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 результате объем строящегося жилья обновил максимум с 2020 г. ‒ 106 млн кв. м.</w:t>
            </w:r>
          </w:p>
        </w:tc>
      </w:tr>
    </w:tbl>
    <w:p w14:paraId="5FB3E5F1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944F1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6882CF" w14:textId="77777777" w:rsidR="005D74AA" w:rsidRPr="001A38EC" w:rsidRDefault="005D74AA" w:rsidP="005D74AA">
      <w:pPr>
        <w:rPr>
          <w:rFonts w:ascii="Times New Roman" w:hAnsi="Times New Roman" w:cs="Times New Roman"/>
          <w:b/>
          <w:sz w:val="28"/>
          <w:szCs w:val="28"/>
        </w:rPr>
      </w:pPr>
    </w:p>
    <w:p w14:paraId="3E6F0BED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95CF0" w14:textId="77777777" w:rsidR="005D74AA" w:rsidRPr="001A38EC" w:rsidRDefault="005D74AA" w:rsidP="005D74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5A1E2" w14:textId="77777777" w:rsidR="00186BAF" w:rsidRPr="001A38EC" w:rsidRDefault="00186BAF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3" w:name="_heading=h.mukrb5vscq1d" w:colFirst="0" w:colLast="0"/>
      <w:bookmarkEnd w:id="3"/>
    </w:p>
    <w:p w14:paraId="33A5C78E" w14:textId="77777777" w:rsidR="005D74AA" w:rsidRPr="001A38EC" w:rsidRDefault="005D74AA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EBB659D" w14:textId="77777777" w:rsidR="005D74AA" w:rsidRPr="001A38EC" w:rsidRDefault="005D74AA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1B1C791" w14:textId="77777777" w:rsidR="005D74AA" w:rsidRPr="001A38EC" w:rsidRDefault="005D74AA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0186276" w14:textId="77777777" w:rsidR="005D74AA" w:rsidRPr="001A38EC" w:rsidRDefault="005D74AA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EEE4B6D" w14:textId="77777777" w:rsidR="005D74AA" w:rsidRPr="001A38EC" w:rsidRDefault="005D74AA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6C897B3" w14:textId="328622B5" w:rsidR="00186BAF" w:rsidRPr="001A38EC" w:rsidRDefault="00186BAF" w:rsidP="001B164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hAnsi="Times New Roman" w:cs="Times New Roman"/>
          <w:b/>
          <w:bCs/>
        </w:rPr>
        <w:lastRenderedPageBreak/>
        <w:t>Обзор данных</w:t>
      </w:r>
    </w:p>
    <w:p w14:paraId="2496D1EA" w14:textId="6F322FB4" w:rsidR="00186BAF" w:rsidRPr="001A38EC" w:rsidRDefault="00186BAF" w:rsidP="001B1645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Переменные, которые мы рассматриваем далее в нашей модели: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397"/>
        <w:gridCol w:w="2516"/>
        <w:gridCol w:w="2144"/>
        <w:gridCol w:w="1288"/>
      </w:tblGrid>
      <w:tr w:rsidR="00FC7619" w:rsidRPr="001A38EC" w14:paraId="0B172A8E" w14:textId="77777777" w:rsidTr="00251F93">
        <w:tc>
          <w:tcPr>
            <w:tcW w:w="3397" w:type="dxa"/>
          </w:tcPr>
          <w:p w14:paraId="0B151BB5" w14:textId="0A461C36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38EC">
              <w:rPr>
                <w:rFonts w:ascii="Times New Roman" w:hAnsi="Times New Roman" w:cs="Times New Roman"/>
                <w:b/>
                <w:bCs/>
              </w:rPr>
              <w:t>Описание переменной</w:t>
            </w:r>
          </w:p>
        </w:tc>
        <w:tc>
          <w:tcPr>
            <w:tcW w:w="2516" w:type="dxa"/>
          </w:tcPr>
          <w:p w14:paraId="43D4B26A" w14:textId="3EB4F67E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38EC">
              <w:rPr>
                <w:rFonts w:ascii="Times New Roman" w:hAnsi="Times New Roman" w:cs="Times New Roman"/>
                <w:b/>
                <w:bCs/>
              </w:rPr>
              <w:t>Обозначение</w:t>
            </w:r>
          </w:p>
        </w:tc>
        <w:tc>
          <w:tcPr>
            <w:tcW w:w="2144" w:type="dxa"/>
          </w:tcPr>
          <w:p w14:paraId="51CD672C" w14:textId="0C4390AC" w:rsidR="0057770D" w:rsidRPr="001A38EC" w:rsidRDefault="0057770D" w:rsidP="001B16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38EC">
              <w:rPr>
                <w:rFonts w:ascii="Times New Roman" w:hAnsi="Times New Roman" w:cs="Times New Roman"/>
                <w:b/>
                <w:bCs/>
              </w:rPr>
              <w:t>Тип переменной</w:t>
            </w:r>
          </w:p>
        </w:tc>
        <w:tc>
          <w:tcPr>
            <w:tcW w:w="1288" w:type="dxa"/>
          </w:tcPr>
          <w:p w14:paraId="4FFBD495" w14:textId="1458D2BC" w:rsidR="0057770D" w:rsidRPr="001A38EC" w:rsidRDefault="0057770D" w:rsidP="001B16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38EC">
              <w:rPr>
                <w:rFonts w:ascii="Times New Roman" w:hAnsi="Times New Roman" w:cs="Times New Roman"/>
                <w:b/>
                <w:bCs/>
              </w:rPr>
              <w:t>Источник</w:t>
            </w:r>
          </w:p>
        </w:tc>
      </w:tr>
      <w:tr w:rsidR="00FC7619" w:rsidRPr="001A38EC" w14:paraId="198B77DD" w14:textId="77777777" w:rsidTr="00251F93">
        <w:tc>
          <w:tcPr>
            <w:tcW w:w="3397" w:type="dxa"/>
          </w:tcPr>
          <w:p w14:paraId="12C83592" w14:textId="51315DD8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Проданная площадь для застройщика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момент времени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[м2]</w:t>
            </w:r>
          </w:p>
        </w:tc>
        <w:tc>
          <w:tcPr>
            <w:tcW w:w="2516" w:type="dxa"/>
          </w:tcPr>
          <w:p w14:paraId="25BBED6B" w14:textId="02854C84" w:rsidR="0057770D" w:rsidRPr="001A38EC" w:rsidRDefault="00000000" w:rsidP="001B164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358FF15F" w14:textId="0595BBB5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Зависимая</w:t>
            </w:r>
          </w:p>
        </w:tc>
        <w:tc>
          <w:tcPr>
            <w:tcW w:w="1288" w:type="dxa"/>
          </w:tcPr>
          <w:p w14:paraId="6E2B98A2" w14:textId="370D43DA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ДОМ.РФ</w:t>
            </w:r>
          </w:p>
        </w:tc>
      </w:tr>
      <w:tr w:rsidR="00FC7619" w:rsidRPr="001A38EC" w14:paraId="3E9A9D51" w14:textId="77777777" w:rsidTr="00251F93">
        <w:tc>
          <w:tcPr>
            <w:tcW w:w="3397" w:type="dxa"/>
          </w:tcPr>
          <w:p w14:paraId="16821A40" w14:textId="1001A8AC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Средняя стоимость 1 квадратного метра для застройщика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момент времени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[руб]</w:t>
            </w:r>
          </w:p>
        </w:tc>
        <w:tc>
          <w:tcPr>
            <w:tcW w:w="2516" w:type="dxa"/>
          </w:tcPr>
          <w:p w14:paraId="1835CF3C" w14:textId="613D2A1C" w:rsidR="0057770D" w:rsidRPr="001A38EC" w:rsidRDefault="00000000" w:rsidP="001B164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635BFD4C" w14:textId="7FB75526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Эндогенная</w:t>
            </w:r>
          </w:p>
        </w:tc>
        <w:tc>
          <w:tcPr>
            <w:tcW w:w="1288" w:type="dxa"/>
          </w:tcPr>
          <w:p w14:paraId="5B1137E8" w14:textId="3B674BC3" w:rsidR="0057770D" w:rsidRPr="001A38EC" w:rsidRDefault="00251F93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ДОМ.РФ</w:t>
            </w:r>
          </w:p>
        </w:tc>
      </w:tr>
      <w:tr w:rsidR="00013392" w:rsidRPr="001A38EC" w14:paraId="5F369905" w14:textId="77777777" w:rsidTr="00251F93">
        <w:tc>
          <w:tcPr>
            <w:tcW w:w="3397" w:type="dxa"/>
          </w:tcPr>
          <w:p w14:paraId="6CD73520" w14:textId="3EA98B01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Доход на душу населения в месяц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[руб]</w:t>
            </w:r>
          </w:p>
        </w:tc>
        <w:tc>
          <w:tcPr>
            <w:tcW w:w="2516" w:type="dxa"/>
          </w:tcPr>
          <w:p w14:paraId="171DFC59" w14:textId="6FB04963" w:rsidR="00013392" w:rsidRPr="001A38EC" w:rsidRDefault="00013392" w:rsidP="001B1645">
            <w:pPr>
              <w:spacing w:line="360" w:lineRule="auto"/>
              <w:jc w:val="both"/>
              <w:rPr>
                <w:rFonts w:ascii="Times New Roman" w:eastAsia="Aptos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Incom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74668F36" w14:textId="65228847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Экзогенная</w:t>
            </w:r>
          </w:p>
        </w:tc>
        <w:tc>
          <w:tcPr>
            <w:tcW w:w="1288" w:type="dxa"/>
          </w:tcPr>
          <w:p w14:paraId="1D910341" w14:textId="78D303FA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ЕМИСС</w:t>
            </w:r>
          </w:p>
        </w:tc>
      </w:tr>
      <w:tr w:rsidR="00013392" w:rsidRPr="001A38EC" w14:paraId="235F1D77" w14:textId="77777777" w:rsidTr="00251F93">
        <w:tc>
          <w:tcPr>
            <w:tcW w:w="3397" w:type="dxa"/>
          </w:tcPr>
          <w:p w14:paraId="4C9204B1" w14:textId="5A36F8DD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Инфляционные ожидания в месяц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eastAsiaTheme="minorEastAsia" w:hAnsi="Times New Roman" w:cs="Times New Roman"/>
              </w:rPr>
              <w:t xml:space="preserve"> [%]</w:t>
            </w:r>
          </w:p>
        </w:tc>
        <w:tc>
          <w:tcPr>
            <w:tcW w:w="2516" w:type="dxa"/>
          </w:tcPr>
          <w:p w14:paraId="18CAD318" w14:textId="3EE1184A" w:rsidR="00013392" w:rsidRPr="001A38EC" w:rsidRDefault="00000000" w:rsidP="001B164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2144" w:type="dxa"/>
          </w:tcPr>
          <w:p w14:paraId="3810FC90" w14:textId="769DEAFD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Экзогенная</w:t>
            </w:r>
          </w:p>
        </w:tc>
        <w:tc>
          <w:tcPr>
            <w:tcW w:w="1288" w:type="dxa"/>
          </w:tcPr>
          <w:p w14:paraId="7EB5E6AB" w14:textId="55CC2B95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ЦБ РФ</w:t>
            </w:r>
          </w:p>
        </w:tc>
      </w:tr>
      <w:tr w:rsidR="00013392" w:rsidRPr="001A38EC" w14:paraId="7007FDE5" w14:textId="77777777" w:rsidTr="00251F93">
        <w:tc>
          <w:tcPr>
            <w:tcW w:w="3397" w:type="dxa"/>
          </w:tcPr>
          <w:p w14:paraId="12FA34ED" w14:textId="5DE4F591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Накопленный ИПЦ к моменту времени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[%]</w:t>
            </w:r>
          </w:p>
        </w:tc>
        <w:tc>
          <w:tcPr>
            <w:tcW w:w="2516" w:type="dxa"/>
          </w:tcPr>
          <w:p w14:paraId="23CD21A5" w14:textId="263C4FE5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CP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0F907D9A" w14:textId="72EA4801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Корректирующая (для получения реальных величин)</w:t>
            </w:r>
          </w:p>
        </w:tc>
        <w:tc>
          <w:tcPr>
            <w:tcW w:w="1288" w:type="dxa"/>
          </w:tcPr>
          <w:p w14:paraId="352F3B70" w14:textId="4BBEE163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ЕМИСС</w:t>
            </w:r>
          </w:p>
        </w:tc>
      </w:tr>
      <w:tr w:rsidR="00013392" w:rsidRPr="001A38EC" w14:paraId="08134364" w14:textId="77777777" w:rsidTr="00251F93">
        <w:tc>
          <w:tcPr>
            <w:tcW w:w="3397" w:type="dxa"/>
          </w:tcPr>
          <w:p w14:paraId="7DA41B98" w14:textId="55F8F7F2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Средневзвешенная ставка по ипотеке на первичное жилье в месяц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[%]</w:t>
            </w:r>
          </w:p>
        </w:tc>
        <w:tc>
          <w:tcPr>
            <w:tcW w:w="2516" w:type="dxa"/>
          </w:tcPr>
          <w:p w14:paraId="1BC39B85" w14:textId="5D9FFBBC" w:rsidR="00013392" w:rsidRPr="001A38EC" w:rsidRDefault="00000000" w:rsidP="001B164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prim</m:t>
                    </m:r>
                  </m:sup>
                </m:sSubSup>
              </m:oMath>
            </m:oMathPara>
          </w:p>
        </w:tc>
        <w:tc>
          <w:tcPr>
            <w:tcW w:w="2144" w:type="dxa"/>
          </w:tcPr>
          <w:p w14:paraId="3A31F630" w14:textId="7360D60A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Экзогенная</w:t>
            </w:r>
          </w:p>
        </w:tc>
        <w:tc>
          <w:tcPr>
            <w:tcW w:w="1288" w:type="dxa"/>
          </w:tcPr>
          <w:p w14:paraId="29BE641C" w14:textId="547C560F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ЦБ РФ</w:t>
            </w:r>
          </w:p>
        </w:tc>
      </w:tr>
      <w:tr w:rsidR="00013392" w:rsidRPr="001A38EC" w14:paraId="0E40359A" w14:textId="77777777" w:rsidTr="00251F93">
        <w:tc>
          <w:tcPr>
            <w:tcW w:w="3397" w:type="dxa"/>
          </w:tcPr>
          <w:p w14:paraId="660D162A" w14:textId="7916DBAA" w:rsidR="00013392" w:rsidRPr="001A38EC" w:rsidRDefault="00013392" w:rsidP="00F84D0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Индекс стоимости стройматериалов в месяц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[%]</w:t>
            </w:r>
          </w:p>
        </w:tc>
        <w:tc>
          <w:tcPr>
            <w:tcW w:w="2516" w:type="dxa"/>
          </w:tcPr>
          <w:p w14:paraId="1F182400" w14:textId="0283DC6B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Cost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7C29C633" w14:textId="2F99EDAE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Инструментальная</w:t>
            </w:r>
          </w:p>
        </w:tc>
        <w:tc>
          <w:tcPr>
            <w:tcW w:w="1288" w:type="dxa"/>
          </w:tcPr>
          <w:p w14:paraId="69A58730" w14:textId="1438294A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ЕМИСС</w:t>
            </w:r>
          </w:p>
        </w:tc>
      </w:tr>
      <w:tr w:rsidR="00013392" w:rsidRPr="001A38EC" w14:paraId="0147F7A2" w14:textId="77777777" w:rsidTr="00251F93">
        <w:tc>
          <w:tcPr>
            <w:tcW w:w="3397" w:type="dxa"/>
          </w:tcPr>
          <w:p w14:paraId="5054FD68" w14:textId="19D7CB17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Средневзвешенная ключевая ставка ЦБ РФ в месяц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="006C0CC7">
              <w:rPr>
                <w:rFonts w:ascii="Times New Roman" w:eastAsiaTheme="minorEastAsia" w:hAnsi="Times New Roman" w:cs="Times New Roman"/>
              </w:rPr>
              <w:t xml:space="preserve"> [%]</w:t>
            </w:r>
          </w:p>
        </w:tc>
        <w:tc>
          <w:tcPr>
            <w:tcW w:w="2516" w:type="dxa"/>
          </w:tcPr>
          <w:p w14:paraId="678A5BEA" w14:textId="4B34D899" w:rsidR="00013392" w:rsidRPr="001A38EC" w:rsidRDefault="00000000" w:rsidP="001B164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41F517BE" w14:textId="01BAFFF5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Инструментальная</w:t>
            </w:r>
          </w:p>
        </w:tc>
        <w:tc>
          <w:tcPr>
            <w:tcW w:w="1288" w:type="dxa"/>
          </w:tcPr>
          <w:p w14:paraId="729CB7E6" w14:textId="7D9BF114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ЦБ РФ</w:t>
            </w:r>
          </w:p>
        </w:tc>
      </w:tr>
      <w:tr w:rsidR="00013392" w:rsidRPr="001A38EC" w14:paraId="4C5AD223" w14:textId="77777777" w:rsidTr="00251F93">
        <w:tc>
          <w:tcPr>
            <w:tcW w:w="3397" w:type="dxa"/>
          </w:tcPr>
          <w:p w14:paraId="283EEB5E" w14:textId="5D7C3C7B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Средняя стоимость 1 квадратного метра для застройщика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момент времени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другом регионе [</w:t>
            </w:r>
            <w:proofErr w:type="spellStart"/>
            <w:r w:rsidRPr="001A38EC">
              <w:rPr>
                <w:rFonts w:ascii="Times New Roman" w:hAnsi="Times New Roman" w:cs="Times New Roman"/>
              </w:rPr>
              <w:t>руб</w:t>
            </w:r>
            <w:proofErr w:type="spellEnd"/>
            <w:r w:rsidRPr="001A38E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2516" w:type="dxa"/>
          </w:tcPr>
          <w:p w14:paraId="10D83E95" w14:textId="7D69C5D2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n-US"/>
                  </w:rPr>
                  <m:t>Hausma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52E58DE7" w14:textId="1EE4603F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Инструментальная</w:t>
            </w:r>
            <w:r w:rsidRPr="001A38EC">
              <w:rPr>
                <w:rFonts w:ascii="Times New Roman" w:hAnsi="Times New Roman" w:cs="Times New Roman"/>
                <w:lang w:val="en-US"/>
              </w:rPr>
              <w:t xml:space="preserve"> (Hausman-type)</w:t>
            </w:r>
          </w:p>
        </w:tc>
        <w:tc>
          <w:tcPr>
            <w:tcW w:w="1288" w:type="dxa"/>
          </w:tcPr>
          <w:p w14:paraId="4B81C476" w14:textId="37B01554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>ДОМ.РФ</w:t>
            </w:r>
          </w:p>
        </w:tc>
      </w:tr>
      <w:tr w:rsidR="00013392" w:rsidRPr="001A38EC" w14:paraId="57A65EE4" w14:textId="77777777" w:rsidTr="00251F93">
        <w:tc>
          <w:tcPr>
            <w:tcW w:w="3397" w:type="dxa"/>
          </w:tcPr>
          <w:p w14:paraId="62E14C0E" w14:textId="1D0A499F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A38EC">
              <w:rPr>
                <w:rFonts w:ascii="Times New Roman" w:hAnsi="Times New Roman" w:cs="Times New Roman"/>
              </w:rPr>
              <w:t xml:space="preserve">Средняя стоимость 1 квадратного метра для </w:t>
            </w:r>
            <w:r w:rsidRPr="001A38EC">
              <w:rPr>
                <w:rFonts w:ascii="Times New Roman" w:hAnsi="Times New Roman" w:cs="Times New Roman"/>
              </w:rPr>
              <w:lastRenderedPageBreak/>
              <w:t xml:space="preserve">застройщика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момент времени </w:t>
            </w:r>
            <m:oMath>
              <m:r>
                <w:rPr>
                  <w:rFonts w:ascii="Cambria Math" w:hAnsi="Cambria Math" w:cs="Times New Roman"/>
                </w:rPr>
                <m:t>t-1</m:t>
              </m:r>
            </m:oMath>
            <w:r w:rsidRPr="001A38EC">
              <w:rPr>
                <w:rFonts w:ascii="Times New Roman" w:hAnsi="Times New Roman" w:cs="Times New Roman"/>
              </w:rPr>
              <w:t xml:space="preserve"> в Москве [руб]</w:t>
            </w:r>
          </w:p>
        </w:tc>
        <w:tc>
          <w:tcPr>
            <w:tcW w:w="2516" w:type="dxa"/>
          </w:tcPr>
          <w:p w14:paraId="782FA0E8" w14:textId="427C6DE1" w:rsidR="00013392" w:rsidRPr="001A38EC" w:rsidRDefault="00000000" w:rsidP="001B1645">
            <w:pPr>
              <w:spacing w:line="360" w:lineRule="auto"/>
              <w:jc w:val="both"/>
              <w:rPr>
                <w:rFonts w:ascii="Times New Roman" w:eastAsia="Aptos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lang w:val="en-US"/>
                      </w:rPr>
                      <m:t>i, t-1</m:t>
                    </m:r>
                  </m:sub>
                </m:sSub>
              </m:oMath>
            </m:oMathPara>
          </w:p>
        </w:tc>
        <w:tc>
          <w:tcPr>
            <w:tcW w:w="2144" w:type="dxa"/>
          </w:tcPr>
          <w:p w14:paraId="563CCCBB" w14:textId="48763929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A38EC">
              <w:rPr>
                <w:rFonts w:ascii="Times New Roman" w:hAnsi="Times New Roman" w:cs="Times New Roman"/>
              </w:rPr>
              <w:t>Инструментальная (</w:t>
            </w:r>
            <w:proofErr w:type="spellStart"/>
            <w:r w:rsidRPr="001A38EC">
              <w:rPr>
                <w:rFonts w:ascii="Times New Roman" w:hAnsi="Times New Roman" w:cs="Times New Roman"/>
              </w:rPr>
              <w:t>Arellano</w:t>
            </w:r>
            <w:proofErr w:type="spellEnd"/>
            <w:r w:rsidRPr="001A38EC">
              <w:rPr>
                <w:rFonts w:ascii="Times New Roman" w:hAnsi="Times New Roman" w:cs="Times New Roman"/>
              </w:rPr>
              <w:t>-Bond)</w:t>
            </w:r>
          </w:p>
        </w:tc>
        <w:tc>
          <w:tcPr>
            <w:tcW w:w="1288" w:type="dxa"/>
          </w:tcPr>
          <w:p w14:paraId="758703B6" w14:textId="7751BD77" w:rsidR="00013392" w:rsidRPr="001A38EC" w:rsidRDefault="00013392" w:rsidP="001B164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1A38EC">
              <w:rPr>
                <w:rFonts w:ascii="Times New Roman" w:hAnsi="Times New Roman" w:cs="Times New Roman"/>
              </w:rPr>
              <w:t>ДОМ.РФ</w:t>
            </w:r>
          </w:p>
        </w:tc>
      </w:tr>
    </w:tbl>
    <w:p w14:paraId="54348F54" w14:textId="77777777" w:rsidR="00186BAF" w:rsidRPr="001A38EC" w:rsidRDefault="00186BAF" w:rsidP="001B1645">
      <w:pPr>
        <w:spacing w:line="360" w:lineRule="auto"/>
        <w:jc w:val="both"/>
        <w:rPr>
          <w:rFonts w:ascii="Times New Roman" w:hAnsi="Times New Roman" w:cs="Times New Roman"/>
        </w:rPr>
      </w:pPr>
    </w:p>
    <w:p w14:paraId="3D5321EF" w14:textId="081102BD" w:rsidR="00DF4330" w:rsidRPr="001A38EC" w:rsidRDefault="00DF4330" w:rsidP="00DF4330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Выбор переменных обусловлен доступностью данных и набором переменных, используемых в </w:t>
      </w:r>
      <w:r w:rsidR="001A38EC" w:rsidRPr="001A38EC">
        <w:rPr>
          <w:rFonts w:ascii="Times New Roman" w:hAnsi="Times New Roman" w:cs="Times New Roman"/>
        </w:rPr>
        <w:t>литературе, по оценке</w:t>
      </w:r>
      <w:r w:rsidR="004154AB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</w:rPr>
        <w:t xml:space="preserve">кривой спроса на недвижимость. </w:t>
      </w:r>
    </w:p>
    <w:p w14:paraId="0D1B4705" w14:textId="585B3027" w:rsidR="00EE0A68" w:rsidRPr="001A38EC" w:rsidRDefault="00EE0A68" w:rsidP="00EE0A6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Первые две переменные нашего </w:t>
      </w:r>
      <w:proofErr w:type="spellStart"/>
      <w:r w:rsidRPr="001A38EC">
        <w:rPr>
          <w:rFonts w:ascii="Times New Roman" w:hAnsi="Times New Roman" w:cs="Times New Roman"/>
        </w:rPr>
        <w:t>датасета</w:t>
      </w:r>
      <w:proofErr w:type="spellEnd"/>
      <w:r w:rsidRPr="001A38EC">
        <w:rPr>
          <w:rFonts w:ascii="Times New Roman" w:hAnsi="Times New Roman" w:cs="Times New Roman"/>
        </w:rPr>
        <w:t xml:space="preserve"> получены в результате </w:t>
      </w:r>
      <w:proofErr w:type="spellStart"/>
      <w:r w:rsidRPr="001A38EC">
        <w:rPr>
          <w:rFonts w:ascii="Times New Roman" w:hAnsi="Times New Roman" w:cs="Times New Roman"/>
        </w:rPr>
        <w:t>парсинга</w:t>
      </w:r>
      <w:proofErr w:type="spellEnd"/>
      <w:r w:rsidRPr="001A38EC">
        <w:rPr>
          <w:rFonts w:ascii="Times New Roman" w:hAnsi="Times New Roman" w:cs="Times New Roman"/>
        </w:rPr>
        <w:t xml:space="preserve"> сайта </w:t>
      </w:r>
      <w:hyperlink r:id="rId10" w:history="1">
        <w:r w:rsidRPr="001A38EC">
          <w:rPr>
            <w:rStyle w:val="af"/>
            <w:rFonts w:ascii="Times New Roman" w:hAnsi="Times New Roman" w:cs="Times New Roman"/>
          </w:rPr>
          <w:t>https://наш.дом.рф/аналитика/реализация_строящихся_квартир</w:t>
        </w:r>
      </w:hyperlink>
      <w:r w:rsidRPr="001A38EC">
        <w:rPr>
          <w:rFonts w:ascii="Times New Roman" w:hAnsi="Times New Roman" w:cs="Times New Roman"/>
        </w:rPr>
        <w:t>. Мы решили ограничиться рассмотрением всех застройщиков Москвы, т.к. в случае рассмотрения всех застройщиков большого количества регионов временные затраты на получение данных были бы неприемлемыми.</w:t>
      </w:r>
    </w:p>
    <w:p w14:paraId="6A8055BE" w14:textId="5AEF7485" w:rsidR="00EE0A68" w:rsidRPr="001A38EC" w:rsidRDefault="00EE0A68" w:rsidP="00EE0A6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Все переменные, кроме инфляции и инфляционных ожиданий, </w:t>
      </w:r>
      <w:proofErr w:type="spellStart"/>
      <w:r w:rsidRPr="001A38EC">
        <w:rPr>
          <w:rFonts w:ascii="Times New Roman" w:hAnsi="Times New Roman" w:cs="Times New Roman"/>
        </w:rPr>
        <w:t>дефлируем</w:t>
      </w:r>
      <w:proofErr w:type="spellEnd"/>
      <w:r w:rsidRPr="001A38EC">
        <w:rPr>
          <w:rFonts w:ascii="Times New Roman" w:hAnsi="Times New Roman" w:cs="Times New Roman"/>
        </w:rPr>
        <w:t xml:space="preserve"> по ИПЦ и корректируем на сезонность.</w:t>
      </w:r>
      <w:r w:rsidR="0053151B" w:rsidRPr="001A38EC">
        <w:rPr>
          <w:rFonts w:ascii="Times New Roman" w:hAnsi="Times New Roman" w:cs="Times New Roman"/>
        </w:rPr>
        <w:t xml:space="preserve"> Для учета в регрессиях нелинейных связей мы берем логарифмы от проданной площади, цен, дохода и цен на стройматериалы. </w:t>
      </w:r>
    </w:p>
    <w:p w14:paraId="58664C70" w14:textId="42C6DCA3" w:rsidR="00EE0A68" w:rsidRPr="001A38EC" w:rsidRDefault="00EE0A68" w:rsidP="00EE0A68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Из курса </w:t>
      </w:r>
      <w:r w:rsidR="00A95F30">
        <w:rPr>
          <w:rFonts w:ascii="Times New Roman" w:hAnsi="Times New Roman" w:cs="Times New Roman"/>
        </w:rPr>
        <w:t>«</w:t>
      </w:r>
      <w:r w:rsidRPr="001A38EC">
        <w:rPr>
          <w:rFonts w:ascii="Times New Roman" w:hAnsi="Times New Roman" w:cs="Times New Roman"/>
        </w:rPr>
        <w:t>Эмпирические отраслевые рынки</w:t>
      </w:r>
      <w:r w:rsidR="00A95F30">
        <w:rPr>
          <w:rFonts w:ascii="Times New Roman" w:hAnsi="Times New Roman" w:cs="Times New Roman"/>
        </w:rPr>
        <w:t>»</w:t>
      </w:r>
      <w:r w:rsidRPr="001A38EC">
        <w:rPr>
          <w:rFonts w:ascii="Times New Roman" w:hAnsi="Times New Roman" w:cs="Times New Roman"/>
        </w:rPr>
        <w:t xml:space="preserve"> мы знаем, что при оценке кривой спроса (количество зависит от цены и прочих факторов) возникает </w:t>
      </w:r>
      <w:proofErr w:type="spellStart"/>
      <w:r w:rsidRPr="001A38EC">
        <w:rPr>
          <w:rFonts w:ascii="Times New Roman" w:hAnsi="Times New Roman" w:cs="Times New Roman"/>
        </w:rPr>
        <w:t>эндогенность</w:t>
      </w:r>
      <w:proofErr w:type="spellEnd"/>
      <w:r w:rsidRPr="001A38EC">
        <w:rPr>
          <w:rFonts w:ascii="Times New Roman" w:hAnsi="Times New Roman" w:cs="Times New Roman"/>
        </w:rPr>
        <w:t xml:space="preserve"> из-за двусторонней причинно-следственной связи между количеством и ценой, поэтому для устранения </w:t>
      </w:r>
      <w:proofErr w:type="spellStart"/>
      <w:r w:rsidRPr="001A38EC">
        <w:rPr>
          <w:rFonts w:ascii="Times New Roman" w:hAnsi="Times New Roman" w:cs="Times New Roman"/>
        </w:rPr>
        <w:t>эндогенности</w:t>
      </w:r>
      <w:proofErr w:type="spellEnd"/>
      <w:r w:rsidRPr="001A38EC">
        <w:rPr>
          <w:rFonts w:ascii="Times New Roman" w:hAnsi="Times New Roman" w:cs="Times New Roman"/>
        </w:rPr>
        <w:t xml:space="preserve"> мы используем 2МНК. Инструментальные переменные для цены должны быть релевантны и </w:t>
      </w:r>
      <w:proofErr w:type="spellStart"/>
      <w:r w:rsidRPr="001A38EC">
        <w:rPr>
          <w:rFonts w:ascii="Times New Roman" w:hAnsi="Times New Roman" w:cs="Times New Roman"/>
        </w:rPr>
        <w:t>экзогенны</w:t>
      </w:r>
      <w:proofErr w:type="spellEnd"/>
      <w:r w:rsidRPr="001A38EC">
        <w:rPr>
          <w:rFonts w:ascii="Times New Roman" w:hAnsi="Times New Roman" w:cs="Times New Roman"/>
        </w:rPr>
        <w:t>, т.е. коррелированы с ценой, но не коррелированы со случайной ошибкой модели (в данном случае инструментальные переменные не должны зависеть от зависимой переменной — объема проданных площадей)</w:t>
      </w:r>
      <w:r w:rsidR="00F84D0F" w:rsidRPr="001A38EC">
        <w:rPr>
          <w:rFonts w:ascii="Times New Roman" w:hAnsi="Times New Roman" w:cs="Times New Roman"/>
        </w:rPr>
        <w:t>.</w:t>
      </w:r>
    </w:p>
    <w:p w14:paraId="516DDB3E" w14:textId="11EACE47" w:rsidR="00F84D0F" w:rsidRPr="001A38EC" w:rsidRDefault="00F84D0F" w:rsidP="00F84D0F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Почему стоимость материалов являются </w:t>
      </w:r>
      <w:r w:rsidR="003E0095">
        <w:rPr>
          <w:rFonts w:ascii="Times New Roman" w:hAnsi="Times New Roman" w:cs="Times New Roman"/>
        </w:rPr>
        <w:t>«</w:t>
      </w:r>
      <w:r w:rsidRPr="001A38EC">
        <w:rPr>
          <w:rFonts w:ascii="Times New Roman" w:hAnsi="Times New Roman" w:cs="Times New Roman"/>
        </w:rPr>
        <w:t>хорошим</w:t>
      </w:r>
      <w:r w:rsidR="003E0095">
        <w:rPr>
          <w:rFonts w:ascii="Times New Roman" w:hAnsi="Times New Roman" w:cs="Times New Roman"/>
        </w:rPr>
        <w:t>»</w:t>
      </w:r>
      <w:r w:rsidRPr="001A38EC">
        <w:rPr>
          <w:rFonts w:ascii="Times New Roman" w:hAnsi="Times New Roman" w:cs="Times New Roman"/>
        </w:rPr>
        <w:t xml:space="preserve"> инструментом?</w:t>
      </w:r>
    </w:p>
    <w:p w14:paraId="678F4C89" w14:textId="131A55EF" w:rsidR="00EE0A68" w:rsidRPr="001A38EC" w:rsidRDefault="00EE0A68" w:rsidP="00EE0A6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релевантность выполняется, т.к. цены на стройматериалы являются издержками застройщика </w:t>
      </w:r>
      <w:r w:rsidRPr="001A38EC">
        <w:rPr>
          <w:rFonts w:ascii="Cambria Math" w:hAnsi="Cambria Math" w:cs="Cambria Math"/>
        </w:rPr>
        <w:t>⇒</w:t>
      </w:r>
      <w:r w:rsidRPr="001A38EC">
        <w:rPr>
          <w:rFonts w:ascii="Times New Roman" w:hAnsi="Times New Roman" w:cs="Times New Roman"/>
        </w:rPr>
        <w:t xml:space="preserve"> перекладываются в цену квадратного метра реализованных новостроек</w:t>
      </w:r>
      <w:r w:rsidR="00DF4330" w:rsidRPr="001A38EC">
        <w:rPr>
          <w:rFonts w:ascii="Times New Roman" w:hAnsi="Times New Roman" w:cs="Times New Roman"/>
        </w:rPr>
        <w:t>;</w:t>
      </w:r>
    </w:p>
    <w:p w14:paraId="0DD8B780" w14:textId="5C0B8B35" w:rsidR="00E5134D" w:rsidRPr="001A38EC" w:rsidRDefault="00EE0A68" w:rsidP="001B164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A38EC">
        <w:rPr>
          <w:rFonts w:ascii="Times New Roman" w:hAnsi="Times New Roman" w:cs="Times New Roman"/>
        </w:rPr>
        <w:t>экзогенность</w:t>
      </w:r>
      <w:proofErr w:type="spellEnd"/>
      <w:r w:rsidRPr="001A38EC">
        <w:rPr>
          <w:rFonts w:ascii="Times New Roman" w:hAnsi="Times New Roman" w:cs="Times New Roman"/>
        </w:rPr>
        <w:t xml:space="preserve"> выполняется, </w:t>
      </w:r>
      <w:proofErr w:type="gramStart"/>
      <w:r w:rsidRPr="001A38EC">
        <w:rPr>
          <w:rFonts w:ascii="Times New Roman" w:hAnsi="Times New Roman" w:cs="Times New Roman"/>
        </w:rPr>
        <w:t>т.к.</w:t>
      </w:r>
      <w:proofErr w:type="gramEnd"/>
      <w:r w:rsidRPr="001A38EC">
        <w:rPr>
          <w:rFonts w:ascii="Times New Roman" w:hAnsi="Times New Roman" w:cs="Times New Roman"/>
        </w:rPr>
        <w:t xml:space="preserve"> </w:t>
      </w:r>
      <w:r w:rsidR="00DD2176" w:rsidRPr="001A38EC">
        <w:rPr>
          <w:rFonts w:ascii="Times New Roman" w:hAnsi="Times New Roman" w:cs="Times New Roman"/>
        </w:rPr>
        <w:t>спрос на новостройки</w:t>
      </w:r>
      <w:r w:rsidRPr="001A38EC">
        <w:rPr>
          <w:rFonts w:ascii="Times New Roman" w:hAnsi="Times New Roman" w:cs="Times New Roman"/>
        </w:rPr>
        <w:t xml:space="preserve"> не влияет </w:t>
      </w:r>
      <w:r w:rsidR="00DD2176" w:rsidRPr="001A38EC">
        <w:rPr>
          <w:rFonts w:ascii="Times New Roman" w:hAnsi="Times New Roman" w:cs="Times New Roman"/>
        </w:rPr>
        <w:t xml:space="preserve">напрямую </w:t>
      </w:r>
      <w:r w:rsidRPr="001A38EC">
        <w:rPr>
          <w:rFonts w:ascii="Times New Roman" w:hAnsi="Times New Roman" w:cs="Times New Roman"/>
        </w:rPr>
        <w:t xml:space="preserve">на цены на стройматериалы </w:t>
      </w:r>
      <w:r w:rsidR="0028213D" w:rsidRPr="001A38EC">
        <w:rPr>
          <w:rFonts w:ascii="Times New Roman" w:hAnsi="Times New Roman" w:cs="Times New Roman"/>
        </w:rPr>
        <w:t xml:space="preserve">/ изменение цен на стройматериалы </w:t>
      </w:r>
      <w:r w:rsidR="0014765A" w:rsidRPr="001A38EC">
        <w:rPr>
          <w:rFonts w:ascii="Times New Roman" w:hAnsi="Times New Roman" w:cs="Times New Roman"/>
        </w:rPr>
        <w:t xml:space="preserve">- </w:t>
      </w:r>
      <w:r w:rsidR="0028213D" w:rsidRPr="001A38EC">
        <w:rPr>
          <w:rFonts w:ascii="Times New Roman" w:hAnsi="Times New Roman" w:cs="Times New Roman"/>
        </w:rPr>
        <w:t xml:space="preserve">это шок предложения, а не спроса. </w:t>
      </w:r>
    </w:p>
    <w:p w14:paraId="41E84AD8" w14:textId="5286721C" w:rsidR="00F15EA3" w:rsidRDefault="00730D39" w:rsidP="00730D3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ключевая ставка является </w:t>
      </w:r>
      <w:r w:rsidR="003E0095">
        <w:rPr>
          <w:rFonts w:ascii="Times New Roman" w:hAnsi="Times New Roman" w:cs="Times New Roman"/>
        </w:rPr>
        <w:t>«</w:t>
      </w:r>
      <w:r w:rsidRPr="001A38EC">
        <w:rPr>
          <w:rFonts w:ascii="Times New Roman" w:hAnsi="Times New Roman" w:cs="Times New Roman"/>
        </w:rPr>
        <w:t>хорошим</w:t>
      </w:r>
      <w:r w:rsidR="003E0095">
        <w:rPr>
          <w:rFonts w:ascii="Times New Roman" w:hAnsi="Times New Roman" w:cs="Times New Roman"/>
        </w:rPr>
        <w:t>»</w:t>
      </w:r>
      <w:r w:rsidRPr="001A38EC">
        <w:rPr>
          <w:rFonts w:ascii="Times New Roman" w:hAnsi="Times New Roman" w:cs="Times New Roman"/>
        </w:rPr>
        <w:t xml:space="preserve"> инструментом</w:t>
      </w:r>
      <w:r>
        <w:rPr>
          <w:rFonts w:ascii="Times New Roman" w:hAnsi="Times New Roman" w:cs="Times New Roman"/>
        </w:rPr>
        <w:t>?</w:t>
      </w:r>
    </w:p>
    <w:p w14:paraId="0EBC6525" w14:textId="52497B4D" w:rsidR="00AB35E5" w:rsidRPr="00AB35E5" w:rsidRDefault="001F12D0" w:rsidP="00AB35E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AB35E5" w:rsidRPr="00AB35E5">
        <w:rPr>
          <w:rFonts w:ascii="Times New Roman" w:hAnsi="Times New Roman" w:cs="Times New Roman"/>
        </w:rPr>
        <w:t xml:space="preserve">лючевая ставка напрямую влияет на уровень ипотечных ставок, так как коммерческие банки устанавливают свои ставки на основе ставки центрального банка. Понижение ключевой ставки обычно приводит к снижению ипотечных ставок, что делает кредиты более доступными для потребителей и стимулирует спрос на недвижимость. </w:t>
      </w:r>
    </w:p>
    <w:p w14:paraId="6F361849" w14:textId="77777777" w:rsidR="00AB35E5" w:rsidRPr="00AB35E5" w:rsidRDefault="00AB35E5" w:rsidP="00AB35E5">
      <w:pPr>
        <w:spacing w:line="360" w:lineRule="auto"/>
        <w:jc w:val="both"/>
        <w:rPr>
          <w:rFonts w:ascii="Times New Roman" w:hAnsi="Times New Roman" w:cs="Times New Roman"/>
        </w:rPr>
      </w:pPr>
    </w:p>
    <w:p w14:paraId="7C3DD1DB" w14:textId="3484ECDA" w:rsidR="00AB35E5" w:rsidRPr="001F12D0" w:rsidRDefault="001F12D0" w:rsidP="00AB35E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</w:t>
      </w:r>
      <w:r w:rsidR="00AB35E5" w:rsidRPr="00AB35E5">
        <w:rPr>
          <w:rFonts w:ascii="Times New Roman" w:hAnsi="Times New Roman" w:cs="Times New Roman"/>
        </w:rPr>
        <w:t>лючевая ставка является экзогенной переменной в отношении спроса на недвижимость, что делает ее хорошим инструментом для нашей модели, поскольку изменения ключевой ставки определяются центральным банком и не зависят напрямую от спроса на недвижимость.</w:t>
      </w:r>
    </w:p>
    <w:p w14:paraId="6156CF5F" w14:textId="77777777" w:rsidR="001F12D0" w:rsidRPr="001F12D0" w:rsidRDefault="001F12D0" w:rsidP="001F12D0">
      <w:pPr>
        <w:pStyle w:val="a7"/>
        <w:rPr>
          <w:rFonts w:ascii="Times New Roman" w:hAnsi="Times New Roman" w:cs="Times New Roman"/>
        </w:rPr>
      </w:pPr>
    </w:p>
    <w:p w14:paraId="5A509AFD" w14:textId="4658B991" w:rsidR="001F12D0" w:rsidRDefault="001F12D0" w:rsidP="001F12D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инструмент </w:t>
      </w:r>
      <w:proofErr w:type="spellStart"/>
      <w:r>
        <w:rPr>
          <w:rFonts w:ascii="Times New Roman" w:hAnsi="Times New Roman" w:cs="Times New Roman"/>
        </w:rPr>
        <w:t>Хаусмана</w:t>
      </w:r>
      <w:proofErr w:type="spellEnd"/>
      <w:r>
        <w:rPr>
          <w:rFonts w:ascii="Times New Roman" w:hAnsi="Times New Roman" w:cs="Times New Roman"/>
        </w:rPr>
        <w:t xml:space="preserve"> является «</w:t>
      </w:r>
      <w:r w:rsidRPr="001A38EC">
        <w:rPr>
          <w:rFonts w:ascii="Times New Roman" w:hAnsi="Times New Roman" w:cs="Times New Roman"/>
        </w:rPr>
        <w:t>хорошим</w:t>
      </w:r>
      <w:r>
        <w:rPr>
          <w:rFonts w:ascii="Times New Roman" w:hAnsi="Times New Roman" w:cs="Times New Roman"/>
        </w:rPr>
        <w:t>»?</w:t>
      </w:r>
    </w:p>
    <w:p w14:paraId="44BE8E54" w14:textId="0818CA95" w:rsidR="001F12D0" w:rsidRDefault="001F12D0" w:rsidP="001F12D0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релевантность выполняется, т.к. </w:t>
      </w:r>
      <w:r w:rsidR="00783E6D">
        <w:rPr>
          <w:rFonts w:ascii="Times New Roman" w:hAnsi="Times New Roman" w:cs="Times New Roman"/>
        </w:rPr>
        <w:t>динамика издержек в разных регионах совпадает (например, динамика цен на стройматериалы в разных регионах реагирует похожим образом на макроэкономические показатели)</w:t>
      </w:r>
    </w:p>
    <w:p w14:paraId="5CEF12BA" w14:textId="66FDB003" w:rsidR="001F12D0" w:rsidRDefault="001F12D0" w:rsidP="001F12D0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экзогенность</w:t>
      </w:r>
      <w:proofErr w:type="spellEnd"/>
      <w:r>
        <w:rPr>
          <w:rFonts w:ascii="Times New Roman" w:hAnsi="Times New Roman" w:cs="Times New Roman"/>
        </w:rPr>
        <w:t xml:space="preserve"> выполняется, т.к. цена то же застройщика в другом регионе (на другом рынке) не коррелирована с шоком спроса в Москве (на рынке интереса)</w:t>
      </w:r>
      <w:r w:rsidR="0070400C">
        <w:rPr>
          <w:rFonts w:ascii="Times New Roman" w:hAnsi="Times New Roman" w:cs="Times New Roman"/>
        </w:rPr>
        <w:t xml:space="preserve">. </w:t>
      </w:r>
    </w:p>
    <w:p w14:paraId="011D48E3" w14:textId="77777777" w:rsidR="003F2ABB" w:rsidRDefault="003F2ABB" w:rsidP="0070400C">
      <w:pPr>
        <w:spacing w:line="360" w:lineRule="auto"/>
        <w:jc w:val="both"/>
        <w:rPr>
          <w:rFonts w:ascii="Times New Roman" w:hAnsi="Times New Roman" w:cs="Times New Roman"/>
        </w:rPr>
      </w:pPr>
    </w:p>
    <w:p w14:paraId="62DC0C11" w14:textId="7090E139" w:rsidR="0070400C" w:rsidRDefault="0070400C" w:rsidP="0070400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Почему </w:t>
      </w:r>
      <w:proofErr w:type="spellStart"/>
      <w:r>
        <w:rPr>
          <w:rFonts w:ascii="Times New Roman" w:hAnsi="Times New Roman" w:cs="Times New Roman"/>
        </w:rPr>
        <w:t>лагированные</w:t>
      </w:r>
      <w:proofErr w:type="spellEnd"/>
      <w:r>
        <w:rPr>
          <w:rFonts w:ascii="Times New Roman" w:hAnsi="Times New Roman" w:cs="Times New Roman"/>
        </w:rPr>
        <w:t xml:space="preserve"> цены являются «хорошим» инструментом?</w:t>
      </w:r>
    </w:p>
    <w:p w14:paraId="0AE84138" w14:textId="278E92E6" w:rsidR="001A38EC" w:rsidRDefault="003A1254" w:rsidP="00415796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3A1254">
        <w:rPr>
          <w:rFonts w:ascii="Times New Roman" w:hAnsi="Times New Roman" w:cs="Times New Roman"/>
        </w:rPr>
        <w:t>релевантность выполняется, т.к. в отсутствие постоянных шоков цены на один и тот же товар</w:t>
      </w:r>
      <w:r>
        <w:rPr>
          <w:rFonts w:ascii="Times New Roman" w:hAnsi="Times New Roman" w:cs="Times New Roman"/>
        </w:rPr>
        <w:t xml:space="preserve"> в реальном выражении</w:t>
      </w:r>
      <w:r w:rsidRPr="003A1254">
        <w:rPr>
          <w:rFonts w:ascii="Times New Roman" w:hAnsi="Times New Roman" w:cs="Times New Roman"/>
        </w:rPr>
        <w:t xml:space="preserve"> должны быть линейно зависимыми </w:t>
      </w:r>
      <w:r w:rsidR="00F46E83">
        <w:rPr>
          <w:rFonts w:ascii="Times New Roman" w:hAnsi="Times New Roman" w:cs="Times New Roman"/>
        </w:rPr>
        <w:t>(по крайней мере на достаточно высокочастотных данных по месяцам)</w:t>
      </w:r>
    </w:p>
    <w:p w14:paraId="3A9DC1F5" w14:textId="47578AB6" w:rsidR="00F46E83" w:rsidRPr="003A1254" w:rsidRDefault="00F46E83" w:rsidP="00415796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экзогенность</w:t>
      </w:r>
      <w:proofErr w:type="spellEnd"/>
      <w:r>
        <w:rPr>
          <w:rFonts w:ascii="Times New Roman" w:hAnsi="Times New Roman" w:cs="Times New Roman"/>
        </w:rPr>
        <w:t xml:space="preserve"> выполняется, т.к. </w:t>
      </w:r>
      <w:r w:rsidR="0056598D">
        <w:rPr>
          <w:rFonts w:ascii="Times New Roman" w:hAnsi="Times New Roman" w:cs="Times New Roman"/>
        </w:rPr>
        <w:t xml:space="preserve">прошлые цены </w:t>
      </w:r>
      <w:proofErr w:type="spellStart"/>
      <w:r w:rsidR="0056598D">
        <w:rPr>
          <w:rFonts w:ascii="Times New Roman" w:hAnsi="Times New Roman" w:cs="Times New Roman"/>
        </w:rPr>
        <w:t>некоррелированы</w:t>
      </w:r>
      <w:proofErr w:type="spellEnd"/>
      <w:r w:rsidR="0056598D">
        <w:rPr>
          <w:rFonts w:ascii="Times New Roman" w:hAnsi="Times New Roman" w:cs="Times New Roman"/>
        </w:rPr>
        <w:t xml:space="preserve"> с текущими шоками спроса. </w:t>
      </w:r>
    </w:p>
    <w:p w14:paraId="25E113C5" w14:textId="77777777" w:rsidR="001A38EC" w:rsidRDefault="001A38EC" w:rsidP="00F15EA3">
      <w:pPr>
        <w:spacing w:line="360" w:lineRule="auto"/>
        <w:rPr>
          <w:rFonts w:ascii="Times New Roman" w:hAnsi="Times New Roman" w:cs="Times New Roman"/>
        </w:rPr>
      </w:pPr>
    </w:p>
    <w:p w14:paraId="36971366" w14:textId="38335F70" w:rsidR="00F15EA3" w:rsidRPr="001A38EC" w:rsidRDefault="00F15EA3" w:rsidP="00F15EA3">
      <w:p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Для проверки </w:t>
      </w:r>
      <w:r w:rsidRPr="00EA7F50">
        <w:rPr>
          <w:rFonts w:ascii="Times New Roman" w:hAnsi="Times New Roman" w:cs="Times New Roman"/>
          <w:i/>
          <w:iCs/>
        </w:rPr>
        <w:t>гипотезы 1</w:t>
      </w:r>
      <w:r w:rsidRPr="001A38EC">
        <w:rPr>
          <w:rFonts w:ascii="Times New Roman" w:hAnsi="Times New Roman" w:cs="Times New Roman"/>
        </w:rPr>
        <w:t xml:space="preserve"> сначала необходимо определиться, какие компании мы будем считать крупными игроками. </w:t>
      </w:r>
    </w:p>
    <w:p w14:paraId="5CD00519" w14:textId="77777777" w:rsidR="00F15EA3" w:rsidRDefault="00F15EA3" w:rsidP="00F15EA3">
      <w:pPr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Для определения крупных игроков на рынке недвижимости можно рассмотреть несколько вариантов выбора застройщиков:</w:t>
      </w:r>
    </w:p>
    <w:p w14:paraId="58DB90D5" w14:textId="77777777" w:rsidR="003E0095" w:rsidRPr="001A38EC" w:rsidRDefault="003E0095" w:rsidP="00F15EA3">
      <w:pPr>
        <w:rPr>
          <w:rFonts w:ascii="Times New Roman" w:hAnsi="Times New Roman" w:cs="Times New Roman"/>
        </w:rPr>
      </w:pPr>
    </w:p>
    <w:p w14:paraId="33607024" w14:textId="77777777" w:rsidR="00F15EA3" w:rsidRPr="001A38EC" w:rsidRDefault="00F15EA3" w:rsidP="00F15EA3">
      <w:pPr>
        <w:pStyle w:val="a7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Сравнение по объёмам существующих застройщиков. Если есть структурный сдвиг, можно отделить по нему наиболее крупные компании.</w:t>
      </w:r>
    </w:p>
    <w:p w14:paraId="15BAE9AD" w14:textId="77777777" w:rsidR="00F15EA3" w:rsidRPr="001A38EC" w:rsidRDefault="00F15EA3" w:rsidP="00F15EA3">
      <w:pPr>
        <w:ind w:left="360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Реализация этого метода:</w:t>
      </w:r>
    </w:p>
    <w:p w14:paraId="3EA34819" w14:textId="77777777" w:rsidR="00F15EA3" w:rsidRPr="001A38EC" w:rsidRDefault="00F15EA3" w:rsidP="00F15EA3">
      <w:pPr>
        <w:pStyle w:val="a7"/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Сделать сводную таблицу по застройщикам и по датам, где значения – сумма по столбцу «</w:t>
      </w:r>
      <w:proofErr w:type="spellStart"/>
      <w:r w:rsidRPr="001A38EC">
        <w:rPr>
          <w:rFonts w:ascii="Times New Roman" w:hAnsi="Times New Roman" w:cs="Times New Roman"/>
        </w:rPr>
        <w:t>volume</w:t>
      </w:r>
      <w:proofErr w:type="spellEnd"/>
      <w:r w:rsidRPr="001A38EC">
        <w:rPr>
          <w:rFonts w:ascii="Times New Roman" w:hAnsi="Times New Roman" w:cs="Times New Roman"/>
        </w:rPr>
        <w:t>».</w:t>
      </w:r>
    </w:p>
    <w:p w14:paraId="3B3C5F64" w14:textId="6FAC714B" w:rsidR="00B323A6" w:rsidRDefault="00B323A6" w:rsidP="00B323A6">
      <w:pPr>
        <w:pStyle w:val="af5"/>
        <w:keepNext/>
        <w:ind w:left="708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CA2CA7">
        <w:t>Часть сводной таблицы по сумме столбца «</w:t>
      </w:r>
      <w:proofErr w:type="spellStart"/>
      <w:r w:rsidRPr="00CA2CA7">
        <w:t>Volume</w:t>
      </w:r>
      <w:proofErr w:type="spellEnd"/>
      <w:r w:rsidRPr="00CA2CA7">
        <w:t xml:space="preserve">». </w:t>
      </w:r>
    </w:p>
    <w:p w14:paraId="1911AE0B" w14:textId="77777777" w:rsidR="00F15EA3" w:rsidRDefault="00F15EA3" w:rsidP="00F15EA3">
      <w:pPr>
        <w:pStyle w:val="a7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  <w:noProof/>
        </w:rPr>
        <w:drawing>
          <wp:inline distT="0" distB="0" distL="0" distR="0" wp14:anchorId="0224DDA8" wp14:editId="5B581A98">
            <wp:extent cx="4384675" cy="28676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3E44" w14:textId="581DAE4C" w:rsidR="00014C87" w:rsidRPr="00014C87" w:rsidRDefault="00014C87" w:rsidP="00014C87">
      <w:pPr>
        <w:pStyle w:val="af5"/>
        <w:keepNext/>
        <w:ind w:left="708"/>
      </w:pPr>
      <w:r w:rsidRPr="00CA2CA7">
        <w:t>Всего наблюдений: 245 застройщиков; 48 дат.</w:t>
      </w:r>
    </w:p>
    <w:p w14:paraId="1EF705BA" w14:textId="77777777" w:rsidR="00F15EA3" w:rsidRPr="001A38EC" w:rsidRDefault="00F15EA3" w:rsidP="00F15EA3">
      <w:pPr>
        <w:pStyle w:val="a7"/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Выделить по общей сумме за всё время 15-20 крупных игроков.</w:t>
      </w:r>
    </w:p>
    <w:p w14:paraId="05A36D1E" w14:textId="77777777" w:rsidR="00F15EA3" w:rsidRPr="001A38EC" w:rsidRDefault="00F15EA3" w:rsidP="00F15EA3">
      <w:pPr>
        <w:pStyle w:val="a7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Результат:</w:t>
      </w:r>
    </w:p>
    <w:p w14:paraId="699DC261" w14:textId="77777777" w:rsidR="00F15EA3" w:rsidRPr="001A38EC" w:rsidRDefault="00F15EA3" w:rsidP="00F15EA3">
      <w:pPr>
        <w:ind w:left="70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По общей сумме можно выделить 12 застройщиков:</w:t>
      </w:r>
    </w:p>
    <w:p w14:paraId="64370310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Пик</w:t>
      </w:r>
    </w:p>
    <w:p w14:paraId="2D7D785F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Донстрой</w:t>
      </w:r>
    </w:p>
    <w:p w14:paraId="417F9C25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А101</w:t>
      </w:r>
    </w:p>
    <w:p w14:paraId="579603CB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proofErr w:type="spellStart"/>
      <w:r w:rsidRPr="001A38EC">
        <w:rPr>
          <w:rFonts w:ascii="Times New Roman" w:hAnsi="Times New Roman" w:cs="Times New Roman"/>
        </w:rPr>
        <w:t>MRGroup</w:t>
      </w:r>
      <w:proofErr w:type="spellEnd"/>
    </w:p>
    <w:p w14:paraId="311C601C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proofErr w:type="spellStart"/>
      <w:r w:rsidRPr="001A38EC">
        <w:rPr>
          <w:rFonts w:ascii="Times New Roman" w:hAnsi="Times New Roman" w:cs="Times New Roman"/>
        </w:rPr>
        <w:t>Инград</w:t>
      </w:r>
      <w:proofErr w:type="spellEnd"/>
    </w:p>
    <w:p w14:paraId="289FD216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Самолёт</w:t>
      </w:r>
    </w:p>
    <w:p w14:paraId="164B6D83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Seven </w:t>
      </w:r>
      <w:proofErr w:type="spellStart"/>
      <w:r w:rsidRPr="001A38EC">
        <w:rPr>
          <w:rFonts w:ascii="Times New Roman" w:hAnsi="Times New Roman" w:cs="Times New Roman"/>
        </w:rPr>
        <w:t>Suns</w:t>
      </w:r>
      <w:proofErr w:type="spellEnd"/>
      <w:r w:rsidRPr="001A38EC">
        <w:rPr>
          <w:rFonts w:ascii="Times New Roman" w:hAnsi="Times New Roman" w:cs="Times New Roman"/>
        </w:rPr>
        <w:t> Development</w:t>
      </w:r>
    </w:p>
    <w:p w14:paraId="66B4F40F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МИЦ</w:t>
      </w:r>
    </w:p>
    <w:p w14:paraId="4703C980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ЛСР</w:t>
      </w:r>
    </w:p>
    <w:p w14:paraId="77561C79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ГК </w:t>
      </w:r>
      <w:proofErr w:type="spellStart"/>
      <w:r w:rsidRPr="001A38EC">
        <w:rPr>
          <w:rFonts w:ascii="Times New Roman" w:hAnsi="Times New Roman" w:cs="Times New Roman"/>
        </w:rPr>
        <w:t>Кортрос</w:t>
      </w:r>
      <w:proofErr w:type="spellEnd"/>
    </w:p>
    <w:p w14:paraId="3D8F3A27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ФСК</w:t>
      </w:r>
    </w:p>
    <w:p w14:paraId="3AB6CF19" w14:textId="77777777" w:rsidR="00F15EA3" w:rsidRPr="001A38EC" w:rsidRDefault="00F15EA3" w:rsidP="00F15EA3">
      <w:pPr>
        <w:pStyle w:val="a7"/>
        <w:numPr>
          <w:ilvl w:val="0"/>
          <w:numId w:val="11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Эталон.</w:t>
      </w:r>
    </w:p>
    <w:p w14:paraId="1233BF43" w14:textId="77777777" w:rsidR="00F15EA3" w:rsidRPr="001A38EC" w:rsidRDefault="00F15EA3" w:rsidP="00F15EA3">
      <w:pPr>
        <w:pStyle w:val="a7"/>
        <w:rPr>
          <w:rFonts w:ascii="Times New Roman" w:hAnsi="Times New Roman" w:cs="Times New Roman"/>
        </w:rPr>
      </w:pPr>
    </w:p>
    <w:p w14:paraId="663D2443" w14:textId="77777777" w:rsidR="00F15EA3" w:rsidRPr="001A38EC" w:rsidRDefault="00F15EA3" w:rsidP="00F15EA3">
      <w:pPr>
        <w:pStyle w:val="a7"/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По каждой дате определить 10-20 самых крупных игроков рынка, наиболее всего отличающихся от следующих значений. Важно, чтобы не пропустить крупных игроков, вошедших на рынок в середине рассматриваемого периода.</w:t>
      </w:r>
    </w:p>
    <w:p w14:paraId="52A4FDA6" w14:textId="77777777" w:rsidR="00F15EA3" w:rsidRPr="001A38EC" w:rsidRDefault="00F15EA3" w:rsidP="00F15EA3">
      <w:pPr>
        <w:pStyle w:val="a7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Результат:</w:t>
      </w:r>
    </w:p>
    <w:p w14:paraId="1EA3A4F2" w14:textId="77777777" w:rsidR="00F15EA3" w:rsidRPr="001A38EC" w:rsidRDefault="00F15EA3" w:rsidP="00F15EA3">
      <w:pPr>
        <w:ind w:left="70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При анализе по датам можно добавить:</w:t>
      </w:r>
    </w:p>
    <w:p w14:paraId="06FB9103" w14:textId="77777777" w:rsidR="00F15EA3" w:rsidRPr="001A38EC" w:rsidRDefault="00F15EA3" w:rsidP="00F15EA3">
      <w:pPr>
        <w:pStyle w:val="a7"/>
        <w:numPr>
          <w:ilvl w:val="0"/>
          <w:numId w:val="12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Capital Group</w:t>
      </w:r>
    </w:p>
    <w:p w14:paraId="7BF6E34C" w14:textId="77777777" w:rsidR="00F15EA3" w:rsidRPr="001A38EC" w:rsidRDefault="00F15EA3" w:rsidP="00F15EA3">
      <w:pPr>
        <w:pStyle w:val="a7"/>
        <w:numPr>
          <w:ilvl w:val="0"/>
          <w:numId w:val="12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Центр-</w:t>
      </w:r>
      <w:proofErr w:type="spellStart"/>
      <w:r w:rsidRPr="001A38EC">
        <w:rPr>
          <w:rFonts w:ascii="Times New Roman" w:hAnsi="Times New Roman" w:cs="Times New Roman"/>
        </w:rPr>
        <w:t>инвест</w:t>
      </w:r>
      <w:proofErr w:type="spellEnd"/>
    </w:p>
    <w:p w14:paraId="497AD830" w14:textId="77777777" w:rsidR="00F15EA3" w:rsidRPr="001A38EC" w:rsidRDefault="00F15EA3" w:rsidP="00F15EA3">
      <w:pPr>
        <w:pStyle w:val="a7"/>
        <w:numPr>
          <w:ilvl w:val="0"/>
          <w:numId w:val="12"/>
        </w:numPr>
        <w:spacing w:after="160" w:line="256" w:lineRule="auto"/>
        <w:ind w:left="1428"/>
        <w:rPr>
          <w:rFonts w:ascii="Times New Roman" w:hAnsi="Times New Roman" w:cs="Times New Roman"/>
        </w:rPr>
      </w:pPr>
      <w:proofErr w:type="spellStart"/>
      <w:r w:rsidRPr="001A38EC">
        <w:rPr>
          <w:rFonts w:ascii="Times New Roman" w:hAnsi="Times New Roman" w:cs="Times New Roman"/>
        </w:rPr>
        <w:t>Гранель</w:t>
      </w:r>
      <w:proofErr w:type="spellEnd"/>
    </w:p>
    <w:p w14:paraId="08C493C4" w14:textId="77777777" w:rsidR="00F15EA3" w:rsidRPr="001A38EC" w:rsidRDefault="00F15EA3" w:rsidP="00F15EA3">
      <w:pPr>
        <w:pStyle w:val="a7"/>
        <w:numPr>
          <w:ilvl w:val="0"/>
          <w:numId w:val="12"/>
        </w:numPr>
        <w:spacing w:after="160" w:line="256" w:lineRule="auto"/>
        <w:ind w:left="1428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Абсолют</w:t>
      </w:r>
    </w:p>
    <w:p w14:paraId="78657003" w14:textId="77777777" w:rsidR="00F15EA3" w:rsidRPr="001A38EC" w:rsidRDefault="00F15EA3" w:rsidP="00F15EA3">
      <w:pPr>
        <w:pStyle w:val="a7"/>
        <w:rPr>
          <w:rFonts w:ascii="Times New Roman" w:hAnsi="Times New Roman" w:cs="Times New Roman"/>
        </w:rPr>
      </w:pPr>
    </w:p>
    <w:p w14:paraId="66870A90" w14:textId="77777777" w:rsidR="00F15EA3" w:rsidRPr="001A38EC" w:rsidRDefault="00F15EA3" w:rsidP="00C12009">
      <w:pPr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Но большой структурный сдвиг наблюдается после 4х застройщиков, которые бесспорно могут считаться самыми крупными игроками:</w:t>
      </w:r>
    </w:p>
    <w:p w14:paraId="65AD30AB" w14:textId="77777777" w:rsidR="00F15EA3" w:rsidRPr="001A38EC" w:rsidRDefault="00F15EA3" w:rsidP="00F15EA3">
      <w:pPr>
        <w:pStyle w:val="a7"/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ПИК</w:t>
      </w:r>
    </w:p>
    <w:p w14:paraId="403101B6" w14:textId="77777777" w:rsidR="00F15EA3" w:rsidRPr="001A38EC" w:rsidRDefault="00F15EA3" w:rsidP="00F15EA3">
      <w:pPr>
        <w:pStyle w:val="a7"/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А101</w:t>
      </w:r>
    </w:p>
    <w:p w14:paraId="331B8B0B" w14:textId="77777777" w:rsidR="00F15EA3" w:rsidRPr="001A38EC" w:rsidRDefault="00F15EA3" w:rsidP="00F15EA3">
      <w:pPr>
        <w:pStyle w:val="a7"/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lastRenderedPageBreak/>
        <w:t>Донстрой</w:t>
      </w:r>
    </w:p>
    <w:tbl>
      <w:tblPr>
        <w:tblW w:w="1102" w:type="dxa"/>
        <w:tblLook w:val="04A0" w:firstRow="1" w:lastRow="0" w:firstColumn="1" w:lastColumn="0" w:noHBand="0" w:noVBand="1"/>
      </w:tblPr>
      <w:tblGrid>
        <w:gridCol w:w="1102"/>
      </w:tblGrid>
      <w:tr w:rsidR="00F15EA3" w:rsidRPr="001A38EC" w14:paraId="412B4DAF" w14:textId="77777777" w:rsidTr="0002541F">
        <w:trPr>
          <w:trHeight w:val="290"/>
        </w:trPr>
        <w:tc>
          <w:tcPr>
            <w:tcW w:w="1102" w:type="dxa"/>
            <w:noWrap/>
            <w:vAlign w:val="bottom"/>
            <w:hideMark/>
          </w:tcPr>
          <w:p w14:paraId="42B1FC5D" w14:textId="77777777" w:rsidR="00F15EA3" w:rsidRPr="001A38EC" w:rsidRDefault="00F15EA3" w:rsidP="0002541F">
            <w:pPr>
              <w:rPr>
                <w:rFonts w:ascii="Times New Roman" w:hAnsi="Times New Roman" w:cs="Times New Roman"/>
              </w:rPr>
            </w:pPr>
          </w:p>
        </w:tc>
      </w:tr>
    </w:tbl>
    <w:p w14:paraId="354FFA82" w14:textId="77777777" w:rsidR="00F15EA3" w:rsidRPr="001A38EC" w:rsidRDefault="00F15EA3" w:rsidP="00F15EA3">
      <w:pPr>
        <w:ind w:left="360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  <w:noProof/>
        </w:rPr>
        <w:drawing>
          <wp:inline distT="0" distB="0" distL="0" distR="0" wp14:anchorId="5E012BA3" wp14:editId="6DF3E4B4">
            <wp:extent cx="5313045" cy="3498215"/>
            <wp:effectExtent l="0" t="0" r="1905" b="698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14BE039-1D45-494C-8A03-60AB05380A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7985649" w14:textId="77777777" w:rsidR="00D902A7" w:rsidRDefault="00D902A7" w:rsidP="00C12009">
      <w:pPr>
        <w:rPr>
          <w:rFonts w:ascii="Times New Roman" w:hAnsi="Times New Roman" w:cs="Times New Roman"/>
        </w:rPr>
      </w:pPr>
    </w:p>
    <w:p w14:paraId="584A0F16" w14:textId="6B3F5477" w:rsidR="00F15EA3" w:rsidRPr="001A38EC" w:rsidRDefault="00F15EA3" w:rsidP="00C12009">
      <w:pPr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Поэтому</w:t>
      </w:r>
      <w:r w:rsidR="007E0CAC">
        <w:rPr>
          <w:rFonts w:ascii="Times New Roman" w:hAnsi="Times New Roman" w:cs="Times New Roman"/>
        </w:rPr>
        <w:t xml:space="preserve"> </w:t>
      </w:r>
      <w:r w:rsidRPr="001A38EC">
        <w:rPr>
          <w:rFonts w:ascii="Times New Roman" w:hAnsi="Times New Roman" w:cs="Times New Roman"/>
        </w:rPr>
        <w:t>в зависимости от результатов и целей исследования можно использовать либо 3 наиболее крупных застройщиков, либо 16 лидеров рынка. Решение об использовании конкретного количества может быть определено во время исследования:</w:t>
      </w:r>
    </w:p>
    <w:p w14:paraId="2C31B23C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Если наиболее важным критерием является наибольший структурный сдвиг (то есть компании, оборот которых максимальный и сильно отличается от других), то надо взять три компании. </w:t>
      </w:r>
    </w:p>
    <w:p w14:paraId="25DFA7C7" w14:textId="6CB60D26" w:rsidR="00C12009" w:rsidRDefault="00F15EA3" w:rsidP="00C12009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Если больше нужен критерий максимального покрытия рынка наиболее крупными компаниями, то стоит взять 16 застройщиков.</w:t>
      </w:r>
    </w:p>
    <w:p w14:paraId="2635BF6C" w14:textId="77777777" w:rsidR="00C12009" w:rsidRPr="00C12009" w:rsidRDefault="00C12009" w:rsidP="00C12009">
      <w:pPr>
        <w:spacing w:after="160" w:line="256" w:lineRule="auto"/>
        <w:rPr>
          <w:rFonts w:ascii="Times New Roman" w:hAnsi="Times New Roman" w:cs="Times New Roman"/>
        </w:rPr>
      </w:pPr>
    </w:p>
    <w:p w14:paraId="5DC4060C" w14:textId="154AE519" w:rsidR="00F15EA3" w:rsidRPr="00C12009" w:rsidRDefault="00F15EA3" w:rsidP="00C12009">
      <w:pPr>
        <w:pStyle w:val="a7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</w:rPr>
      </w:pPr>
      <w:r w:rsidRPr="00C12009">
        <w:rPr>
          <w:rFonts w:ascii="Times New Roman" w:hAnsi="Times New Roman" w:cs="Times New Roman"/>
        </w:rPr>
        <w:t>Вторым варианто</w:t>
      </w:r>
      <w:r w:rsidR="00C77C57" w:rsidRPr="00C12009">
        <w:rPr>
          <w:rFonts w:ascii="Times New Roman" w:hAnsi="Times New Roman" w:cs="Times New Roman"/>
        </w:rPr>
        <w:t>м</w:t>
      </w:r>
      <w:r w:rsidRPr="00C12009">
        <w:rPr>
          <w:rFonts w:ascii="Times New Roman" w:hAnsi="Times New Roman" w:cs="Times New Roman"/>
        </w:rPr>
        <w:t xml:space="preserve"> определения наиболее крупных компаний может быть рассмотрение ПАО (как крупные и наиболее популярные компании рынка): </w:t>
      </w:r>
    </w:p>
    <w:p w14:paraId="4428D480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Эталон Групп</w:t>
      </w:r>
    </w:p>
    <w:p w14:paraId="6D6CF9AE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Пик ГК</w:t>
      </w:r>
    </w:p>
    <w:p w14:paraId="08B3777C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proofErr w:type="spellStart"/>
      <w:r w:rsidRPr="001A38EC">
        <w:rPr>
          <w:rFonts w:ascii="Times New Roman" w:hAnsi="Times New Roman" w:cs="Times New Roman"/>
        </w:rPr>
        <w:t>Инград</w:t>
      </w:r>
      <w:proofErr w:type="spellEnd"/>
    </w:p>
    <w:p w14:paraId="67FB797B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Самолёт ГК</w:t>
      </w:r>
    </w:p>
    <w:p w14:paraId="35704EAF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Группа ЛСР</w:t>
      </w:r>
    </w:p>
    <w:p w14:paraId="308751BD" w14:textId="77777777" w:rsidR="00F15EA3" w:rsidRPr="001A38EC" w:rsidRDefault="00F15EA3" w:rsidP="00F15EA3">
      <w:pPr>
        <w:pStyle w:val="a7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ГИТ.</w:t>
      </w:r>
    </w:p>
    <w:p w14:paraId="79E962CA" w14:textId="293E820E" w:rsidR="001A38EC" w:rsidRPr="00C12009" w:rsidRDefault="00F15EA3" w:rsidP="00C12009">
      <w:pPr>
        <w:spacing w:after="160" w:line="256" w:lineRule="auto"/>
        <w:ind w:left="720"/>
        <w:rPr>
          <w:rFonts w:ascii="Times New Roman" w:hAnsi="Times New Roman" w:cs="Times New Roman"/>
        </w:rPr>
      </w:pPr>
      <w:r w:rsidRPr="00C12009">
        <w:rPr>
          <w:rFonts w:ascii="Times New Roman" w:hAnsi="Times New Roman" w:cs="Times New Roman"/>
        </w:rPr>
        <w:t>Эти компании также можно взять как наиболее крупные на рынке.</w:t>
      </w:r>
    </w:p>
    <w:p w14:paraId="02A97AEC" w14:textId="77777777" w:rsidR="00AA0BB8" w:rsidRDefault="00AA0BB8" w:rsidP="001B164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</w:p>
    <w:p w14:paraId="18E4F144" w14:textId="23F4D559" w:rsidR="002351EE" w:rsidRPr="001A38EC" w:rsidRDefault="002351EE" w:rsidP="001B164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1A38EC">
        <w:rPr>
          <w:rFonts w:ascii="Times New Roman" w:eastAsiaTheme="minorEastAsia" w:hAnsi="Times New Roman" w:cs="Times New Roman"/>
          <w:b/>
          <w:bCs/>
        </w:rPr>
        <w:t>Эмпирическая стратегия</w:t>
      </w:r>
      <w:r w:rsidR="00C44483" w:rsidRPr="001A38EC">
        <w:rPr>
          <w:rFonts w:ascii="Times New Roman" w:eastAsiaTheme="minorEastAsia" w:hAnsi="Times New Roman" w:cs="Times New Roman"/>
          <w:b/>
          <w:bCs/>
        </w:rPr>
        <w:t>.</w:t>
      </w:r>
    </w:p>
    <w:p w14:paraId="12B23F79" w14:textId="6A261D5F" w:rsidR="00C44483" w:rsidRPr="001A38EC" w:rsidRDefault="00C44483" w:rsidP="000E7682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Далее реальные показатели будут идти с приставкой </w:t>
      </w:r>
      <w:r w:rsidR="005A4536" w:rsidRPr="001A38EC">
        <w:rPr>
          <w:rFonts w:ascii="Times New Roman" w:hAnsi="Times New Roman" w:cs="Times New Roman"/>
        </w:rPr>
        <w:t>“r”.</w:t>
      </w:r>
    </w:p>
    <w:p w14:paraId="372EEF58" w14:textId="2C2B7B41" w:rsidR="00BF2B69" w:rsidRPr="001A38EC" w:rsidRDefault="00BF2B69" w:rsidP="000E7682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Эмпирическая стратегия заключается в оценке</w:t>
      </w:r>
      <w:r w:rsidR="002351EE" w:rsidRPr="001A38EC">
        <w:rPr>
          <w:rFonts w:ascii="Times New Roman" w:hAnsi="Times New Roman" w:cs="Times New Roman"/>
        </w:rPr>
        <w:t xml:space="preserve"> крив</w:t>
      </w:r>
      <w:r w:rsidRPr="001A38EC">
        <w:rPr>
          <w:rFonts w:ascii="Times New Roman" w:hAnsi="Times New Roman" w:cs="Times New Roman"/>
        </w:rPr>
        <w:t>ой</w:t>
      </w:r>
      <w:r w:rsidR="002351EE" w:rsidRPr="001A38EC">
        <w:rPr>
          <w:rFonts w:ascii="Times New Roman" w:hAnsi="Times New Roman" w:cs="Times New Roman"/>
        </w:rPr>
        <w:t xml:space="preserve"> спроса на новостройки в Москве по застройщикам. </w:t>
      </w:r>
      <w:bookmarkStart w:id="4" w:name="_heading=h.lol4ql6dzqj7" w:colFirst="0" w:colLast="0"/>
      <w:bookmarkStart w:id="5" w:name="_heading=h.qt1kjeik2xil" w:colFirst="0" w:colLast="0"/>
      <w:bookmarkEnd w:id="4"/>
      <w:bookmarkEnd w:id="5"/>
    </w:p>
    <w:p w14:paraId="369CEDD1" w14:textId="6C7A384C" w:rsidR="00C76545" w:rsidRPr="001A38EC" w:rsidRDefault="002351EE" w:rsidP="000E7682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lastRenderedPageBreak/>
        <w:t xml:space="preserve">Основной проблемой при оценке спроса является </w:t>
      </w:r>
      <w:proofErr w:type="spellStart"/>
      <w:r w:rsidRPr="001A38EC">
        <w:rPr>
          <w:rFonts w:ascii="Times New Roman" w:hAnsi="Times New Roman" w:cs="Times New Roman"/>
        </w:rPr>
        <w:t>эндогенность</w:t>
      </w:r>
      <w:proofErr w:type="spellEnd"/>
      <w:r w:rsidRPr="001A38EC">
        <w:rPr>
          <w:rFonts w:ascii="Times New Roman" w:hAnsi="Times New Roman" w:cs="Times New Roman"/>
        </w:rPr>
        <w:t xml:space="preserve"> регрессора из-за двусторонней причинно-следственной связи. Поэтому для получения состоятельных оценок необходимо использовать, например, инструментальные переменные и </w:t>
      </w:r>
      <w:proofErr w:type="spellStart"/>
      <w:r w:rsidRPr="001A38EC">
        <w:rPr>
          <w:rFonts w:ascii="Times New Roman" w:hAnsi="Times New Roman" w:cs="Times New Roman"/>
        </w:rPr>
        <w:t>двухшаговый</w:t>
      </w:r>
      <w:proofErr w:type="spellEnd"/>
      <w:r w:rsidRPr="001A38EC">
        <w:rPr>
          <w:rFonts w:ascii="Times New Roman" w:hAnsi="Times New Roman" w:cs="Times New Roman"/>
        </w:rPr>
        <w:t xml:space="preserve"> МНК.</w:t>
      </w:r>
      <w:r w:rsidR="00C44483" w:rsidRPr="001A38EC">
        <w:rPr>
          <w:rFonts w:ascii="Times New Roman" w:hAnsi="Times New Roman" w:cs="Times New Roman"/>
        </w:rPr>
        <w:t xml:space="preserve"> В качестве инструментов мы используем </w:t>
      </w:r>
      <m:oMath>
        <m:r>
          <w:rPr>
            <w:rFonts w:ascii="Cambria Math" w:hAnsi="Cambria Math" w:cs="Times New Roman"/>
          </w:rPr>
          <m:t>rCost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5A4536" w:rsidRPr="001A38EC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D6F8D" w:rsidRPr="001A38EC">
        <w:rPr>
          <w:rFonts w:ascii="Times New Roman" w:hAnsi="Times New Roman" w:cs="Times New Roman"/>
        </w:rPr>
        <w:t xml:space="preserve"> (для проверки результатов на устойчивость также имеет смысл рассмотреть спецификации модели</w:t>
      </w:r>
      <w:r w:rsidR="007169EF" w:rsidRPr="001A38EC">
        <w:rPr>
          <w:rFonts w:ascii="Times New Roman" w:hAnsi="Times New Roman" w:cs="Times New Roman"/>
        </w:rPr>
        <w:t xml:space="preserve"> с инструментальными переменными </w:t>
      </w:r>
      <w:proofErr w:type="spellStart"/>
      <w:r w:rsidR="007169EF" w:rsidRPr="001A38EC">
        <w:rPr>
          <w:rFonts w:ascii="Times New Roman" w:hAnsi="Times New Roman" w:cs="Times New Roman"/>
        </w:rPr>
        <w:t>Хаусмана</w:t>
      </w:r>
      <w:proofErr w:type="spellEnd"/>
      <w:r w:rsidR="007169EF" w:rsidRPr="001A38EC">
        <w:rPr>
          <w:rFonts w:ascii="Times New Roman" w:hAnsi="Times New Roman" w:cs="Times New Roman"/>
        </w:rPr>
        <w:t xml:space="preserve"> и </w:t>
      </w:r>
      <w:proofErr w:type="spellStart"/>
      <w:r w:rsidR="007169EF" w:rsidRPr="001A38EC">
        <w:rPr>
          <w:rFonts w:ascii="Times New Roman" w:hAnsi="Times New Roman" w:cs="Times New Roman"/>
        </w:rPr>
        <w:t>лагированных</w:t>
      </w:r>
      <w:proofErr w:type="spellEnd"/>
      <w:r w:rsidR="007169EF" w:rsidRPr="001A38EC">
        <w:rPr>
          <w:rFonts w:ascii="Times New Roman" w:hAnsi="Times New Roman" w:cs="Times New Roman"/>
        </w:rPr>
        <w:t xml:space="preserve"> цен</w:t>
      </w:r>
      <w:r w:rsidR="00A24EE9">
        <w:rPr>
          <w:rStyle w:val="ae"/>
          <w:rFonts w:ascii="Times New Roman" w:hAnsi="Times New Roman" w:cs="Times New Roman"/>
        </w:rPr>
        <w:footnoteReference w:id="4"/>
      </w:r>
      <w:r w:rsidR="003D6F8D" w:rsidRPr="001A38EC">
        <w:rPr>
          <w:rFonts w:ascii="Times New Roman" w:hAnsi="Times New Roman" w:cs="Times New Roman"/>
        </w:rPr>
        <w:t>)</w:t>
      </w:r>
      <w:r w:rsidR="005A4536" w:rsidRPr="001A38EC">
        <w:rPr>
          <w:rFonts w:ascii="Times New Roman" w:hAnsi="Times New Roman" w:cs="Times New Roman"/>
        </w:rPr>
        <w:t>.</w:t>
      </w:r>
    </w:p>
    <w:p w14:paraId="345B64FB" w14:textId="7278B69A" w:rsidR="0042741B" w:rsidRPr="001A38EC" w:rsidRDefault="002351EE" w:rsidP="00C76545">
      <w:p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Также мы оцениваем на панельных данных регрессию на каждом шаге, то есть необходимо добавить еще фиксированные эффекты.</w:t>
      </w:r>
      <w:r w:rsidR="001B1645" w:rsidRPr="001A38EC">
        <w:rPr>
          <w:rFonts w:ascii="Times New Roman" w:hAnsi="Times New Roman" w:cs="Times New Roman"/>
        </w:rPr>
        <w:t xml:space="preserve"> М</w:t>
      </w:r>
      <w:r w:rsidRPr="001A38EC">
        <w:rPr>
          <w:rFonts w:ascii="Times New Roman" w:hAnsi="Times New Roman" w:cs="Times New Roman"/>
        </w:rPr>
        <w:t>одел</w:t>
      </w:r>
      <w:r w:rsidR="001B1645" w:rsidRPr="001A38EC">
        <w:rPr>
          <w:rFonts w:ascii="Times New Roman" w:hAnsi="Times New Roman" w:cs="Times New Roman"/>
        </w:rPr>
        <w:t>ь</w:t>
      </w:r>
      <w:r w:rsidRPr="001A38EC">
        <w:rPr>
          <w:rFonts w:ascii="Times New Roman" w:hAnsi="Times New Roman" w:cs="Times New Roman"/>
        </w:rPr>
        <w:t xml:space="preserve"> с фиксированными эффектами помо</w:t>
      </w:r>
      <w:r w:rsidR="001416B2" w:rsidRPr="001A38EC">
        <w:rPr>
          <w:rFonts w:ascii="Times New Roman" w:hAnsi="Times New Roman" w:cs="Times New Roman"/>
        </w:rPr>
        <w:t>ж</w:t>
      </w:r>
      <w:r w:rsidR="001B1645" w:rsidRPr="001A38EC">
        <w:rPr>
          <w:rFonts w:ascii="Times New Roman" w:hAnsi="Times New Roman" w:cs="Times New Roman"/>
        </w:rPr>
        <w:t>ет</w:t>
      </w:r>
      <w:r w:rsidRPr="001A38EC">
        <w:rPr>
          <w:rFonts w:ascii="Times New Roman" w:hAnsi="Times New Roman" w:cs="Times New Roman"/>
        </w:rPr>
        <w:t xml:space="preserve"> избавиться от влияния эффектов времени</w:t>
      </w:r>
      <w:r w:rsidR="005A4536" w:rsidRPr="001A38EC">
        <w:rPr>
          <w:rFonts w:ascii="Times New Roman" w:hAnsi="Times New Roman" w:cs="Times New Roman"/>
        </w:rPr>
        <w:t xml:space="preserve"> и застройщиков.</w:t>
      </w:r>
    </w:p>
    <w:p w14:paraId="072FD0FE" w14:textId="77777777" w:rsidR="00D902A7" w:rsidRDefault="00D902A7" w:rsidP="00C76545">
      <w:pPr>
        <w:spacing w:line="360" w:lineRule="auto"/>
        <w:rPr>
          <w:rFonts w:ascii="Times New Roman" w:hAnsi="Times New Roman" w:cs="Times New Roman"/>
        </w:rPr>
      </w:pPr>
    </w:p>
    <w:p w14:paraId="7A0A8C69" w14:textId="2A33256F" w:rsidR="000E7682" w:rsidRPr="001A38EC" w:rsidRDefault="000E7682" w:rsidP="00C76545">
      <w:p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Оцениваемая модель будет выглядеть следующим образом.</w:t>
      </w:r>
    </w:p>
    <w:p w14:paraId="30505AD5" w14:textId="152CCB4B" w:rsidR="002351EE" w:rsidRPr="001A38EC" w:rsidRDefault="002351EE" w:rsidP="00C76545">
      <w:p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Первый шаг:</w:t>
      </w:r>
    </w:p>
    <w:p w14:paraId="15B975CC" w14:textId="5E1C7257" w:rsidR="002351EE" w:rsidRPr="001A38EC" w:rsidRDefault="00000000" w:rsidP="00C76545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rP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it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mbria Math" w:hAnsi="Cambria Math" w:cs="Times New Roman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rCosts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it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 xml:space="preserve"> ln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η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-фиксированные эффекты года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-фиксированные эффекты застройщика</m:t>
          </m:r>
        </m:oMath>
      </m:oMathPara>
    </w:p>
    <w:p w14:paraId="06E8D37A" w14:textId="77777777" w:rsidR="002351EE" w:rsidRPr="001A38EC" w:rsidRDefault="002351EE" w:rsidP="00C76545">
      <w:p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Второй шаг:</w:t>
      </w:r>
    </w:p>
    <w:p w14:paraId="2D05A3EC" w14:textId="634B1CC1" w:rsidR="002351EE" w:rsidRPr="001A38EC" w:rsidRDefault="00000000" w:rsidP="00C76545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</w:rPr>
                    <m:t>it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mbria Math" w:hAnsi="Cambria Math" w:cs="Times New Roman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1</m:t>
              </m:r>
            </m:sub>
          </m:sSub>
          <m:acc>
            <m:accPr>
              <m:ctrlPr>
                <w:rPr>
                  <w:rFonts w:ascii="Cambria Math" w:eastAsia="Cambria Math" w:hAnsi="Cambria Math" w:cs="Times New Roman"/>
                </w:rPr>
              </m:ctrlPr>
            </m:accPr>
            <m:e>
              <m:func>
                <m:funcPr>
                  <m:ctrlPr>
                    <w:rPr>
                      <w:rFonts w:ascii="Cambria Math" w:eastAsia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it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+</m:t>
                  </m:r>
                </m:e>
              </m:func>
            </m:e>
          </m:acc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</w:rPr>
            <m:t>is</m:t>
          </m:r>
          <m:r>
            <m:rPr>
              <m:lit/>
              <m:sty m:val="p"/>
            </m:rPr>
            <w:rPr>
              <w:rFonts w:ascii="Cambria Math" w:eastAsia="Cambria Math" w:hAnsi="Cambria Math" w:cs="Times New Roman"/>
            </w:rPr>
            <m:t>_</m:t>
          </m:r>
          <m:r>
            <w:rPr>
              <w:rFonts w:ascii="Cambria Math" w:eastAsia="Cambria Math" w:hAnsi="Cambria Math" w:cs="Times New Roman"/>
            </w:rPr>
            <m:t>larg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e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it</m:t>
              </m:r>
            </m:sub>
          </m:sSub>
          <m:acc>
            <m:accPr>
              <m:ctrlPr>
                <w:rPr>
                  <w:rFonts w:ascii="Cambria Math" w:eastAsia="Cambria Math" w:hAnsi="Cambria Math" w:cs="Times New Roman"/>
                </w:rPr>
              </m:ctrlPr>
            </m:accPr>
            <m:e>
              <m:func>
                <m:funcPr>
                  <m:ctrlPr>
                    <w:rPr>
                      <w:rFonts w:ascii="Cambria Math" w:eastAsia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</w:rPr>
                        <m:t>it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 xml:space="preserve"> </m:t>
                  </m:r>
                </m:e>
              </m:func>
            </m:e>
          </m:acc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rIncom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it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it</m:t>
              </m:r>
            </m:sub>
            <m:sup>
              <m:r>
                <w:rPr>
                  <w:rFonts w:ascii="Cambria Math" w:hAnsi="Cambria Math" w:cs="Times New Roman"/>
                </w:rPr>
                <m:t>e</m:t>
              </m:r>
            </m:sup>
          </m:sSubSup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η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μ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Times New Roman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</w:rPr>
                <m:t>ε</m:t>
              </m:r>
            </m:e>
            <m:sub>
              <m:r>
                <w:rPr>
                  <w:rFonts w:ascii="Cambria Math" w:eastAsia="Cambria Math" w:hAnsi="Cambria Math" w:cs="Times New Roman"/>
                </w:rPr>
                <m:t>it</m:t>
              </m:r>
            </m:sub>
          </m:sSub>
        </m:oMath>
      </m:oMathPara>
    </w:p>
    <w:p w14:paraId="78C9E03C" w14:textId="21F7EB59" w:rsidR="002A0A78" w:rsidRPr="001A38EC" w:rsidRDefault="002A0A78" w:rsidP="00C76545">
      <w:pPr>
        <w:spacing w:line="360" w:lineRule="auto"/>
        <w:rPr>
          <w:rFonts w:ascii="Times New Roman" w:hAnsi="Times New Roman" w:cs="Times New Roman"/>
        </w:rPr>
      </w:pPr>
    </w:p>
    <w:p w14:paraId="12A1D746" w14:textId="77777777" w:rsidR="00165F6C" w:rsidRPr="001A38EC" w:rsidRDefault="002351EE" w:rsidP="00C76545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При применении такой процедуры, мы получим состоятельную оценку спроса, если инструменты будут валидны</w:t>
      </w:r>
      <w:r w:rsidR="00465EA8" w:rsidRPr="001A38EC">
        <w:rPr>
          <w:rFonts w:ascii="Times New Roman" w:hAnsi="Times New Roman" w:cs="Times New Roman"/>
        </w:rPr>
        <w:t>ми</w:t>
      </w:r>
      <w:r w:rsidRPr="001A38EC">
        <w:rPr>
          <w:rFonts w:ascii="Times New Roman" w:hAnsi="Times New Roman" w:cs="Times New Roman"/>
        </w:rPr>
        <w:t xml:space="preserve">, то есть релевантными и экзогенными. </w:t>
      </w:r>
    </w:p>
    <w:p w14:paraId="6E8968E9" w14:textId="60F7BE2B" w:rsidR="00335A2A" w:rsidRPr="001A38EC" w:rsidRDefault="00933FF6" w:rsidP="0061553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1A38EC">
        <w:rPr>
          <w:rFonts w:ascii="Times New Roman" w:hAnsi="Times New Roman" w:cs="Times New Roman"/>
        </w:rPr>
        <w:t>Для</w:t>
      </w:r>
      <w:r w:rsidR="00AF09E2" w:rsidRPr="001A38EC">
        <w:rPr>
          <w:rFonts w:ascii="Times New Roman" w:hAnsi="Times New Roman" w:cs="Times New Roman"/>
        </w:rPr>
        <w:t xml:space="preserve"> проверки </w:t>
      </w:r>
      <w:r w:rsidRPr="009031F3">
        <w:rPr>
          <w:rFonts w:ascii="Times New Roman" w:hAnsi="Times New Roman" w:cs="Times New Roman"/>
          <w:i/>
          <w:iCs/>
        </w:rPr>
        <w:t>гипотез</w:t>
      </w:r>
      <w:r w:rsidR="009031F3" w:rsidRPr="009031F3">
        <w:rPr>
          <w:rFonts w:ascii="Times New Roman" w:hAnsi="Times New Roman" w:cs="Times New Roman"/>
          <w:i/>
          <w:iCs/>
        </w:rPr>
        <w:t>ы 1</w:t>
      </w:r>
      <w:r w:rsidRPr="001A38EC">
        <w:rPr>
          <w:rFonts w:ascii="Times New Roman" w:hAnsi="Times New Roman" w:cs="Times New Roman"/>
        </w:rPr>
        <w:t xml:space="preserve"> необходимо</w:t>
      </w:r>
      <w:r w:rsidR="00254820" w:rsidRPr="001A38EC">
        <w:rPr>
          <w:rFonts w:ascii="Times New Roman" w:hAnsi="Times New Roman" w:cs="Times New Roman"/>
        </w:rPr>
        <w:t xml:space="preserve"> посмотреть на значимость коэффициента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D3471" w:rsidRPr="001A38EC">
        <w:rPr>
          <w:rFonts w:ascii="Times New Roman" w:eastAsiaTheme="minorEastAsia" w:hAnsi="Times New Roman" w:cs="Times New Roman"/>
        </w:rPr>
        <w:t xml:space="preserve">. Если он статистически значим, то </w:t>
      </w:r>
      <w:r w:rsidR="00BC1FB7" w:rsidRPr="001A38EC">
        <w:rPr>
          <w:rFonts w:ascii="Times New Roman" w:eastAsiaTheme="minorEastAsia" w:hAnsi="Times New Roman" w:cs="Times New Roman"/>
        </w:rPr>
        <w:t xml:space="preserve">эластичность </w:t>
      </w:r>
      <w:r w:rsidR="00207225" w:rsidRPr="001A38EC">
        <w:rPr>
          <w:rFonts w:ascii="Times New Roman" w:eastAsiaTheme="minorEastAsia" w:hAnsi="Times New Roman" w:cs="Times New Roman"/>
        </w:rPr>
        <w:t xml:space="preserve">спроса </w:t>
      </w:r>
      <w:r w:rsidR="0047358F" w:rsidRPr="001A38EC">
        <w:rPr>
          <w:rFonts w:ascii="Times New Roman" w:eastAsiaTheme="minorEastAsia" w:hAnsi="Times New Roman" w:cs="Times New Roman"/>
        </w:rPr>
        <w:t xml:space="preserve">по </w:t>
      </w:r>
      <w:r w:rsidR="00207225" w:rsidRPr="001A38EC">
        <w:rPr>
          <w:rFonts w:ascii="Times New Roman" w:eastAsiaTheme="minorEastAsia" w:hAnsi="Times New Roman" w:cs="Times New Roman"/>
        </w:rPr>
        <w:t>цен</w:t>
      </w:r>
      <w:r w:rsidR="0047358F" w:rsidRPr="001A38EC">
        <w:rPr>
          <w:rFonts w:ascii="Times New Roman" w:eastAsiaTheme="minorEastAsia" w:hAnsi="Times New Roman" w:cs="Times New Roman"/>
        </w:rPr>
        <w:t>е у</w:t>
      </w:r>
      <w:r w:rsidR="00207225" w:rsidRPr="001A38EC">
        <w:rPr>
          <w:rFonts w:ascii="Times New Roman" w:eastAsiaTheme="minorEastAsia" w:hAnsi="Times New Roman" w:cs="Times New Roman"/>
        </w:rPr>
        <w:t xml:space="preserve"> крупных застройщиков</w:t>
      </w:r>
      <w:r w:rsidR="0047358F" w:rsidRPr="001A38EC">
        <w:rPr>
          <w:rFonts w:ascii="Times New Roman" w:eastAsiaTheme="minorEastAsia" w:hAnsi="Times New Roman" w:cs="Times New Roman"/>
        </w:rPr>
        <w:t xml:space="preserve"> будет отличать</w:t>
      </w:r>
      <w:r w:rsidR="0079194B" w:rsidRPr="001A38EC">
        <w:rPr>
          <w:rFonts w:ascii="Times New Roman" w:eastAsiaTheme="minorEastAsia" w:hAnsi="Times New Roman" w:cs="Times New Roman"/>
        </w:rPr>
        <w:t>ся</w:t>
      </w:r>
      <w:r w:rsidR="0047358F" w:rsidRPr="001A38EC">
        <w:rPr>
          <w:rFonts w:ascii="Times New Roman" w:eastAsiaTheme="minorEastAsia" w:hAnsi="Times New Roman" w:cs="Times New Roman"/>
        </w:rPr>
        <w:t xml:space="preserve"> от всех остальных как раз на </w:t>
      </w:r>
      <w:r w:rsidR="004C3BDC" w:rsidRPr="001A38EC">
        <w:rPr>
          <w:rFonts w:ascii="Times New Roman" w:eastAsiaTheme="minorEastAsia" w:hAnsi="Times New Roman" w:cs="Times New Roman"/>
        </w:rPr>
        <w:t xml:space="preserve">оценку этого коэффициента. Если </w:t>
      </w:r>
      <m:oMath>
        <m:acc>
          <m:accPr>
            <m:ctrlPr>
              <w:rPr>
                <w:rFonts w:ascii="Cambria Math" w:eastAsia="Cambria Math" w:hAnsi="Cambria Math" w:cs="Times New Roman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>β</m:t>
                </m:r>
                <m:ctrlPr>
                  <w:rPr>
                    <w:rFonts w:ascii="Cambria Math" w:eastAsia="Cambria Math" w:hAnsi="Cambria Math" w:cs="Times New Roman"/>
                  </w:rPr>
                </m:ctrlPr>
              </m:e>
              <m:sub>
                <m:r>
                  <w:rPr>
                    <w:rFonts w:ascii="Cambria Math" w:eastAsia="Cambria Math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eastAsia="Cambria Math" w:hAnsi="Cambria Math" w:cs="Times New Roman"/>
          </w:rPr>
          <m:t>&lt;0</m:t>
        </m:r>
      </m:oMath>
      <w:r w:rsidR="004C3BDC" w:rsidRPr="001A38EC">
        <w:rPr>
          <w:rFonts w:ascii="Times New Roman" w:eastAsiaTheme="minorEastAsia" w:hAnsi="Times New Roman" w:cs="Times New Roman"/>
        </w:rPr>
        <w:t>,</w:t>
      </w:r>
      <w:r w:rsidR="00A32806" w:rsidRPr="001A38EC">
        <w:rPr>
          <w:rFonts w:ascii="Times New Roman" w:eastAsiaTheme="minorEastAsia" w:hAnsi="Times New Roman" w:cs="Times New Roman"/>
        </w:rPr>
        <w:t xml:space="preserve"> </w:t>
      </w:r>
      <w:r w:rsidR="004C3BDC" w:rsidRPr="001A38EC">
        <w:rPr>
          <w:rFonts w:ascii="Times New Roman" w:eastAsiaTheme="minorEastAsia" w:hAnsi="Times New Roman" w:cs="Times New Roman"/>
        </w:rPr>
        <w:t>спрос</w:t>
      </w:r>
      <w:r w:rsidR="00A32806" w:rsidRPr="001A38EC">
        <w:rPr>
          <w:rFonts w:ascii="Times New Roman" w:eastAsiaTheme="minorEastAsia" w:hAnsi="Times New Roman" w:cs="Times New Roman"/>
        </w:rPr>
        <w:t xml:space="preserve"> “больших” игроков более пологий, иначе </w:t>
      </w:r>
      <w:r w:rsidR="00AF09E2" w:rsidRPr="001A38EC">
        <w:rPr>
          <w:rFonts w:ascii="Times New Roman" w:eastAsiaTheme="minorEastAsia" w:hAnsi="Times New Roman" w:cs="Times New Roman"/>
        </w:rPr>
        <w:t>будет более крутой.</w:t>
      </w:r>
    </w:p>
    <w:p w14:paraId="37A0EC60" w14:textId="36B12102" w:rsidR="0057710F" w:rsidRPr="001A38EC" w:rsidRDefault="00AF09E2" w:rsidP="0057710F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 w:rsidRPr="001A38EC">
        <w:rPr>
          <w:rFonts w:ascii="Times New Roman" w:eastAsiaTheme="minorEastAsia" w:hAnsi="Times New Roman" w:cs="Times New Roman"/>
        </w:rPr>
        <w:t>Для</w:t>
      </w:r>
      <w:r w:rsidR="008E496B" w:rsidRPr="001A38EC">
        <w:rPr>
          <w:rFonts w:ascii="Times New Roman" w:eastAsiaTheme="minorEastAsia" w:hAnsi="Times New Roman" w:cs="Times New Roman"/>
        </w:rPr>
        <w:t xml:space="preserve"> </w:t>
      </w:r>
      <w:r w:rsidRPr="00180508">
        <w:rPr>
          <w:rFonts w:ascii="Times New Roman" w:eastAsiaTheme="minorEastAsia" w:hAnsi="Times New Roman" w:cs="Times New Roman"/>
          <w:i/>
          <w:iCs/>
        </w:rPr>
        <w:t>гипотезы</w:t>
      </w:r>
      <w:r w:rsidR="00180508" w:rsidRPr="00180508">
        <w:rPr>
          <w:rFonts w:ascii="Times New Roman" w:eastAsiaTheme="minorEastAsia" w:hAnsi="Times New Roman" w:cs="Times New Roman"/>
          <w:i/>
          <w:iCs/>
        </w:rPr>
        <w:t xml:space="preserve"> 2</w:t>
      </w:r>
      <w:r w:rsidR="008E496B" w:rsidRPr="001A38EC">
        <w:rPr>
          <w:rFonts w:ascii="Times New Roman" w:eastAsiaTheme="minorEastAsia" w:hAnsi="Times New Roman" w:cs="Times New Roman"/>
        </w:rPr>
        <w:t xml:space="preserve"> мы уберем из </w:t>
      </w:r>
      <w:r w:rsidR="00437F6F">
        <w:rPr>
          <w:rFonts w:ascii="Times New Roman" w:eastAsiaTheme="minorEastAsia" w:hAnsi="Times New Roman" w:cs="Times New Roman"/>
        </w:rPr>
        <w:t>второго</w:t>
      </w:r>
      <w:r w:rsidR="008E496B" w:rsidRPr="001A38EC">
        <w:rPr>
          <w:rFonts w:ascii="Times New Roman" w:eastAsiaTheme="minorEastAsia" w:hAnsi="Times New Roman" w:cs="Times New Roman"/>
        </w:rPr>
        <w:t xml:space="preserve"> </w:t>
      </w:r>
      <w:r w:rsidR="00E92141" w:rsidRPr="001A38EC">
        <w:rPr>
          <w:rFonts w:ascii="Times New Roman" w:eastAsiaTheme="minorEastAsia" w:hAnsi="Times New Roman" w:cs="Times New Roman"/>
        </w:rPr>
        <w:t xml:space="preserve">шага </w:t>
      </w:r>
      <m:oMath>
        <m:r>
          <w:rPr>
            <w:rFonts w:ascii="Cambria Math" w:eastAsia="Cambria Math" w:hAnsi="Cambria Math" w:cs="Times New Roman"/>
          </w:rPr>
          <m:t>is</m:t>
        </m:r>
        <m:r>
          <m:rPr>
            <m:lit/>
            <m:sty m:val="p"/>
          </m:rPr>
          <w:rPr>
            <w:rFonts w:ascii="Cambria Math" w:eastAsia="Cambria Math" w:hAnsi="Cambria Math" w:cs="Times New Roman"/>
          </w:rPr>
          <m:t>_</m:t>
        </m:r>
        <m:r>
          <w:rPr>
            <w:rFonts w:ascii="Cambria Math" w:eastAsia="Cambria Math" w:hAnsi="Cambria Math" w:cs="Times New Roman"/>
          </w:rPr>
          <m:t>larg</m:t>
        </m:r>
        <m:sSub>
          <m:sSubPr>
            <m:ctrlPr>
              <w:rPr>
                <w:rFonts w:ascii="Cambria Math" w:eastAsia="Cambria Math" w:hAnsi="Cambria Math" w:cs="Times New Roman"/>
              </w:rPr>
            </m:ctrlPr>
          </m:sSubPr>
          <m:e>
            <m:r>
              <w:rPr>
                <w:rFonts w:ascii="Cambria Math" w:eastAsia="Cambria Math" w:hAnsi="Cambria Math" w:cs="Times New Roman"/>
              </w:rPr>
              <m:t>e</m:t>
            </m:r>
          </m:e>
          <m:sub>
            <m:r>
              <w:rPr>
                <w:rFonts w:ascii="Cambria Math" w:eastAsia="Cambria Math" w:hAnsi="Cambria Math" w:cs="Times New Roman"/>
              </w:rPr>
              <m:t>it</m:t>
            </m:r>
          </m:sub>
        </m:sSub>
        <m:acc>
          <m:accPr>
            <m:ctrlPr>
              <w:rPr>
                <w:rFonts w:ascii="Cambria Math" w:eastAsia="Cambria Math" w:hAnsi="Cambria Math" w:cs="Times New Roman"/>
              </w:rPr>
            </m:ctrlPr>
          </m:accPr>
          <m:e>
            <m:func>
              <m:funcPr>
                <m:ctrlPr>
                  <w:rPr>
                    <w:rFonts w:ascii="Cambria Math" w:eastAsia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>ln</m:t>
                </m:r>
              </m:fName>
              <m:e>
                <m:r>
                  <w:rPr>
                    <w:rFonts w:ascii="Cambria Math" w:eastAsia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</w:rPr>
                  <m:t xml:space="preserve"> </m:t>
                </m:r>
              </m:e>
            </m:func>
          </m:e>
        </m:acc>
      </m:oMath>
      <w:r w:rsidR="00914AF1" w:rsidRPr="001A38EC">
        <w:rPr>
          <w:rFonts w:ascii="Times New Roman" w:eastAsiaTheme="minorEastAsia" w:hAnsi="Times New Roman" w:cs="Times New Roman"/>
        </w:rPr>
        <w:t xml:space="preserve">и посмотрим на значимость коэффициентов при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r>
              <w:rPr>
                <w:rFonts w:ascii="Cambria Math" w:hAnsi="Cambria Math" w:cs="Times New Roman"/>
              </w:rPr>
              <m:t>rIncom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</m:e>
        </m:func>
      </m:oMath>
      <w:r w:rsidR="00914AF1" w:rsidRPr="001A38EC">
        <w:rPr>
          <w:rFonts w:ascii="Times New Roman" w:eastAsiaTheme="minorEastAsia" w:hAnsi="Times New Roman" w:cs="Times New Roman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  <m:sup>
            <m:r>
              <w:rPr>
                <w:rFonts w:ascii="Cambria Math" w:hAnsi="Cambria Math" w:cs="Times New Roman"/>
              </w:rPr>
              <m:t>e</m:t>
            </m:r>
          </m:sup>
        </m:sSubSup>
        <m:r>
          <w:rPr>
            <w:rFonts w:ascii="Cambria Math" w:hAnsi="Cambria Math" w:cs="Times New Roman"/>
          </w:rPr>
          <m:t>.</m:t>
        </m:r>
      </m:oMath>
      <w:r w:rsidR="00914AF1" w:rsidRPr="001A38EC">
        <w:rPr>
          <w:rFonts w:ascii="Times New Roman" w:eastAsiaTheme="minorEastAsia" w:hAnsi="Times New Roman" w:cs="Times New Roman"/>
        </w:rPr>
        <w:t xml:space="preserve"> Соответствующие результаты </w:t>
      </w:r>
      <w:r w:rsidR="00053A58" w:rsidRPr="001A38EC">
        <w:rPr>
          <w:rFonts w:ascii="Times New Roman" w:eastAsiaTheme="minorEastAsia" w:hAnsi="Times New Roman" w:cs="Times New Roman"/>
        </w:rPr>
        <w:t>проверки этих предположений можно увидеть в следующем ра</w:t>
      </w:r>
      <w:r w:rsidR="0057710F" w:rsidRPr="001A38EC">
        <w:rPr>
          <w:rFonts w:ascii="Times New Roman" w:eastAsiaTheme="minorEastAsia" w:hAnsi="Times New Roman" w:cs="Times New Roman"/>
        </w:rPr>
        <w:t>зделе.</w:t>
      </w:r>
    </w:p>
    <w:p w14:paraId="08809CF4" w14:textId="77777777" w:rsidR="001A38EC" w:rsidRDefault="002351EE" w:rsidP="0057710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A38EC">
        <w:rPr>
          <w:rFonts w:ascii="Times New Roman" w:eastAsiaTheme="minorEastAsia" w:hAnsi="Times New Roman" w:cs="Times New Roman"/>
          <w:highlight w:val="yellow"/>
        </w:rPr>
        <w:br/>
      </w:r>
    </w:p>
    <w:p w14:paraId="11A9C97C" w14:textId="097FD7A5" w:rsidR="00615531" w:rsidRPr="001A38EC" w:rsidRDefault="0057710F" w:rsidP="0057710F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w:r w:rsidRPr="001A38EC">
        <w:rPr>
          <w:rFonts w:ascii="Times New Roman" w:hAnsi="Times New Roman" w:cs="Times New Roman"/>
          <w:b/>
          <w:bCs/>
        </w:rPr>
        <w:t xml:space="preserve">Некоторые </w:t>
      </w:r>
      <w:r w:rsidR="00C37215" w:rsidRPr="001A38EC">
        <w:rPr>
          <w:rFonts w:ascii="Times New Roman" w:hAnsi="Times New Roman" w:cs="Times New Roman"/>
          <w:b/>
          <w:bCs/>
        </w:rPr>
        <w:t>результаты</w:t>
      </w:r>
    </w:p>
    <w:p w14:paraId="0F8A6297" w14:textId="0CBAF4DE" w:rsidR="00377594" w:rsidRPr="001A38EC" w:rsidRDefault="00377594" w:rsidP="00615531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Ниже продемонстрированы результаты оценивания нескольких моделей.</w:t>
      </w:r>
    </w:p>
    <w:p w14:paraId="5526C0C2" w14:textId="415C67A2" w:rsidR="00340BAD" w:rsidRPr="001A38EC" w:rsidRDefault="00340BAD" w:rsidP="00340BAD">
      <w:pPr>
        <w:pStyle w:val="af5"/>
        <w:keepNext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lastRenderedPageBreak/>
        <w:t xml:space="preserve">Таблица </w:t>
      </w:r>
      <w:r w:rsidR="005C6089" w:rsidRPr="001A38EC">
        <w:rPr>
          <w:rFonts w:ascii="Times New Roman" w:hAnsi="Times New Roman" w:cs="Times New Roman"/>
        </w:rPr>
        <w:fldChar w:fldCharType="begin"/>
      </w:r>
      <w:r w:rsidR="005C6089" w:rsidRPr="001A38EC">
        <w:rPr>
          <w:rFonts w:ascii="Times New Roman" w:hAnsi="Times New Roman" w:cs="Times New Roman"/>
        </w:rPr>
        <w:instrText xml:space="preserve"> SEQ Таблица \* ARABIC </w:instrText>
      </w:r>
      <w:r w:rsidR="005C6089" w:rsidRPr="001A38EC">
        <w:rPr>
          <w:rFonts w:ascii="Times New Roman" w:hAnsi="Times New Roman" w:cs="Times New Roman"/>
        </w:rPr>
        <w:fldChar w:fldCharType="separate"/>
      </w:r>
      <w:r w:rsidR="00B323A6">
        <w:rPr>
          <w:rFonts w:ascii="Times New Roman" w:hAnsi="Times New Roman" w:cs="Times New Roman"/>
          <w:noProof/>
        </w:rPr>
        <w:t>2</w:t>
      </w:r>
      <w:r w:rsidR="005C6089" w:rsidRPr="001A38EC">
        <w:rPr>
          <w:rFonts w:ascii="Times New Roman" w:hAnsi="Times New Roman" w:cs="Times New Roman"/>
          <w:noProof/>
        </w:rPr>
        <w:fldChar w:fldCharType="end"/>
      </w:r>
      <w:r w:rsidRPr="001A38EC">
        <w:rPr>
          <w:rFonts w:ascii="Times New Roman" w:hAnsi="Times New Roman" w:cs="Times New Roman"/>
        </w:rPr>
        <w:t>. 2МНК-регрессии (зависимая переменная – логарифм проданной площади)</w:t>
      </w:r>
    </w:p>
    <w:p w14:paraId="05CBA7EF" w14:textId="4E3600FD" w:rsidR="00377594" w:rsidRPr="001A38EC" w:rsidRDefault="00CB3E6C" w:rsidP="00F045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A38EC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5FE68B89" wp14:editId="6C6ED293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7F33" w14:textId="04CCB0DA" w:rsidR="00377594" w:rsidRPr="001A38EC" w:rsidRDefault="00377594" w:rsidP="00615531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1A38EC">
        <w:rPr>
          <w:rFonts w:ascii="Times New Roman" w:hAnsi="Times New Roman" w:cs="Times New Roman"/>
        </w:rPr>
        <w:t xml:space="preserve">В модель 1 мы включаем только фиксированные эффекты застройщика. Значение </w:t>
      </w:r>
      <w:r w:rsidRPr="001A38EC">
        <w:rPr>
          <w:rFonts w:ascii="Times New Roman" w:hAnsi="Times New Roman" w:cs="Times New Roman"/>
          <w:lang w:val="en-US"/>
        </w:rPr>
        <w:t>F</w:t>
      </w:r>
      <w:r w:rsidR="00DE424A" w:rsidRPr="001A38EC">
        <w:rPr>
          <w:rFonts w:ascii="Times New Roman" w:hAnsi="Times New Roman" w:cs="Times New Roman"/>
        </w:rPr>
        <w:t>-</w:t>
      </w:r>
      <w:r w:rsidRPr="001A38EC">
        <w:rPr>
          <w:rFonts w:ascii="Times New Roman" w:hAnsi="Times New Roman" w:cs="Times New Roman"/>
        </w:rPr>
        <w:t>статистики</w:t>
      </w:r>
      <w:r w:rsidR="0048768A" w:rsidRPr="001A38EC">
        <w:rPr>
          <w:rFonts w:ascii="Times New Roman" w:hAnsi="Times New Roman" w:cs="Times New Roman"/>
        </w:rPr>
        <w:t xml:space="preserve"> на первом шаге</w:t>
      </w:r>
      <w:r w:rsidRPr="001A38EC">
        <w:rPr>
          <w:rFonts w:ascii="Times New Roman" w:hAnsi="Times New Roman" w:cs="Times New Roman"/>
        </w:rPr>
        <w:t xml:space="preserve"> </w:t>
      </w:r>
      <w:r w:rsidR="0048768A" w:rsidRPr="001A38EC">
        <w:rPr>
          <w:rFonts w:ascii="Times New Roman" w:hAnsi="Times New Roman" w:cs="Times New Roman"/>
        </w:rPr>
        <w:t xml:space="preserve">равно </w:t>
      </w:r>
      <w:r w:rsidRPr="001A38EC">
        <w:rPr>
          <w:rFonts w:ascii="Times New Roman" w:hAnsi="Times New Roman" w:cs="Times New Roman"/>
        </w:rPr>
        <w:t xml:space="preserve">14 (больше 10), что говорит нам о том, что инструменты являются релевантными. Тест Саргана выдает </w:t>
      </w:r>
      <w:r w:rsidRPr="001A38EC">
        <w:rPr>
          <w:rFonts w:ascii="Times New Roman" w:hAnsi="Times New Roman" w:cs="Times New Roman"/>
          <w:lang w:val="en-US"/>
        </w:rPr>
        <w:t>p</w:t>
      </w:r>
      <w:r w:rsidRPr="001A38EC">
        <w:rPr>
          <w:rFonts w:ascii="Times New Roman" w:hAnsi="Times New Roman" w:cs="Times New Roman"/>
        </w:rPr>
        <w:t>-</w:t>
      </w:r>
      <w:r w:rsidRPr="001A38EC">
        <w:rPr>
          <w:rFonts w:ascii="Times New Roman" w:hAnsi="Times New Roman" w:cs="Times New Roman"/>
          <w:lang w:val="en-US"/>
        </w:rPr>
        <w:t>value</w:t>
      </w:r>
      <w:r w:rsidRPr="001A38EC">
        <w:rPr>
          <w:rFonts w:ascii="Times New Roman" w:hAnsi="Times New Roman" w:cs="Times New Roman"/>
        </w:rPr>
        <w:t xml:space="preserve"> равное 0</w:t>
      </w:r>
      <w:r w:rsidR="00CB3E6C" w:rsidRPr="001A38EC">
        <w:rPr>
          <w:rFonts w:ascii="Times New Roman" w:hAnsi="Times New Roman" w:cs="Times New Roman"/>
        </w:rPr>
        <w:t>.</w:t>
      </w:r>
      <w:r w:rsidRPr="001A38EC">
        <w:rPr>
          <w:rFonts w:ascii="Times New Roman" w:hAnsi="Times New Roman" w:cs="Times New Roman"/>
        </w:rPr>
        <w:t xml:space="preserve">39, то есть гипотеза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1A38EC">
        <w:rPr>
          <w:rFonts w:ascii="Times New Roman" w:eastAsiaTheme="minorEastAsia" w:hAnsi="Times New Roman" w:cs="Times New Roman"/>
        </w:rPr>
        <w:t xml:space="preserve">, гласящая о том, что инструменты </w:t>
      </w:r>
      <w:proofErr w:type="spellStart"/>
      <w:r w:rsidRPr="001A38EC">
        <w:rPr>
          <w:rFonts w:ascii="Times New Roman" w:eastAsiaTheme="minorEastAsia" w:hAnsi="Times New Roman" w:cs="Times New Roman"/>
        </w:rPr>
        <w:t>экзогенны</w:t>
      </w:r>
      <w:proofErr w:type="spellEnd"/>
      <w:r w:rsidRPr="001A38EC">
        <w:rPr>
          <w:rFonts w:ascii="Times New Roman" w:eastAsiaTheme="minorEastAsia" w:hAnsi="Times New Roman" w:cs="Times New Roman"/>
        </w:rPr>
        <w:t xml:space="preserve">, не отвергается. Таким образом инструменты для 2МНК подобраны хорошо. </w:t>
      </w:r>
      <w:r w:rsidR="0048768A" w:rsidRPr="001A38EC">
        <w:rPr>
          <w:rFonts w:ascii="Times New Roman" w:eastAsiaTheme="minorEastAsia" w:hAnsi="Times New Roman" w:cs="Times New Roman"/>
        </w:rPr>
        <w:t xml:space="preserve">Логарифм реальной цены 1 квадратного метра, логарифм реального дохода и инфляционные ожидания получаются значимы </w:t>
      </w:r>
      <w:r w:rsidR="00D87F1E" w:rsidRPr="001A38EC">
        <w:rPr>
          <w:rFonts w:ascii="Times New Roman" w:eastAsiaTheme="minorEastAsia" w:hAnsi="Times New Roman" w:cs="Times New Roman"/>
        </w:rPr>
        <w:t>на уровне значимости 1%</w:t>
      </w:r>
      <w:r w:rsidR="0048768A" w:rsidRPr="001A38EC">
        <w:rPr>
          <w:rFonts w:ascii="Times New Roman" w:eastAsiaTheme="minorEastAsia" w:hAnsi="Times New Roman" w:cs="Times New Roman"/>
        </w:rPr>
        <w:t xml:space="preserve">. </w:t>
      </w:r>
    </w:p>
    <w:p w14:paraId="0046C119" w14:textId="154A69EE" w:rsidR="0048768A" w:rsidRPr="001A38EC" w:rsidRDefault="0048768A" w:rsidP="00615531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eastAsiaTheme="minorEastAsia" w:hAnsi="Times New Roman" w:cs="Times New Roman"/>
        </w:rPr>
        <w:t xml:space="preserve">В модель 2 включаем еще и эффекты года. Значение </w:t>
      </w:r>
      <w:r w:rsidRPr="001A38EC">
        <w:rPr>
          <w:rFonts w:ascii="Times New Roman" w:eastAsiaTheme="minorEastAsia" w:hAnsi="Times New Roman" w:cs="Times New Roman"/>
          <w:lang w:val="en-US"/>
        </w:rPr>
        <w:t>F</w:t>
      </w:r>
      <w:r w:rsidR="00DE424A" w:rsidRPr="001A38EC">
        <w:rPr>
          <w:rFonts w:ascii="Times New Roman" w:eastAsiaTheme="minorEastAsia" w:hAnsi="Times New Roman" w:cs="Times New Roman"/>
        </w:rPr>
        <w:t>-</w:t>
      </w:r>
      <w:r w:rsidRPr="001A38EC">
        <w:rPr>
          <w:rFonts w:ascii="Times New Roman" w:hAnsi="Times New Roman" w:cs="Times New Roman"/>
        </w:rPr>
        <w:t>статистики на первом шаге увеличивается</w:t>
      </w:r>
      <w:r w:rsidR="002E7C55" w:rsidRPr="001A38EC">
        <w:rPr>
          <w:rFonts w:ascii="Times New Roman" w:hAnsi="Times New Roman" w:cs="Times New Roman"/>
        </w:rPr>
        <w:t xml:space="preserve"> (21</w:t>
      </w:r>
      <w:r w:rsidR="00CB3E6C" w:rsidRPr="001A38EC">
        <w:rPr>
          <w:rFonts w:ascii="Times New Roman" w:hAnsi="Times New Roman" w:cs="Times New Roman"/>
        </w:rPr>
        <w:t>.</w:t>
      </w:r>
      <w:r w:rsidR="002E7C55" w:rsidRPr="001A38EC">
        <w:rPr>
          <w:rFonts w:ascii="Times New Roman" w:hAnsi="Times New Roman" w:cs="Times New Roman"/>
        </w:rPr>
        <w:t>9)</w:t>
      </w:r>
      <w:r w:rsidRPr="001A38EC">
        <w:rPr>
          <w:rFonts w:ascii="Times New Roman" w:hAnsi="Times New Roman" w:cs="Times New Roman"/>
        </w:rPr>
        <w:t>, а тест Саргана также не отвергает нулевую гипотезу</w:t>
      </w:r>
      <w:r w:rsidR="002E7C55" w:rsidRPr="001A38EC">
        <w:rPr>
          <w:rFonts w:ascii="Times New Roman" w:hAnsi="Times New Roman" w:cs="Times New Roman"/>
        </w:rPr>
        <w:t xml:space="preserve"> (</w:t>
      </w:r>
      <w:r w:rsidR="002E7C55" w:rsidRPr="001A38EC">
        <w:rPr>
          <w:rFonts w:ascii="Times New Roman" w:hAnsi="Times New Roman" w:cs="Times New Roman"/>
          <w:lang w:val="en-US"/>
        </w:rPr>
        <w:t>p</w:t>
      </w:r>
      <w:r w:rsidR="002E7C55" w:rsidRPr="001A38EC">
        <w:rPr>
          <w:rFonts w:ascii="Times New Roman" w:hAnsi="Times New Roman" w:cs="Times New Roman"/>
        </w:rPr>
        <w:t>-</w:t>
      </w:r>
      <w:r w:rsidR="002E7C55" w:rsidRPr="001A38EC">
        <w:rPr>
          <w:rFonts w:ascii="Times New Roman" w:hAnsi="Times New Roman" w:cs="Times New Roman"/>
          <w:lang w:val="en-US"/>
        </w:rPr>
        <w:t>value</w:t>
      </w:r>
      <w:r w:rsidR="002E7C55" w:rsidRPr="001A38EC">
        <w:rPr>
          <w:rFonts w:ascii="Times New Roman" w:hAnsi="Times New Roman" w:cs="Times New Roman"/>
        </w:rPr>
        <w:t>=0</w:t>
      </w:r>
      <w:r w:rsidR="00CB3E6C" w:rsidRPr="001A38EC">
        <w:rPr>
          <w:rFonts w:ascii="Times New Roman" w:hAnsi="Times New Roman" w:cs="Times New Roman"/>
        </w:rPr>
        <w:t>.</w:t>
      </w:r>
      <w:r w:rsidR="002E7C55" w:rsidRPr="001A38EC">
        <w:rPr>
          <w:rFonts w:ascii="Times New Roman" w:hAnsi="Times New Roman" w:cs="Times New Roman"/>
        </w:rPr>
        <w:t>82)</w:t>
      </w:r>
      <w:r w:rsidRPr="001A38EC">
        <w:rPr>
          <w:rFonts w:ascii="Times New Roman" w:hAnsi="Times New Roman" w:cs="Times New Roman"/>
        </w:rPr>
        <w:t xml:space="preserve">. То есть </w:t>
      </w:r>
      <w:r w:rsidR="002E7C55" w:rsidRPr="001A38EC">
        <w:rPr>
          <w:rFonts w:ascii="Times New Roman" w:hAnsi="Times New Roman" w:cs="Times New Roman"/>
        </w:rPr>
        <w:t>совместно с эффектами года инструменты еще лучше описывают поведение цены. Оценки коэффициентов становятся еще более значимы, кроме инфляционных ожиданий. Кажется, что эффекты года забирают на себя ту часть в объяснении значений величины спроса, которая объясняется инфляционными ожиданиями.</w:t>
      </w:r>
    </w:p>
    <w:p w14:paraId="0942844C" w14:textId="20F639A2" w:rsidR="00756C3A" w:rsidRPr="001A38EC" w:rsidRDefault="002E7C55" w:rsidP="00615531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В модель 3 мы включаем только эффекты года</w:t>
      </w:r>
      <w:r w:rsidR="00CB3E6C" w:rsidRPr="001A38EC">
        <w:rPr>
          <w:rFonts w:ascii="Times New Roman" w:hAnsi="Times New Roman" w:cs="Times New Roman"/>
        </w:rPr>
        <w:t xml:space="preserve">. Значение </w:t>
      </w:r>
      <w:r w:rsidR="00CB3E6C" w:rsidRPr="001A38EC">
        <w:rPr>
          <w:rFonts w:ascii="Times New Roman" w:hAnsi="Times New Roman" w:cs="Times New Roman"/>
          <w:lang w:val="en-US"/>
        </w:rPr>
        <w:t>F</w:t>
      </w:r>
      <w:r w:rsidR="00F909BE" w:rsidRPr="001A38EC">
        <w:rPr>
          <w:rFonts w:ascii="Times New Roman" w:hAnsi="Times New Roman" w:cs="Times New Roman"/>
        </w:rPr>
        <w:t>-</w:t>
      </w:r>
      <w:r w:rsidR="00756C3A" w:rsidRPr="001A38EC">
        <w:rPr>
          <w:rFonts w:ascii="Times New Roman" w:hAnsi="Times New Roman" w:cs="Times New Roman"/>
        </w:rPr>
        <w:t xml:space="preserve">статистики на первом шаге </w:t>
      </w:r>
      <w:r w:rsidR="00CB3E6C" w:rsidRPr="001A38EC">
        <w:rPr>
          <w:rFonts w:ascii="Times New Roman" w:hAnsi="Times New Roman" w:cs="Times New Roman"/>
        </w:rPr>
        <w:t>р</w:t>
      </w:r>
      <w:r w:rsidR="00756C3A" w:rsidRPr="001A38EC">
        <w:rPr>
          <w:rFonts w:ascii="Times New Roman" w:hAnsi="Times New Roman" w:cs="Times New Roman"/>
        </w:rPr>
        <w:t xml:space="preserve">авняется 1.8, а значение </w:t>
      </w:r>
      <w:r w:rsidR="00756C3A" w:rsidRPr="001A38EC">
        <w:rPr>
          <w:rFonts w:ascii="Times New Roman" w:hAnsi="Times New Roman" w:cs="Times New Roman"/>
          <w:lang w:val="en-US"/>
        </w:rPr>
        <w:t>p</w:t>
      </w:r>
      <w:r w:rsidR="00756C3A" w:rsidRPr="001A38EC">
        <w:rPr>
          <w:rFonts w:ascii="Times New Roman" w:hAnsi="Times New Roman" w:cs="Times New Roman"/>
        </w:rPr>
        <w:t>-</w:t>
      </w:r>
      <w:r w:rsidR="00756C3A" w:rsidRPr="001A38EC">
        <w:rPr>
          <w:rFonts w:ascii="Times New Roman" w:hAnsi="Times New Roman" w:cs="Times New Roman"/>
          <w:lang w:val="en-US"/>
        </w:rPr>
        <w:t>value</w:t>
      </w:r>
      <w:r w:rsidR="00756C3A" w:rsidRPr="001A38EC">
        <w:rPr>
          <w:rFonts w:ascii="Times New Roman" w:hAnsi="Times New Roman" w:cs="Times New Roman"/>
        </w:rPr>
        <w:t xml:space="preserve"> = 0.16, то есть можно сделать вывод о том, что уравнение, оцененное на первом шаге, не значимо. Также из табли</w:t>
      </w:r>
      <w:r w:rsidR="00E50512" w:rsidRPr="001A38EC">
        <w:rPr>
          <w:rFonts w:ascii="Times New Roman" w:hAnsi="Times New Roman" w:cs="Times New Roman"/>
        </w:rPr>
        <w:t>цы</w:t>
      </w:r>
      <w:r w:rsidR="00756C3A" w:rsidRPr="001A38EC">
        <w:rPr>
          <w:rFonts w:ascii="Times New Roman" w:hAnsi="Times New Roman" w:cs="Times New Roman"/>
        </w:rPr>
        <w:t xml:space="preserve"> видно, что оценки инструментов на первом шаге перестают быть значимы, то есть эффекты застройщиков являются важной частью в оценки поведения цены.</w:t>
      </w:r>
    </w:p>
    <w:p w14:paraId="43A7DE5E" w14:textId="383145DB" w:rsidR="00756C3A" w:rsidRPr="001A38EC" w:rsidRDefault="00756C3A" w:rsidP="00615531">
      <w:pPr>
        <w:spacing w:line="360" w:lineRule="auto"/>
        <w:jc w:val="both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lastRenderedPageBreak/>
        <w:t>Из 3 моделей мы делаем выбор в пользу 2</w:t>
      </w:r>
      <w:r w:rsidR="000317C2" w:rsidRPr="001A38EC">
        <w:rPr>
          <w:rFonts w:ascii="Times New Roman" w:hAnsi="Times New Roman" w:cs="Times New Roman"/>
        </w:rPr>
        <w:t xml:space="preserve"> и заключаем, что и эффекты времени, и эффекты застройщиков необходимо включать в модель.</w:t>
      </w:r>
      <w:r w:rsidRPr="001A38EC">
        <w:rPr>
          <w:rFonts w:ascii="Times New Roman" w:hAnsi="Times New Roman" w:cs="Times New Roman"/>
        </w:rPr>
        <w:t xml:space="preserve"> Проинтерпретируем полученные результаты</w:t>
      </w:r>
      <w:r w:rsidR="00933DDB" w:rsidRPr="001A38EC">
        <w:rPr>
          <w:rFonts w:ascii="Times New Roman" w:hAnsi="Times New Roman" w:cs="Times New Roman"/>
        </w:rPr>
        <w:t>:</w:t>
      </w:r>
    </w:p>
    <w:p w14:paraId="5D1E5467" w14:textId="77777777" w:rsidR="00933DDB" w:rsidRPr="001A38EC" w:rsidRDefault="00933DDB" w:rsidP="00933DD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наибольшее влияние на спрос на жилье оказывает цена с эластичностью примерно 2.56;</w:t>
      </w:r>
    </w:p>
    <w:p w14:paraId="6F98E1EF" w14:textId="77777777" w:rsidR="00933DDB" w:rsidRPr="001A38EC" w:rsidRDefault="00933DDB" w:rsidP="00933DDB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значимое положительное влияние на спрос на новостройки также оказывает доход на душу населения с эластичностью около 0.87;</w:t>
      </w:r>
    </w:p>
    <w:p w14:paraId="2A80FF4E" w14:textId="77777777" w:rsidR="001A38EC" w:rsidRPr="001A38EC" w:rsidRDefault="00933DDB" w:rsidP="001A38EC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A38EC">
        <w:rPr>
          <w:rFonts w:ascii="Times New Roman" w:hAnsi="Times New Roman" w:cs="Times New Roman"/>
        </w:rPr>
        <w:t>в спецификации без фиксированных временных эффектов инфляционные ожидания оказывают значимое положительное (но меньшее по сравнению с остальными факторами) влияние, а в регрессии с включением фиксированных эффектов времени они перестают быть значимыми, что может объясняться тем,</w:t>
      </w:r>
      <w:r w:rsidRPr="001A38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C52E0" w:rsidRPr="001A38EC">
        <w:rPr>
          <w:rFonts w:ascii="Times New Roman" w:hAnsi="Times New Roman" w:cs="Times New Roman"/>
          <w:color w:val="000000"/>
          <w:shd w:val="clear" w:color="auto" w:fill="FFFFFF"/>
        </w:rPr>
        <w:t>что</w:t>
      </w:r>
      <w:r w:rsidR="006C52E0" w:rsidRPr="001A38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1A38EC">
        <w:rPr>
          <w:rFonts w:ascii="Times New Roman" w:hAnsi="Times New Roman" w:cs="Times New Roman"/>
        </w:rPr>
        <w:t xml:space="preserve">ту часть информации, которые несут инфляционные ожидания в объяснении величины спроса, забирают на себя эффекты времени. </w:t>
      </w:r>
      <w:r w:rsidR="0033119E" w:rsidRPr="001A38EC">
        <w:rPr>
          <w:rFonts w:ascii="Times New Roman" w:hAnsi="Times New Roman" w:cs="Times New Roman"/>
        </w:rPr>
        <w:t xml:space="preserve"> </w:t>
      </w:r>
    </w:p>
    <w:p w14:paraId="199A86A5" w14:textId="77777777" w:rsidR="00F2611D" w:rsidRDefault="00F2611D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2BC48" w14:textId="77777777" w:rsidR="00F2611D" w:rsidRDefault="00F2611D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C03A9" w14:textId="77777777" w:rsidR="00F2611D" w:rsidRDefault="00F2611D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D6452" w14:textId="77777777" w:rsidR="00F2611D" w:rsidRDefault="00F2611D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2DD45" w14:textId="77777777" w:rsidR="00F2611D" w:rsidRDefault="00F2611D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9CE52" w14:textId="77777777" w:rsidR="00F2611D" w:rsidRDefault="00F2611D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970C0D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AD94B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CEA6DB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FFA90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0D1EB7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E0E5E1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02E0F6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484AE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297AB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46B294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B086B" w14:textId="77777777" w:rsidR="002646D9" w:rsidRDefault="002646D9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1F1D1" w14:textId="4FBBBF69" w:rsidR="000E7682" w:rsidRDefault="001A38EC" w:rsidP="001A38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38E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7A021924" w14:textId="27A7E627" w:rsidR="001A38EC" w:rsidRPr="009975F3" w:rsidRDefault="00000000" w:rsidP="00AB35E5">
      <w:pPr>
        <w:pStyle w:val="a7"/>
        <w:numPr>
          <w:ilvl w:val="0"/>
          <w:numId w:val="19"/>
        </w:numPr>
        <w:spacing w:line="360" w:lineRule="auto"/>
        <w:jc w:val="both"/>
        <w:rPr>
          <w:rStyle w:val="af"/>
          <w:rFonts w:ascii="Times New Roman" w:hAnsi="Times New Roman" w:cs="Times New Roman"/>
          <w:color w:val="auto"/>
          <w:u w:val="none"/>
          <w:lang w:val="en-US"/>
        </w:rPr>
      </w:pPr>
      <w:r w:rsidRPr="009975F3">
        <w:rPr>
          <w:rFonts w:ascii="Times New Roman" w:hAnsi="Times New Roman" w:cs="Times New Roman"/>
        </w:rPr>
        <w:fldChar w:fldCharType="begin"/>
      </w:r>
      <w:r w:rsidRPr="009975F3">
        <w:rPr>
          <w:rFonts w:ascii="Times New Roman" w:hAnsi="Times New Roman" w:cs="Times New Roman"/>
          <w:lang w:val="en-US"/>
        </w:rPr>
        <w:instrText>HYPERLINK "https://</w:instrText>
      </w:r>
      <w:r w:rsidRPr="009975F3">
        <w:rPr>
          <w:rFonts w:ascii="Times New Roman" w:hAnsi="Times New Roman" w:cs="Times New Roman"/>
        </w:rPr>
        <w:instrText>наш</w:instrText>
      </w:r>
      <w:r w:rsidRPr="009975F3">
        <w:rPr>
          <w:rFonts w:ascii="Times New Roman" w:hAnsi="Times New Roman" w:cs="Times New Roman"/>
          <w:lang w:val="en-US"/>
        </w:rPr>
        <w:instrText>.</w:instrText>
      </w:r>
      <w:r w:rsidRPr="009975F3">
        <w:rPr>
          <w:rFonts w:ascii="Times New Roman" w:hAnsi="Times New Roman" w:cs="Times New Roman"/>
        </w:rPr>
        <w:instrText>дом</w:instrText>
      </w:r>
      <w:r w:rsidRPr="009975F3">
        <w:rPr>
          <w:rFonts w:ascii="Times New Roman" w:hAnsi="Times New Roman" w:cs="Times New Roman"/>
          <w:lang w:val="en-US"/>
        </w:rPr>
        <w:instrText>.</w:instrText>
      </w:r>
      <w:r w:rsidRPr="009975F3">
        <w:rPr>
          <w:rFonts w:ascii="Times New Roman" w:hAnsi="Times New Roman" w:cs="Times New Roman"/>
        </w:rPr>
        <w:instrText>рф</w:instrText>
      </w:r>
      <w:r w:rsidRPr="009975F3">
        <w:rPr>
          <w:rFonts w:ascii="Times New Roman" w:hAnsi="Times New Roman" w:cs="Times New Roman"/>
          <w:lang w:val="en-US"/>
        </w:rPr>
        <w:instrText>/</w:instrText>
      </w:r>
      <w:r w:rsidRPr="009975F3">
        <w:rPr>
          <w:rFonts w:ascii="Times New Roman" w:hAnsi="Times New Roman" w:cs="Times New Roman"/>
        </w:rPr>
        <w:instrText>аналитика</w:instrText>
      </w:r>
      <w:r w:rsidRPr="009975F3">
        <w:rPr>
          <w:rFonts w:ascii="Times New Roman" w:hAnsi="Times New Roman" w:cs="Times New Roman"/>
          <w:lang w:val="en-US"/>
        </w:rPr>
        <w:instrText>/</w:instrText>
      </w:r>
      <w:r w:rsidRPr="009975F3">
        <w:rPr>
          <w:rFonts w:ascii="Times New Roman" w:hAnsi="Times New Roman" w:cs="Times New Roman"/>
        </w:rPr>
        <w:instrText>реализация</w:instrText>
      </w:r>
      <w:r w:rsidRPr="009975F3">
        <w:rPr>
          <w:rFonts w:ascii="Times New Roman" w:hAnsi="Times New Roman" w:cs="Times New Roman"/>
          <w:lang w:val="en-US"/>
        </w:rPr>
        <w:instrText>_</w:instrText>
      </w:r>
      <w:r w:rsidRPr="009975F3">
        <w:rPr>
          <w:rFonts w:ascii="Times New Roman" w:hAnsi="Times New Roman" w:cs="Times New Roman"/>
        </w:rPr>
        <w:instrText>строящихся</w:instrText>
      </w:r>
      <w:r w:rsidRPr="009975F3">
        <w:rPr>
          <w:rFonts w:ascii="Times New Roman" w:hAnsi="Times New Roman" w:cs="Times New Roman"/>
          <w:lang w:val="en-US"/>
        </w:rPr>
        <w:instrText>_</w:instrText>
      </w:r>
      <w:r w:rsidRPr="009975F3">
        <w:rPr>
          <w:rFonts w:ascii="Times New Roman" w:hAnsi="Times New Roman" w:cs="Times New Roman"/>
        </w:rPr>
        <w:instrText>квартир</w:instrText>
      </w:r>
      <w:r w:rsidRPr="009975F3">
        <w:rPr>
          <w:rFonts w:ascii="Times New Roman" w:hAnsi="Times New Roman" w:cs="Times New Roman"/>
          <w:lang w:val="en-US"/>
        </w:rPr>
        <w:instrText>"</w:instrText>
      </w:r>
      <w:r w:rsidRPr="009975F3">
        <w:rPr>
          <w:rFonts w:ascii="Times New Roman" w:hAnsi="Times New Roman" w:cs="Times New Roman"/>
        </w:rPr>
      </w:r>
      <w:r w:rsidRPr="009975F3">
        <w:rPr>
          <w:rFonts w:ascii="Times New Roman" w:hAnsi="Times New Roman" w:cs="Times New Roman"/>
        </w:rPr>
        <w:fldChar w:fldCharType="separate"/>
      </w:r>
      <w:r w:rsidR="00AB35E5" w:rsidRPr="009975F3">
        <w:rPr>
          <w:rStyle w:val="af"/>
          <w:rFonts w:ascii="Times New Roman" w:hAnsi="Times New Roman" w:cs="Times New Roman"/>
          <w:lang w:val="en-US"/>
        </w:rPr>
        <w:t>https://</w:t>
      </w:r>
      <w:r w:rsidR="00AB35E5" w:rsidRPr="009975F3">
        <w:rPr>
          <w:rStyle w:val="af"/>
          <w:rFonts w:ascii="Times New Roman" w:hAnsi="Times New Roman" w:cs="Times New Roman"/>
        </w:rPr>
        <w:t>наш</w:t>
      </w:r>
      <w:r w:rsidR="00AB35E5" w:rsidRPr="009975F3">
        <w:rPr>
          <w:rStyle w:val="af"/>
          <w:rFonts w:ascii="Times New Roman" w:hAnsi="Times New Roman" w:cs="Times New Roman"/>
          <w:lang w:val="en-US"/>
        </w:rPr>
        <w:t>.</w:t>
      </w:r>
      <w:r w:rsidR="00AB35E5" w:rsidRPr="009975F3">
        <w:rPr>
          <w:rStyle w:val="af"/>
          <w:rFonts w:ascii="Times New Roman" w:hAnsi="Times New Roman" w:cs="Times New Roman"/>
        </w:rPr>
        <w:t>дом</w:t>
      </w:r>
      <w:r w:rsidR="00AB35E5" w:rsidRPr="009975F3">
        <w:rPr>
          <w:rStyle w:val="af"/>
          <w:rFonts w:ascii="Times New Roman" w:hAnsi="Times New Roman" w:cs="Times New Roman"/>
          <w:lang w:val="en-US"/>
        </w:rPr>
        <w:t>.</w:t>
      </w:r>
      <w:proofErr w:type="spellStart"/>
      <w:r w:rsidR="00AB35E5" w:rsidRPr="009975F3">
        <w:rPr>
          <w:rStyle w:val="af"/>
          <w:rFonts w:ascii="Times New Roman" w:hAnsi="Times New Roman" w:cs="Times New Roman"/>
        </w:rPr>
        <w:t>рф</w:t>
      </w:r>
      <w:proofErr w:type="spellEnd"/>
      <w:r w:rsidR="00AB35E5" w:rsidRPr="009975F3">
        <w:rPr>
          <w:rStyle w:val="af"/>
          <w:rFonts w:ascii="Times New Roman" w:hAnsi="Times New Roman" w:cs="Times New Roman"/>
          <w:lang w:val="en-US"/>
        </w:rPr>
        <w:t>/</w:t>
      </w:r>
      <w:r w:rsidR="00AB35E5" w:rsidRPr="009975F3">
        <w:rPr>
          <w:rStyle w:val="af"/>
          <w:rFonts w:ascii="Times New Roman" w:hAnsi="Times New Roman" w:cs="Times New Roman"/>
        </w:rPr>
        <w:t>аналитика</w:t>
      </w:r>
      <w:r w:rsidR="00AB35E5" w:rsidRPr="009975F3">
        <w:rPr>
          <w:rStyle w:val="af"/>
          <w:rFonts w:ascii="Times New Roman" w:hAnsi="Times New Roman" w:cs="Times New Roman"/>
          <w:lang w:val="en-US"/>
        </w:rPr>
        <w:t>/</w:t>
      </w:r>
      <w:r w:rsidR="00AB35E5" w:rsidRPr="009975F3">
        <w:rPr>
          <w:rStyle w:val="af"/>
          <w:rFonts w:ascii="Times New Roman" w:hAnsi="Times New Roman" w:cs="Times New Roman"/>
        </w:rPr>
        <w:t>реализация</w:t>
      </w:r>
      <w:r w:rsidR="00AB35E5" w:rsidRPr="009975F3">
        <w:rPr>
          <w:rStyle w:val="af"/>
          <w:rFonts w:ascii="Times New Roman" w:hAnsi="Times New Roman" w:cs="Times New Roman"/>
          <w:lang w:val="en-US"/>
        </w:rPr>
        <w:t>_</w:t>
      </w:r>
      <w:r w:rsidR="00AB35E5" w:rsidRPr="009975F3">
        <w:rPr>
          <w:rStyle w:val="af"/>
          <w:rFonts w:ascii="Times New Roman" w:hAnsi="Times New Roman" w:cs="Times New Roman"/>
        </w:rPr>
        <w:t>строящихся</w:t>
      </w:r>
      <w:r w:rsidR="00AB35E5" w:rsidRPr="009975F3">
        <w:rPr>
          <w:rStyle w:val="af"/>
          <w:rFonts w:ascii="Times New Roman" w:hAnsi="Times New Roman" w:cs="Times New Roman"/>
          <w:lang w:val="en-US"/>
        </w:rPr>
        <w:t>_</w:t>
      </w:r>
      <w:r w:rsidR="00AB35E5" w:rsidRPr="009975F3">
        <w:rPr>
          <w:rStyle w:val="af"/>
          <w:rFonts w:ascii="Times New Roman" w:hAnsi="Times New Roman" w:cs="Times New Roman"/>
        </w:rPr>
        <w:t>квартир</w:t>
      </w:r>
      <w:r w:rsidRPr="009975F3">
        <w:rPr>
          <w:rStyle w:val="af"/>
          <w:rFonts w:ascii="Times New Roman" w:hAnsi="Times New Roman" w:cs="Times New Roman"/>
        </w:rPr>
        <w:fldChar w:fldCharType="end"/>
      </w:r>
    </w:p>
    <w:p w14:paraId="6519CA1C" w14:textId="3B5E632B" w:rsidR="00AB35E5" w:rsidRPr="009975F3" w:rsidRDefault="00AB35E5" w:rsidP="00AB35E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975F3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Ahmad N. A joint model of tenure choice and demand for housing in the city of Karachi //Urban Studies. – 1994. – </w:t>
      </w:r>
      <w:r w:rsidRPr="009975F3">
        <w:rPr>
          <w:rFonts w:ascii="Times New Roman" w:hAnsi="Times New Roman" w:cs="Times New Roman"/>
          <w:color w:val="222222"/>
          <w:shd w:val="clear" w:color="auto" w:fill="FFFFFF"/>
        </w:rPr>
        <w:t>Т</w:t>
      </w:r>
      <w:r w:rsidRPr="009975F3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31. – №. </w:t>
      </w:r>
      <w:r w:rsidRPr="009975F3">
        <w:rPr>
          <w:rFonts w:ascii="Times New Roman" w:hAnsi="Times New Roman" w:cs="Times New Roman"/>
          <w:color w:val="222222"/>
          <w:shd w:val="clear" w:color="auto" w:fill="FFFFFF"/>
        </w:rPr>
        <w:t>10. – С. 1691-1706.</w:t>
      </w:r>
    </w:p>
    <w:p w14:paraId="119D738E" w14:textId="0DF30E51" w:rsidR="00AB35E5" w:rsidRPr="009975F3" w:rsidRDefault="00AB35E5" w:rsidP="00AB35E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975F3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Dahan</w:t>
      </w:r>
      <w:proofErr w:type="spellEnd"/>
      <w:r w:rsidRPr="009975F3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A. A. The Future of The Real Estate Industry of Dubai: The Demand for Real Estates //J. Glob. </w:t>
      </w:r>
      <w:proofErr w:type="spellStart"/>
      <w:r w:rsidRPr="009975F3">
        <w:rPr>
          <w:rFonts w:ascii="Times New Roman" w:hAnsi="Times New Roman" w:cs="Times New Roman"/>
          <w:color w:val="222222"/>
          <w:shd w:val="clear" w:color="auto" w:fill="FFFFFF"/>
        </w:rPr>
        <w:t>Econ</w:t>
      </w:r>
      <w:proofErr w:type="spellEnd"/>
      <w:r w:rsidRPr="009975F3">
        <w:rPr>
          <w:rFonts w:ascii="Times New Roman" w:hAnsi="Times New Roman" w:cs="Times New Roman"/>
          <w:color w:val="222222"/>
          <w:shd w:val="clear" w:color="auto" w:fill="FFFFFF"/>
        </w:rPr>
        <w:t>. – 2018. – Т. 6. – №. 4.</w:t>
      </w:r>
    </w:p>
    <w:p w14:paraId="65513E37" w14:textId="6C0C6E4E" w:rsidR="00AB35E5" w:rsidRPr="009975F3" w:rsidRDefault="00AB35E5" w:rsidP="00AB35E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975F3">
        <w:rPr>
          <w:rFonts w:ascii="Times New Roman" w:hAnsi="Times New Roman" w:cs="Times New Roman"/>
        </w:rPr>
        <w:t xml:space="preserve">обзор рынка жилой недвижимости Москвы (1кв. 2024) от </w:t>
      </w:r>
      <w:proofErr w:type="spellStart"/>
      <w:r w:rsidRPr="009975F3">
        <w:rPr>
          <w:rFonts w:ascii="Times New Roman" w:hAnsi="Times New Roman" w:cs="Times New Roman"/>
          <w:lang w:val="en-US"/>
        </w:rPr>
        <w:t>Nikoliers</w:t>
      </w:r>
      <w:proofErr w:type="spellEnd"/>
    </w:p>
    <w:p w14:paraId="4DEB966B" w14:textId="77777777" w:rsidR="00AB35E5" w:rsidRPr="009975F3" w:rsidRDefault="00000000" w:rsidP="00AB35E5">
      <w:pPr>
        <w:pStyle w:val="af4"/>
        <w:numPr>
          <w:ilvl w:val="0"/>
          <w:numId w:val="19"/>
        </w:numPr>
        <w:shd w:val="clear" w:color="auto" w:fill="FFFFFF"/>
        <w:rPr>
          <w:lang w:val="en-US"/>
        </w:rPr>
      </w:pPr>
      <w:hyperlink r:id="rId14" w:history="1">
        <w:r w:rsidR="00AB35E5" w:rsidRPr="009975F3">
          <w:rPr>
            <w:rStyle w:val="af"/>
            <w:lang w:val="en-US"/>
          </w:rPr>
          <w:t>https://pampadu.ru/blog/3597-spros-na-kvartiry-i-nedvizhimost-v-2023-godu/</w:t>
        </w:r>
      </w:hyperlink>
      <w:r w:rsidR="00AB35E5" w:rsidRPr="009975F3">
        <w:rPr>
          <w:lang w:val="en-US"/>
        </w:rPr>
        <w:t xml:space="preserve"> </w:t>
      </w:r>
    </w:p>
    <w:p w14:paraId="2D695BE7" w14:textId="4F89A9E9" w:rsidR="00AB35E5" w:rsidRPr="009975F3" w:rsidRDefault="00AB35E5" w:rsidP="00AB35E5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9975F3">
        <w:rPr>
          <w:rFonts w:ascii="Times New Roman" w:hAnsi="Times New Roman" w:cs="Times New Roman"/>
        </w:rPr>
        <w:t>итоги 2023 года в жилищной сфере от ДОМ.РФ</w:t>
      </w:r>
    </w:p>
    <w:sectPr w:rsidR="00AB35E5" w:rsidRPr="00997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375A" w14:textId="77777777" w:rsidR="008A6C4B" w:rsidRDefault="008A6C4B" w:rsidP="00A37DB6">
      <w:r>
        <w:separator/>
      </w:r>
    </w:p>
  </w:endnote>
  <w:endnote w:type="continuationSeparator" w:id="0">
    <w:p w14:paraId="60F546F5" w14:textId="77777777" w:rsidR="008A6C4B" w:rsidRDefault="008A6C4B" w:rsidP="00A3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0B2B" w14:textId="77777777" w:rsidR="008A6C4B" w:rsidRDefault="008A6C4B" w:rsidP="00A37DB6">
      <w:r>
        <w:separator/>
      </w:r>
    </w:p>
  </w:footnote>
  <w:footnote w:type="continuationSeparator" w:id="0">
    <w:p w14:paraId="146C7C68" w14:textId="77777777" w:rsidR="008A6C4B" w:rsidRDefault="008A6C4B" w:rsidP="00A37DB6">
      <w:r>
        <w:continuationSeparator/>
      </w:r>
    </w:p>
  </w:footnote>
  <w:footnote w:id="1">
    <w:p w14:paraId="7038B529" w14:textId="78914CD7" w:rsidR="00430A46" w:rsidRPr="00EA7584" w:rsidRDefault="00430A46">
      <w:pPr>
        <w:pStyle w:val="ac"/>
        <w:rPr>
          <w:rFonts w:ascii="Times New Roman" w:hAnsi="Times New Roman" w:cs="Times New Roman"/>
          <w:lang w:val="en-US"/>
        </w:rPr>
      </w:pPr>
      <w:r w:rsidRPr="00EA7584">
        <w:rPr>
          <w:rStyle w:val="ae"/>
          <w:rFonts w:ascii="Times New Roman" w:hAnsi="Times New Roman" w:cs="Times New Roman"/>
        </w:rPr>
        <w:footnoteRef/>
      </w:r>
      <w:r w:rsidRPr="00EA7584">
        <w:rPr>
          <w:rFonts w:ascii="Times New Roman" w:hAnsi="Times New Roman" w:cs="Times New Roman"/>
          <w:lang w:val="en-US"/>
        </w:rPr>
        <w:t xml:space="preserve"> </w:t>
      </w:r>
      <w:r w:rsidR="00AB35E5" w:rsidRPr="00EA758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Ahmad N. A joint model of tenure choice and demand for housing in the city of Karachi //Urban Studies. – 1994. – </w:t>
      </w:r>
      <w:r w:rsidR="00AB35E5" w:rsidRPr="00EA7584">
        <w:rPr>
          <w:rFonts w:ascii="Times New Roman" w:hAnsi="Times New Roman" w:cs="Times New Roman"/>
          <w:color w:val="222222"/>
          <w:shd w:val="clear" w:color="auto" w:fill="FFFFFF"/>
        </w:rPr>
        <w:t>Т</w:t>
      </w:r>
      <w:r w:rsidR="00AB35E5" w:rsidRPr="00EA758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31. – №. 10. – </w:t>
      </w:r>
      <w:r w:rsidR="00AB35E5" w:rsidRPr="00EA7584">
        <w:rPr>
          <w:rFonts w:ascii="Times New Roman" w:hAnsi="Times New Roman" w:cs="Times New Roman"/>
          <w:color w:val="222222"/>
          <w:shd w:val="clear" w:color="auto" w:fill="FFFFFF"/>
        </w:rPr>
        <w:t>С</w:t>
      </w:r>
      <w:r w:rsidR="00AB35E5" w:rsidRPr="00EA758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 1691-1706.</w:t>
      </w:r>
    </w:p>
  </w:footnote>
  <w:footnote w:id="2">
    <w:p w14:paraId="394A4530" w14:textId="144969C9" w:rsidR="00AC18B0" w:rsidRPr="002351EE" w:rsidRDefault="00AC18B0">
      <w:pPr>
        <w:pStyle w:val="ac"/>
      </w:pPr>
      <w:r>
        <w:rPr>
          <w:rStyle w:val="ae"/>
        </w:rPr>
        <w:footnoteRef/>
      </w:r>
      <w:r w:rsidRPr="00AB35E5">
        <w:rPr>
          <w:lang w:val="en-US"/>
        </w:rPr>
        <w:t xml:space="preserve"> </w:t>
      </w:r>
      <w:proofErr w:type="spellStart"/>
      <w:r w:rsidR="00AB35E5" w:rsidRPr="00EA758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Dahan</w:t>
      </w:r>
      <w:proofErr w:type="spellEnd"/>
      <w:r w:rsidR="00AB35E5" w:rsidRPr="00EA758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A. A. The Future of The Real Estate Industry of Dubai: The Demand for Real Estates //J. Glob. </w:t>
      </w:r>
      <w:proofErr w:type="spellStart"/>
      <w:r w:rsidR="00AB35E5" w:rsidRPr="00EA7584">
        <w:rPr>
          <w:rFonts w:ascii="Times New Roman" w:hAnsi="Times New Roman" w:cs="Times New Roman"/>
          <w:color w:val="222222"/>
          <w:shd w:val="clear" w:color="auto" w:fill="FFFFFF"/>
        </w:rPr>
        <w:t>Econ</w:t>
      </w:r>
      <w:proofErr w:type="spellEnd"/>
      <w:r w:rsidR="00AB35E5" w:rsidRPr="00EA7584">
        <w:rPr>
          <w:rFonts w:ascii="Times New Roman" w:hAnsi="Times New Roman" w:cs="Times New Roman"/>
          <w:color w:val="222222"/>
          <w:shd w:val="clear" w:color="auto" w:fill="FFFFFF"/>
        </w:rPr>
        <w:t>. – 2018. – Т. 6. – №. 4.</w:t>
      </w:r>
    </w:p>
  </w:footnote>
  <w:footnote w:id="3">
    <w:p w14:paraId="21FCCD39" w14:textId="1A11D2C0" w:rsidR="00ED3C9F" w:rsidRPr="00FF6278" w:rsidRDefault="00ED3C9F">
      <w:pPr>
        <w:pStyle w:val="ac"/>
        <w:rPr>
          <w:rFonts w:ascii="Times New Roman" w:hAnsi="Times New Roman" w:cs="Times New Roman"/>
        </w:rPr>
      </w:pPr>
      <w:r>
        <w:rPr>
          <w:rStyle w:val="ae"/>
        </w:rPr>
        <w:footnoteRef/>
      </w:r>
      <w:r>
        <w:t xml:space="preserve"> </w:t>
      </w:r>
      <w:r w:rsidRPr="00FF6278">
        <w:rPr>
          <w:rFonts w:ascii="Times New Roman" w:hAnsi="Times New Roman" w:cs="Times New Roman"/>
        </w:rPr>
        <w:t xml:space="preserve">Насколько мы поняли, исследователи используют предпосылку о пропорциональности фактического изменения потребления и разницы между ожидаемым потреблением и прошлым, а также подстановку выражения, полученного при помощи этой предпосылки в истинное уравнение спроса, в котором нет </w:t>
      </w:r>
      <w:proofErr w:type="spellStart"/>
      <w:r w:rsidRPr="00FF6278">
        <w:rPr>
          <w:rFonts w:ascii="Times New Roman" w:hAnsi="Times New Roman" w:cs="Times New Roman"/>
        </w:rPr>
        <w:t>эндогенности</w:t>
      </w:r>
      <w:proofErr w:type="spellEnd"/>
    </w:p>
  </w:footnote>
  <w:footnote w:id="4">
    <w:p w14:paraId="27CEBA8A" w14:textId="6D8B286E" w:rsidR="00A24EE9" w:rsidRDefault="00A24EE9">
      <w:pPr>
        <w:pStyle w:val="ac"/>
      </w:pPr>
      <w:r>
        <w:rPr>
          <w:rStyle w:val="ae"/>
        </w:rPr>
        <w:footnoteRef/>
      </w:r>
      <w:r>
        <w:t xml:space="preserve"> </w:t>
      </w:r>
      <w:r w:rsidRPr="00FD4FD5">
        <w:rPr>
          <w:rFonts w:ascii="Times New Roman" w:hAnsi="Times New Roman" w:cs="Times New Roman"/>
        </w:rPr>
        <w:t xml:space="preserve">Мы не будем </w:t>
      </w:r>
      <w:r>
        <w:rPr>
          <w:rFonts w:ascii="Times New Roman" w:hAnsi="Times New Roman" w:cs="Times New Roman"/>
        </w:rPr>
        <w:t xml:space="preserve">в явном виде выписывать спецификации моделей с другими инструментами,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в описанной ниже 2МНК-регрессии достаточно изменить инструментальные переменные в регрессии первого шага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E1A"/>
    <w:multiLevelType w:val="hybridMultilevel"/>
    <w:tmpl w:val="E91EA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F85"/>
    <w:multiLevelType w:val="hybridMultilevel"/>
    <w:tmpl w:val="468C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4C27"/>
    <w:multiLevelType w:val="multilevel"/>
    <w:tmpl w:val="B1FEE9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F2415B2"/>
    <w:multiLevelType w:val="hybridMultilevel"/>
    <w:tmpl w:val="0FBAA5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5040ED"/>
    <w:multiLevelType w:val="multilevel"/>
    <w:tmpl w:val="F460C4FE"/>
    <w:lvl w:ilvl="0">
      <w:start w:val="1"/>
      <w:numFmt w:val="decimal"/>
      <w:lvlText w:val="(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9626A7B"/>
    <w:multiLevelType w:val="hybridMultilevel"/>
    <w:tmpl w:val="44F60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A6DA5"/>
    <w:multiLevelType w:val="hybridMultilevel"/>
    <w:tmpl w:val="07BABC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06FFF"/>
    <w:multiLevelType w:val="hybridMultilevel"/>
    <w:tmpl w:val="A91C1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E75124"/>
    <w:multiLevelType w:val="hybridMultilevel"/>
    <w:tmpl w:val="1E225F9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B7779D"/>
    <w:multiLevelType w:val="hybridMultilevel"/>
    <w:tmpl w:val="148EE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1BAA"/>
    <w:multiLevelType w:val="multilevel"/>
    <w:tmpl w:val="E324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17F9B"/>
    <w:multiLevelType w:val="hybridMultilevel"/>
    <w:tmpl w:val="7850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C0F0B"/>
    <w:multiLevelType w:val="hybridMultilevel"/>
    <w:tmpl w:val="E9425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945CC"/>
    <w:multiLevelType w:val="hybridMultilevel"/>
    <w:tmpl w:val="CE4A6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E1951"/>
    <w:multiLevelType w:val="hybridMultilevel"/>
    <w:tmpl w:val="AE42B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07D63"/>
    <w:multiLevelType w:val="hybridMultilevel"/>
    <w:tmpl w:val="DB5A93E4"/>
    <w:lvl w:ilvl="0" w:tplc="67B8904A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49494C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C589D"/>
    <w:multiLevelType w:val="multilevel"/>
    <w:tmpl w:val="B1FEE9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66D2FF9"/>
    <w:multiLevelType w:val="hybridMultilevel"/>
    <w:tmpl w:val="2628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B5889"/>
    <w:multiLevelType w:val="hybridMultilevel"/>
    <w:tmpl w:val="8EE45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E2A6F"/>
    <w:multiLevelType w:val="hybridMultilevel"/>
    <w:tmpl w:val="7E200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25377"/>
    <w:multiLevelType w:val="hybridMultilevel"/>
    <w:tmpl w:val="6D8641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6185106">
    <w:abstractNumId w:val="0"/>
  </w:num>
  <w:num w:numId="2" w16cid:durableId="705717120">
    <w:abstractNumId w:val="10"/>
  </w:num>
  <w:num w:numId="3" w16cid:durableId="1867597630">
    <w:abstractNumId w:val="1"/>
  </w:num>
  <w:num w:numId="4" w16cid:durableId="1420977652">
    <w:abstractNumId w:val="12"/>
  </w:num>
  <w:num w:numId="5" w16cid:durableId="302809041">
    <w:abstractNumId w:val="15"/>
  </w:num>
  <w:num w:numId="6" w16cid:durableId="558829434">
    <w:abstractNumId w:val="18"/>
  </w:num>
  <w:num w:numId="7" w16cid:durableId="1062020076">
    <w:abstractNumId w:val="14"/>
  </w:num>
  <w:num w:numId="8" w16cid:durableId="1570387699">
    <w:abstractNumId w:val="19"/>
  </w:num>
  <w:num w:numId="9" w16cid:durableId="863445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39485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2696960">
    <w:abstractNumId w:val="20"/>
  </w:num>
  <w:num w:numId="12" w16cid:durableId="1631864771">
    <w:abstractNumId w:val="3"/>
  </w:num>
  <w:num w:numId="13" w16cid:durableId="620191245">
    <w:abstractNumId w:val="9"/>
  </w:num>
  <w:num w:numId="14" w16cid:durableId="1923681057">
    <w:abstractNumId w:val="8"/>
  </w:num>
  <w:num w:numId="15" w16cid:durableId="1709062719">
    <w:abstractNumId w:val="7"/>
  </w:num>
  <w:num w:numId="16" w16cid:durableId="1646550305">
    <w:abstractNumId w:val="4"/>
  </w:num>
  <w:num w:numId="17" w16cid:durableId="1934237919">
    <w:abstractNumId w:val="11"/>
  </w:num>
  <w:num w:numId="18" w16cid:durableId="1773697762">
    <w:abstractNumId w:val="2"/>
  </w:num>
  <w:num w:numId="19" w16cid:durableId="1635287017">
    <w:abstractNumId w:val="16"/>
  </w:num>
  <w:num w:numId="20" w16cid:durableId="1102336357">
    <w:abstractNumId w:val="17"/>
  </w:num>
  <w:num w:numId="21" w16cid:durableId="141387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C"/>
    <w:rsid w:val="00013392"/>
    <w:rsid w:val="00014C87"/>
    <w:rsid w:val="00017538"/>
    <w:rsid w:val="000316A3"/>
    <w:rsid w:val="000317C2"/>
    <w:rsid w:val="00045BB9"/>
    <w:rsid w:val="000524F4"/>
    <w:rsid w:val="00053A58"/>
    <w:rsid w:val="00060CA4"/>
    <w:rsid w:val="000801DD"/>
    <w:rsid w:val="000E7682"/>
    <w:rsid w:val="000F5DFE"/>
    <w:rsid w:val="00101D53"/>
    <w:rsid w:val="001109D5"/>
    <w:rsid w:val="0011653A"/>
    <w:rsid w:val="001416B2"/>
    <w:rsid w:val="0014765A"/>
    <w:rsid w:val="00165F6C"/>
    <w:rsid w:val="00166C5C"/>
    <w:rsid w:val="00175B61"/>
    <w:rsid w:val="00180508"/>
    <w:rsid w:val="00186BAF"/>
    <w:rsid w:val="001917D6"/>
    <w:rsid w:val="00196AC2"/>
    <w:rsid w:val="001A38EC"/>
    <w:rsid w:val="001B1645"/>
    <w:rsid w:val="001E275F"/>
    <w:rsid w:val="001F12D0"/>
    <w:rsid w:val="001F3682"/>
    <w:rsid w:val="00207225"/>
    <w:rsid w:val="002351EE"/>
    <w:rsid w:val="002514EA"/>
    <w:rsid w:val="00251F93"/>
    <w:rsid w:val="00254820"/>
    <w:rsid w:val="002646D9"/>
    <w:rsid w:val="0028169A"/>
    <w:rsid w:val="0028213D"/>
    <w:rsid w:val="002851AA"/>
    <w:rsid w:val="002A0A78"/>
    <w:rsid w:val="002B71E5"/>
    <w:rsid w:val="002E18FE"/>
    <w:rsid w:val="002E332C"/>
    <w:rsid w:val="002E7C55"/>
    <w:rsid w:val="0033119E"/>
    <w:rsid w:val="0033408C"/>
    <w:rsid w:val="00335A2A"/>
    <w:rsid w:val="00340BAD"/>
    <w:rsid w:val="0035566D"/>
    <w:rsid w:val="00367083"/>
    <w:rsid w:val="00377594"/>
    <w:rsid w:val="00382316"/>
    <w:rsid w:val="003848AE"/>
    <w:rsid w:val="00392B30"/>
    <w:rsid w:val="003A1254"/>
    <w:rsid w:val="003A7882"/>
    <w:rsid w:val="003C4461"/>
    <w:rsid w:val="003D5D7E"/>
    <w:rsid w:val="003D6F8D"/>
    <w:rsid w:val="003E0095"/>
    <w:rsid w:val="003E4365"/>
    <w:rsid w:val="003F2ABB"/>
    <w:rsid w:val="00402745"/>
    <w:rsid w:val="00413481"/>
    <w:rsid w:val="004154AB"/>
    <w:rsid w:val="0042741B"/>
    <w:rsid w:val="00430A46"/>
    <w:rsid w:val="00435517"/>
    <w:rsid w:val="00437F6F"/>
    <w:rsid w:val="0045406E"/>
    <w:rsid w:val="00465EA8"/>
    <w:rsid w:val="00465F34"/>
    <w:rsid w:val="0047358F"/>
    <w:rsid w:val="004856F9"/>
    <w:rsid w:val="0048768A"/>
    <w:rsid w:val="004A37FA"/>
    <w:rsid w:val="004B15DA"/>
    <w:rsid w:val="004C16B2"/>
    <w:rsid w:val="004C3BDC"/>
    <w:rsid w:val="004E5FC1"/>
    <w:rsid w:val="005277EE"/>
    <w:rsid w:val="00527E82"/>
    <w:rsid w:val="0053151B"/>
    <w:rsid w:val="0056598D"/>
    <w:rsid w:val="0057710F"/>
    <w:rsid w:val="0057770D"/>
    <w:rsid w:val="0058269B"/>
    <w:rsid w:val="005A0991"/>
    <w:rsid w:val="005A4536"/>
    <w:rsid w:val="005C6089"/>
    <w:rsid w:val="005D74AA"/>
    <w:rsid w:val="00603E5B"/>
    <w:rsid w:val="00610816"/>
    <w:rsid w:val="00615531"/>
    <w:rsid w:val="0062207B"/>
    <w:rsid w:val="00637577"/>
    <w:rsid w:val="00644F45"/>
    <w:rsid w:val="006948E5"/>
    <w:rsid w:val="006A051B"/>
    <w:rsid w:val="006B495F"/>
    <w:rsid w:val="006C0CC7"/>
    <w:rsid w:val="006C52E0"/>
    <w:rsid w:val="0070400C"/>
    <w:rsid w:val="007169EF"/>
    <w:rsid w:val="00730D39"/>
    <w:rsid w:val="00741CB5"/>
    <w:rsid w:val="00756C3A"/>
    <w:rsid w:val="0076197A"/>
    <w:rsid w:val="00767A0C"/>
    <w:rsid w:val="00783E6D"/>
    <w:rsid w:val="0079194B"/>
    <w:rsid w:val="007A039A"/>
    <w:rsid w:val="007A4780"/>
    <w:rsid w:val="007E0CAC"/>
    <w:rsid w:val="00806908"/>
    <w:rsid w:val="008319F5"/>
    <w:rsid w:val="00833E57"/>
    <w:rsid w:val="00863EA7"/>
    <w:rsid w:val="00871877"/>
    <w:rsid w:val="008860EC"/>
    <w:rsid w:val="00896E34"/>
    <w:rsid w:val="008A6C4B"/>
    <w:rsid w:val="008B14B4"/>
    <w:rsid w:val="008B42E0"/>
    <w:rsid w:val="008D1C0F"/>
    <w:rsid w:val="008D3471"/>
    <w:rsid w:val="008E496B"/>
    <w:rsid w:val="008F49F6"/>
    <w:rsid w:val="009031F3"/>
    <w:rsid w:val="00914AF1"/>
    <w:rsid w:val="009322EB"/>
    <w:rsid w:val="00933DDB"/>
    <w:rsid w:val="00933FF6"/>
    <w:rsid w:val="00941B19"/>
    <w:rsid w:val="009726C9"/>
    <w:rsid w:val="009748E4"/>
    <w:rsid w:val="009975F3"/>
    <w:rsid w:val="009A5D68"/>
    <w:rsid w:val="00A24EE9"/>
    <w:rsid w:val="00A32806"/>
    <w:rsid w:val="00A37DB6"/>
    <w:rsid w:val="00A4272A"/>
    <w:rsid w:val="00A46861"/>
    <w:rsid w:val="00A57A9F"/>
    <w:rsid w:val="00A95F30"/>
    <w:rsid w:val="00AA0BB8"/>
    <w:rsid w:val="00AB35E5"/>
    <w:rsid w:val="00AC18B0"/>
    <w:rsid w:val="00AC54A8"/>
    <w:rsid w:val="00AD06B5"/>
    <w:rsid w:val="00AD232E"/>
    <w:rsid w:val="00AE2DD8"/>
    <w:rsid w:val="00AE32FC"/>
    <w:rsid w:val="00AE46CD"/>
    <w:rsid w:val="00AF09E2"/>
    <w:rsid w:val="00AF524D"/>
    <w:rsid w:val="00B036D3"/>
    <w:rsid w:val="00B11EE3"/>
    <w:rsid w:val="00B24B5C"/>
    <w:rsid w:val="00B323A6"/>
    <w:rsid w:val="00B32EE9"/>
    <w:rsid w:val="00B5027F"/>
    <w:rsid w:val="00B62A7E"/>
    <w:rsid w:val="00B74D52"/>
    <w:rsid w:val="00BB0B71"/>
    <w:rsid w:val="00BB5C4D"/>
    <w:rsid w:val="00BC1FB7"/>
    <w:rsid w:val="00BD18C7"/>
    <w:rsid w:val="00BE1011"/>
    <w:rsid w:val="00BF2B69"/>
    <w:rsid w:val="00C04E74"/>
    <w:rsid w:val="00C05BCB"/>
    <w:rsid w:val="00C11CDF"/>
    <w:rsid w:val="00C12009"/>
    <w:rsid w:val="00C2330B"/>
    <w:rsid w:val="00C37215"/>
    <w:rsid w:val="00C44483"/>
    <w:rsid w:val="00C76545"/>
    <w:rsid w:val="00C77C57"/>
    <w:rsid w:val="00CB3E6C"/>
    <w:rsid w:val="00CC34F2"/>
    <w:rsid w:val="00CC5DD4"/>
    <w:rsid w:val="00CC73A0"/>
    <w:rsid w:val="00CE32F1"/>
    <w:rsid w:val="00D03AC9"/>
    <w:rsid w:val="00D152E0"/>
    <w:rsid w:val="00D23B7C"/>
    <w:rsid w:val="00D33C4F"/>
    <w:rsid w:val="00D441F2"/>
    <w:rsid w:val="00D73AE8"/>
    <w:rsid w:val="00D74974"/>
    <w:rsid w:val="00D7570A"/>
    <w:rsid w:val="00D87F1E"/>
    <w:rsid w:val="00D902A7"/>
    <w:rsid w:val="00DB772E"/>
    <w:rsid w:val="00DD2176"/>
    <w:rsid w:val="00DE424A"/>
    <w:rsid w:val="00DF4330"/>
    <w:rsid w:val="00E21ADE"/>
    <w:rsid w:val="00E26F04"/>
    <w:rsid w:val="00E50512"/>
    <w:rsid w:val="00E5134D"/>
    <w:rsid w:val="00E54809"/>
    <w:rsid w:val="00E54F2F"/>
    <w:rsid w:val="00E92141"/>
    <w:rsid w:val="00EA04B6"/>
    <w:rsid w:val="00EA4B06"/>
    <w:rsid w:val="00EA7584"/>
    <w:rsid w:val="00EA7F50"/>
    <w:rsid w:val="00ED3C9F"/>
    <w:rsid w:val="00EE0A68"/>
    <w:rsid w:val="00EF5B64"/>
    <w:rsid w:val="00F045AD"/>
    <w:rsid w:val="00F1073E"/>
    <w:rsid w:val="00F15EA3"/>
    <w:rsid w:val="00F2611D"/>
    <w:rsid w:val="00F26517"/>
    <w:rsid w:val="00F3178F"/>
    <w:rsid w:val="00F46E83"/>
    <w:rsid w:val="00F540B0"/>
    <w:rsid w:val="00F5753A"/>
    <w:rsid w:val="00F82519"/>
    <w:rsid w:val="00F84D0F"/>
    <w:rsid w:val="00F909BE"/>
    <w:rsid w:val="00F92D62"/>
    <w:rsid w:val="00F95001"/>
    <w:rsid w:val="00F97D6D"/>
    <w:rsid w:val="00FA654B"/>
    <w:rsid w:val="00FA7CF9"/>
    <w:rsid w:val="00FB2188"/>
    <w:rsid w:val="00FC7619"/>
    <w:rsid w:val="00FD4FD5"/>
    <w:rsid w:val="00FE32E5"/>
    <w:rsid w:val="00F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2994"/>
  <w15:chartTrackingRefBased/>
  <w15:docId w15:val="{CB805FEF-CC8C-054D-9E52-2A487054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3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B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3B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3B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3B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3B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3B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3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3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3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3B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3B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3B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3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3B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3B7C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A37DB6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A37DB6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A37DB6"/>
    <w:rPr>
      <w:vertAlign w:val="superscript"/>
    </w:rPr>
  </w:style>
  <w:style w:type="character" w:styleId="af">
    <w:name w:val="Hyperlink"/>
    <w:basedOn w:val="a0"/>
    <w:uiPriority w:val="99"/>
    <w:unhideWhenUsed/>
    <w:rsid w:val="00A37DB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37DB6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AC18B0"/>
    <w:rPr>
      <w:color w:val="666666"/>
    </w:rPr>
  </w:style>
  <w:style w:type="character" w:styleId="af2">
    <w:name w:val="FollowedHyperlink"/>
    <w:basedOn w:val="a0"/>
    <w:uiPriority w:val="99"/>
    <w:semiHidden/>
    <w:unhideWhenUsed/>
    <w:rsid w:val="000F5DFE"/>
    <w:rPr>
      <w:color w:val="96607D" w:themeColor="followedHyperlink"/>
      <w:u w:val="single"/>
    </w:rPr>
  </w:style>
  <w:style w:type="table" w:styleId="af3">
    <w:name w:val="Table Grid"/>
    <w:basedOn w:val="a1"/>
    <w:uiPriority w:val="39"/>
    <w:rsid w:val="00577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unhideWhenUsed/>
    <w:rsid w:val="005D74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5">
    <w:name w:val="caption"/>
    <w:basedOn w:val="a"/>
    <w:next w:val="a"/>
    <w:uiPriority w:val="35"/>
    <w:unhideWhenUsed/>
    <w:qFormat/>
    <w:rsid w:val="00340BAD"/>
    <w:pPr>
      <w:spacing w:after="200"/>
    </w:pPr>
    <w:rPr>
      <w:i/>
      <w:iCs/>
      <w:color w:val="0E2841" w:themeColor="text2"/>
      <w:sz w:val="18"/>
      <w:szCs w:val="18"/>
    </w:rPr>
  </w:style>
  <w:style w:type="paragraph" w:styleId="af6">
    <w:name w:val="Body Text"/>
    <w:basedOn w:val="a"/>
    <w:link w:val="af7"/>
    <w:uiPriority w:val="1"/>
    <w:qFormat/>
    <w:rsid w:val="00CC34F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CC34F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85;&#1072;&#1096;.&#1076;&#1086;&#1084;.&#1088;&#1092;/&#1072;&#1085;&#1072;&#1083;&#1080;&#1090;&#1080;&#1082;&#1072;/&#1088;&#1077;&#1072;&#1083;&#1080;&#1079;&#1072;&#1094;&#1080;&#1103;_&#1089;&#1090;&#1088;&#1086;&#1103;&#1097;&#1080;&#1093;&#1089;&#1103;_&#1082;&#1074;&#1072;&#1088;&#1090;&#1080;&#1088;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xn--80az8a.xn--d1aqf.xn--p1ai/%D0%B0%D0%BD%D0%B0%D0%BB%D0%B8%D1%82%D0%B8%D0%BA%D0%B0/%D1%80%D0%B5%D0%B0%D0%BB%D0%B8%D0%B7%D0%B0%D1%86%D0%B8%D1%8F_%D1%81%D1%82%D1%80%D0%BE%D1%8F%D1%89%D0%B8%D1%85%D1%81%D1%8F_%D0%BA%D0%B2%D0%B0%D1%80%D1%82%D0%B8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mpadu.ru/blog/3597-spros-na-kvartiry-i-nedvizhimost-v-2023-godu/" TargetMode="External"/><Relationship Id="rId14" Type="http://schemas.openxmlformats.org/officeDocument/2006/relationships/hyperlink" Target="https://pampadu.ru/blog/3597-spros-na-kvartiry-i-nedvizhimost-v-2023-godu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Общий итог (сумма)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Лист5!$B$1</c:f>
              <c:strCache>
                <c:ptCount val="1"/>
                <c:pt idx="0">
                  <c:v>Общий 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Лист5!$A$2:$A$117</c:f>
              <c:strCache>
                <c:ptCount val="116"/>
                <c:pt idx="0">
                  <c:v>пик</c:v>
                </c:pt>
                <c:pt idx="1">
                  <c:v>донстрой</c:v>
                </c:pt>
                <c:pt idx="2">
                  <c:v>а101</c:v>
                </c:pt>
                <c:pt idx="3">
                  <c:v>mrgroup</c:v>
                </c:pt>
                <c:pt idx="4">
                  <c:v>инград</c:v>
                </c:pt>
                <c:pt idx="5">
                  <c:v>самолет</c:v>
                </c:pt>
                <c:pt idx="6">
                  <c:v>sevensunsdevelopment</c:v>
                </c:pt>
                <c:pt idx="7">
                  <c:v>миц</c:v>
                </c:pt>
                <c:pt idx="8">
                  <c:v>лср</c:v>
                </c:pt>
                <c:pt idx="9">
                  <c:v>кортрос</c:v>
                </c:pt>
                <c:pt idx="10">
                  <c:v>десналэнд</c:v>
                </c:pt>
                <c:pt idx="11">
                  <c:v>palladiogroup</c:v>
                </c:pt>
                <c:pt idx="12">
                  <c:v>расцветай</c:v>
                </c:pt>
                <c:pt idx="13">
                  <c:v>фск</c:v>
                </c:pt>
                <c:pt idx="14">
                  <c:v>эталон</c:v>
                </c:pt>
                <c:pt idx="15">
                  <c:v>сззвездный</c:v>
                </c:pt>
                <c:pt idx="16">
                  <c:v>сзстрелецкаяслобода</c:v>
                </c:pt>
                <c:pt idx="17">
                  <c:v>рождествено</c:v>
                </c:pt>
                <c:pt idx="18">
                  <c:v>ойкумена</c:v>
                </c:pt>
                <c:pt idx="19">
                  <c:v>абсолют</c:v>
                </c:pt>
                <c:pt idx="20">
                  <c:v>ниидарнедвижимостьсз</c:v>
                </c:pt>
                <c:pt idx="21">
                  <c:v>гранель</c:v>
                </c:pt>
                <c:pt idx="22">
                  <c:v>levelgroup</c:v>
                </c:pt>
                <c:pt idx="23">
                  <c:v>capitalgroup</c:v>
                </c:pt>
                <c:pt idx="24">
                  <c:v>пионер</c:v>
                </c:pt>
                <c:pt idx="25">
                  <c:v>tektagroup</c:v>
                </c:pt>
                <c:pt idx="26">
                  <c:v>стройком</c:v>
                </c:pt>
                <c:pt idx="27">
                  <c:v>центринвест</c:v>
                </c:pt>
                <c:pt idx="28">
                  <c:v>интеко</c:v>
                </c:pt>
                <c:pt idx="29">
                  <c:v>концернкрост</c:v>
                </c:pt>
                <c:pt idx="30">
                  <c:v>ргдевелопмент</c:v>
                </c:pt>
                <c:pt idx="31">
                  <c:v>lexiondevelopment</c:v>
                </c:pt>
                <c:pt idx="32">
                  <c:v>аквилон</c:v>
                </c:pt>
                <c:pt idx="33">
                  <c:v>sezargroup</c:v>
                </c:pt>
                <c:pt idx="34">
                  <c:v>afidevelopment</c:v>
                </c:pt>
                <c:pt idx="35">
                  <c:v>стадионспартак</c:v>
                </c:pt>
                <c:pt idx="36">
                  <c:v>vesper</c:v>
                </c:pt>
                <c:pt idx="37">
                  <c:v>строительнобэсткон</c:v>
                </c:pt>
                <c:pt idx="38">
                  <c:v>тпурассказовка</c:v>
                </c:pt>
                <c:pt idx="39">
                  <c:v>главстрой</c:v>
                </c:pt>
                <c:pt idx="40">
                  <c:v>ниимосстрой</c:v>
                </c:pt>
                <c:pt idx="41">
                  <c:v>сзрезиденс</c:v>
                </c:pt>
                <c:pt idx="42">
                  <c:v>векторстройфинанс</c:v>
                </c:pt>
                <c:pt idx="43">
                  <c:v>уэз</c:v>
                </c:pt>
                <c:pt idx="44">
                  <c:v>3sgroup</c:v>
                </c:pt>
                <c:pt idx="45">
                  <c:v>ташир</c:v>
                </c:pt>
                <c:pt idx="46">
                  <c:v>речниковинвест</c:v>
                </c:pt>
                <c:pt idx="47">
                  <c:v>монарх</c:v>
                </c:pt>
                <c:pt idx="48">
                  <c:v>корпорациябаркли</c:v>
                </c:pt>
                <c:pt idx="49">
                  <c:v>sminex</c:v>
                </c:pt>
                <c:pt idx="50">
                  <c:v>ифдкапиталъ</c:v>
                </c:pt>
                <c:pt idx="51">
                  <c:v>группапсн</c:v>
                </c:pt>
                <c:pt idx="52">
                  <c:v>optimadevelopment</c:v>
                </c:pt>
                <c:pt idx="53">
                  <c:v>wainbridge</c:v>
                </c:pt>
                <c:pt idx="54">
                  <c:v>инвесттраст</c:v>
                </c:pt>
                <c:pt idx="55">
                  <c:v>сзваршавский</c:v>
                </c:pt>
                <c:pt idx="56">
                  <c:v>сздельтаком</c:v>
                </c:pt>
                <c:pt idx="57">
                  <c:v>мдгрупп</c:v>
                </c:pt>
                <c:pt idx="58">
                  <c:v>атлант</c:v>
                </c:pt>
                <c:pt idx="59">
                  <c:v>мангазея</c:v>
                </c:pt>
                <c:pt idx="60">
                  <c:v>forma</c:v>
                </c:pt>
                <c:pt idx="61">
                  <c:v>sminexинтеко</c:v>
                </c:pt>
                <c:pt idx="62">
                  <c:v>сзфонченко</c:v>
                </c:pt>
                <c:pt idx="63">
                  <c:v>основа</c:v>
                </c:pt>
                <c:pt idx="64">
                  <c:v>лидеринвест</c:v>
                </c:pt>
                <c:pt idx="65">
                  <c:v>авестастрой</c:v>
                </c:pt>
                <c:pt idx="66">
                  <c:v>сзхорошевский</c:v>
                </c:pt>
                <c:pt idx="67">
                  <c:v>antdevelopment</c:v>
                </c:pt>
                <c:pt idx="68">
                  <c:v>сзкорона</c:v>
                </c:pt>
                <c:pt idx="69">
                  <c:v>центрстрой</c:v>
                </c:pt>
                <c:pt idx="70">
                  <c:v>корпорациятэн</c:v>
                </c:pt>
                <c:pt idx="71">
                  <c:v>сзроща</c:v>
                </c:pt>
                <c:pt idx="72">
                  <c:v>центрпрогрессахудожественнойгимнастики</c:v>
                </c:pt>
                <c:pt idx="73">
                  <c:v>тпулюблино</c:v>
                </c:pt>
                <c:pt idx="74">
                  <c:v>4елевкас2</c:v>
                </c:pt>
                <c:pt idx="75">
                  <c:v>москапстройтн</c:v>
                </c:pt>
                <c:pt idx="76">
                  <c:v>сму6инвестиции</c:v>
                </c:pt>
                <c:pt idx="77">
                  <c:v>тбинвест</c:v>
                </c:pt>
                <c:pt idx="78">
                  <c:v>велесстрой</c:v>
                </c:pt>
                <c:pt idx="79">
                  <c:v>московскийсудостроительныйисудоремонтныйзавод</c:v>
                </c:pt>
                <c:pt idx="80">
                  <c:v>град</c:v>
                </c:pt>
                <c:pt idx="81">
                  <c:v>сзоптимуминвест</c:v>
                </c:pt>
                <c:pt idx="82">
                  <c:v>gorndevelopment</c:v>
                </c:pt>
                <c:pt idx="83">
                  <c:v>рублевоархангельское</c:v>
                </c:pt>
                <c:pt idx="84">
                  <c:v>атлантик</c:v>
                </c:pt>
                <c:pt idx="85">
                  <c:v>экдевелопмент</c:v>
                </c:pt>
                <c:pt idx="86">
                  <c:v>неострой</c:v>
                </c:pt>
                <c:pt idx="87">
                  <c:v>олимп</c:v>
                </c:pt>
                <c:pt idx="88">
                  <c:v>laruscapital</c:v>
                </c:pt>
                <c:pt idx="89">
                  <c:v>высота</c:v>
                </c:pt>
                <c:pt idx="90">
                  <c:v>страна</c:v>
                </c:pt>
                <c:pt idx="91">
                  <c:v>патекгрупп</c:v>
                </c:pt>
                <c:pt idx="92">
                  <c:v>аеондевелопмент</c:v>
                </c:pt>
                <c:pt idx="93">
                  <c:v>сзжк21</c:v>
                </c:pt>
                <c:pt idx="94">
                  <c:v>сзграндсоюзинвест</c:v>
                </c:pt>
                <c:pt idx="95">
                  <c:v>сзстройвос</c:v>
                </c:pt>
                <c:pt idx="96">
                  <c:v>uds</c:v>
                </c:pt>
                <c:pt idx="97">
                  <c:v>сзод4емиумплюс</c:v>
                </c:pt>
                <c:pt idx="98">
                  <c:v>интерфлора</c:v>
                </c:pt>
                <c:pt idx="99">
                  <c:v>abdevelopment</c:v>
                </c:pt>
                <c:pt idx="100">
                  <c:v>найомеинвест</c:v>
                </c:pt>
                <c:pt idx="101">
                  <c:v>транспортнопересадочныйузелрассказовка</c:v>
                </c:pt>
                <c:pt idx="102">
                  <c:v>висинвест</c:v>
                </c:pt>
                <c:pt idx="103">
                  <c:v>сзэси</c:v>
                </c:pt>
                <c:pt idx="104">
                  <c:v>тпутехнопарксз</c:v>
                </c:pt>
                <c:pt idx="105">
                  <c:v>сзстоа4</c:v>
                </c:pt>
                <c:pt idx="106">
                  <c:v>красныезори</c:v>
                </c:pt>
                <c:pt idx="107">
                  <c:v>арспфрунзенскогорайона</c:v>
                </c:pt>
                <c:pt idx="108">
                  <c:v>сзискра</c:v>
                </c:pt>
                <c:pt idx="109">
                  <c:v>стройтэкс</c:v>
                </c:pt>
                <c:pt idx="110">
                  <c:v>ремстройтрест</c:v>
                </c:pt>
                <c:pt idx="111">
                  <c:v>переделкиноближнее</c:v>
                </c:pt>
                <c:pt idx="112">
                  <c:v>сзальфа</c:v>
                </c:pt>
                <c:pt idx="113">
                  <c:v>гардтекс</c:v>
                </c:pt>
                <c:pt idx="114">
                  <c:v>скключ</c:v>
                </c:pt>
                <c:pt idx="115">
                  <c:v>сзэкран</c:v>
                </c:pt>
              </c:strCache>
            </c:strRef>
          </c:cat>
          <c:val>
            <c:numRef>
              <c:f>Лист5!$B$2:$B$117</c:f>
              <c:numCache>
                <c:formatCode>General</c:formatCode>
                <c:ptCount val="116"/>
                <c:pt idx="0">
                  <c:v>69969</c:v>
                </c:pt>
                <c:pt idx="1">
                  <c:v>27063</c:v>
                </c:pt>
                <c:pt idx="2">
                  <c:v>22336</c:v>
                </c:pt>
                <c:pt idx="3">
                  <c:v>14448</c:v>
                </c:pt>
                <c:pt idx="4">
                  <c:v>12931</c:v>
                </c:pt>
                <c:pt idx="5">
                  <c:v>11499</c:v>
                </c:pt>
                <c:pt idx="6">
                  <c:v>10444</c:v>
                </c:pt>
                <c:pt idx="7">
                  <c:v>9495</c:v>
                </c:pt>
                <c:pt idx="8">
                  <c:v>9404</c:v>
                </c:pt>
                <c:pt idx="9">
                  <c:v>9221</c:v>
                </c:pt>
                <c:pt idx="10">
                  <c:v>8503</c:v>
                </c:pt>
                <c:pt idx="11">
                  <c:v>8320</c:v>
                </c:pt>
                <c:pt idx="12">
                  <c:v>8304</c:v>
                </c:pt>
                <c:pt idx="13">
                  <c:v>8140</c:v>
                </c:pt>
                <c:pt idx="14">
                  <c:v>7874</c:v>
                </c:pt>
                <c:pt idx="15">
                  <c:v>7169</c:v>
                </c:pt>
                <c:pt idx="16">
                  <c:v>7146</c:v>
                </c:pt>
                <c:pt idx="17">
                  <c:v>7110</c:v>
                </c:pt>
                <c:pt idx="18">
                  <c:v>7103</c:v>
                </c:pt>
                <c:pt idx="19">
                  <c:v>6892</c:v>
                </c:pt>
                <c:pt idx="20">
                  <c:v>6815</c:v>
                </c:pt>
                <c:pt idx="21">
                  <c:v>6058</c:v>
                </c:pt>
                <c:pt idx="22">
                  <c:v>6045</c:v>
                </c:pt>
                <c:pt idx="23">
                  <c:v>5466</c:v>
                </c:pt>
                <c:pt idx="24">
                  <c:v>5055</c:v>
                </c:pt>
                <c:pt idx="25">
                  <c:v>5004</c:v>
                </c:pt>
                <c:pt idx="26">
                  <c:v>4642</c:v>
                </c:pt>
                <c:pt idx="27">
                  <c:v>4623</c:v>
                </c:pt>
                <c:pt idx="28">
                  <c:v>4405</c:v>
                </c:pt>
                <c:pt idx="29">
                  <c:v>4401</c:v>
                </c:pt>
                <c:pt idx="30">
                  <c:v>4203</c:v>
                </c:pt>
                <c:pt idx="31">
                  <c:v>3581</c:v>
                </c:pt>
                <c:pt idx="32">
                  <c:v>3444</c:v>
                </c:pt>
                <c:pt idx="33">
                  <c:v>3404</c:v>
                </c:pt>
                <c:pt idx="34">
                  <c:v>3132</c:v>
                </c:pt>
                <c:pt idx="35">
                  <c:v>3086</c:v>
                </c:pt>
                <c:pt idx="36">
                  <c:v>2565</c:v>
                </c:pt>
                <c:pt idx="37">
                  <c:v>2507</c:v>
                </c:pt>
                <c:pt idx="38">
                  <c:v>2349</c:v>
                </c:pt>
                <c:pt idx="39">
                  <c:v>2127</c:v>
                </c:pt>
                <c:pt idx="40">
                  <c:v>2094</c:v>
                </c:pt>
                <c:pt idx="41">
                  <c:v>1945</c:v>
                </c:pt>
                <c:pt idx="42">
                  <c:v>1827</c:v>
                </c:pt>
                <c:pt idx="43">
                  <c:v>1770</c:v>
                </c:pt>
                <c:pt idx="44">
                  <c:v>1701</c:v>
                </c:pt>
                <c:pt idx="45">
                  <c:v>1692</c:v>
                </c:pt>
                <c:pt idx="46">
                  <c:v>1518</c:v>
                </c:pt>
                <c:pt idx="47">
                  <c:v>1356</c:v>
                </c:pt>
                <c:pt idx="48">
                  <c:v>1341</c:v>
                </c:pt>
                <c:pt idx="49">
                  <c:v>1272</c:v>
                </c:pt>
                <c:pt idx="50">
                  <c:v>1157</c:v>
                </c:pt>
                <c:pt idx="51">
                  <c:v>1109</c:v>
                </c:pt>
                <c:pt idx="52">
                  <c:v>1101</c:v>
                </c:pt>
                <c:pt idx="53">
                  <c:v>1072</c:v>
                </c:pt>
                <c:pt idx="54">
                  <c:v>946</c:v>
                </c:pt>
                <c:pt idx="55">
                  <c:v>943</c:v>
                </c:pt>
                <c:pt idx="56">
                  <c:v>875</c:v>
                </c:pt>
                <c:pt idx="57">
                  <c:v>835</c:v>
                </c:pt>
                <c:pt idx="58">
                  <c:v>828</c:v>
                </c:pt>
                <c:pt idx="59">
                  <c:v>814</c:v>
                </c:pt>
                <c:pt idx="60">
                  <c:v>793</c:v>
                </c:pt>
                <c:pt idx="61">
                  <c:v>776</c:v>
                </c:pt>
                <c:pt idx="62">
                  <c:v>748</c:v>
                </c:pt>
                <c:pt idx="63">
                  <c:v>701</c:v>
                </c:pt>
                <c:pt idx="64">
                  <c:v>666</c:v>
                </c:pt>
                <c:pt idx="65">
                  <c:v>660</c:v>
                </c:pt>
                <c:pt idx="66">
                  <c:v>634</c:v>
                </c:pt>
                <c:pt idx="67">
                  <c:v>611</c:v>
                </c:pt>
                <c:pt idx="68">
                  <c:v>563</c:v>
                </c:pt>
                <c:pt idx="69">
                  <c:v>509</c:v>
                </c:pt>
                <c:pt idx="70">
                  <c:v>483</c:v>
                </c:pt>
                <c:pt idx="71">
                  <c:v>465</c:v>
                </c:pt>
                <c:pt idx="72">
                  <c:v>465</c:v>
                </c:pt>
                <c:pt idx="73">
                  <c:v>432</c:v>
                </c:pt>
                <c:pt idx="74">
                  <c:v>428</c:v>
                </c:pt>
                <c:pt idx="75">
                  <c:v>418</c:v>
                </c:pt>
                <c:pt idx="76">
                  <c:v>412</c:v>
                </c:pt>
                <c:pt idx="77">
                  <c:v>398.2</c:v>
                </c:pt>
                <c:pt idx="78">
                  <c:v>379</c:v>
                </c:pt>
                <c:pt idx="79">
                  <c:v>365</c:v>
                </c:pt>
                <c:pt idx="80">
                  <c:v>332</c:v>
                </c:pt>
                <c:pt idx="81">
                  <c:v>329</c:v>
                </c:pt>
                <c:pt idx="82">
                  <c:v>326</c:v>
                </c:pt>
                <c:pt idx="83">
                  <c:v>310</c:v>
                </c:pt>
                <c:pt idx="84">
                  <c:v>303</c:v>
                </c:pt>
                <c:pt idx="85">
                  <c:v>293</c:v>
                </c:pt>
                <c:pt idx="86">
                  <c:v>290</c:v>
                </c:pt>
                <c:pt idx="87">
                  <c:v>276</c:v>
                </c:pt>
                <c:pt idx="88">
                  <c:v>243</c:v>
                </c:pt>
                <c:pt idx="89">
                  <c:v>234</c:v>
                </c:pt>
                <c:pt idx="90">
                  <c:v>233</c:v>
                </c:pt>
                <c:pt idx="91">
                  <c:v>232</c:v>
                </c:pt>
                <c:pt idx="92">
                  <c:v>223</c:v>
                </c:pt>
                <c:pt idx="93">
                  <c:v>217</c:v>
                </c:pt>
                <c:pt idx="94">
                  <c:v>208</c:v>
                </c:pt>
                <c:pt idx="95">
                  <c:v>204</c:v>
                </c:pt>
                <c:pt idx="96">
                  <c:v>187</c:v>
                </c:pt>
                <c:pt idx="97">
                  <c:v>184</c:v>
                </c:pt>
                <c:pt idx="98">
                  <c:v>176</c:v>
                </c:pt>
                <c:pt idx="99">
                  <c:v>173</c:v>
                </c:pt>
                <c:pt idx="100">
                  <c:v>172</c:v>
                </c:pt>
                <c:pt idx="101">
                  <c:v>171</c:v>
                </c:pt>
                <c:pt idx="102">
                  <c:v>170</c:v>
                </c:pt>
                <c:pt idx="103">
                  <c:v>142</c:v>
                </c:pt>
                <c:pt idx="104">
                  <c:v>141</c:v>
                </c:pt>
                <c:pt idx="105">
                  <c:v>130</c:v>
                </c:pt>
                <c:pt idx="106">
                  <c:v>127</c:v>
                </c:pt>
                <c:pt idx="107">
                  <c:v>123</c:v>
                </c:pt>
                <c:pt idx="108">
                  <c:v>112</c:v>
                </c:pt>
                <c:pt idx="109">
                  <c:v>108</c:v>
                </c:pt>
                <c:pt idx="110">
                  <c:v>105</c:v>
                </c:pt>
                <c:pt idx="111">
                  <c:v>104</c:v>
                </c:pt>
                <c:pt idx="112">
                  <c:v>104</c:v>
                </c:pt>
                <c:pt idx="113">
                  <c:v>98</c:v>
                </c:pt>
                <c:pt idx="114">
                  <c:v>89</c:v>
                </c:pt>
                <c:pt idx="115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64-43D2-9229-2E0A674AC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574856287"/>
        <c:axId val="1574862111"/>
      </c:barChart>
      <c:catAx>
        <c:axId val="15748562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862111"/>
        <c:crosses val="autoZero"/>
        <c:auto val="1"/>
        <c:lblAlgn val="ctr"/>
        <c:lblOffset val="100"/>
        <c:noMultiLvlLbl val="0"/>
      </c:catAx>
      <c:valAx>
        <c:axId val="15748621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856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4524F8-2DF0-8942-AEF0-9092C8A9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2799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Веня Вейцман</dc:creator>
  <cp:keywords/>
  <dc:description/>
  <cp:lastModifiedBy>Сысоев Никита Дмитриевич</cp:lastModifiedBy>
  <cp:revision>82</cp:revision>
  <dcterms:created xsi:type="dcterms:W3CDTF">2024-05-22T15:27:00Z</dcterms:created>
  <dcterms:modified xsi:type="dcterms:W3CDTF">2024-05-22T20:40:00Z</dcterms:modified>
</cp:coreProperties>
</file>