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A747" w14:textId="77777777" w:rsidR="00912BCE" w:rsidRDefault="00A65A9B" w:rsidP="00A65A9B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12BCE">
        <w:rPr>
          <w:rFonts w:ascii="Times New Roman" w:hAnsi="Times New Roman" w:cs="Times New Roman"/>
          <w:i/>
          <w:iCs/>
          <w:sz w:val="32"/>
          <w:szCs w:val="32"/>
        </w:rPr>
        <w:t>Аналитическая записка. Кейс по портфельному менеджменту.</w:t>
      </w:r>
      <w:r w:rsidR="00912BC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571341B8" w14:textId="4CDE4F93" w:rsidR="00B32620" w:rsidRPr="00912BCE" w:rsidRDefault="00912BCE" w:rsidP="00A65A9B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Курс</w:t>
      </w:r>
      <w:r w:rsidR="00A65A9B" w:rsidRPr="00912BC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«</w:t>
      </w:r>
      <w:r w:rsidR="00A65A9B" w:rsidRPr="00912BCE">
        <w:rPr>
          <w:rFonts w:ascii="Times New Roman" w:hAnsi="Times New Roman" w:cs="Times New Roman"/>
          <w:i/>
          <w:iCs/>
          <w:sz w:val="32"/>
          <w:szCs w:val="32"/>
        </w:rPr>
        <w:t>Финансы</w:t>
      </w:r>
      <w:r>
        <w:rPr>
          <w:rFonts w:ascii="Times New Roman" w:hAnsi="Times New Roman" w:cs="Times New Roman"/>
          <w:i/>
          <w:iCs/>
          <w:sz w:val="32"/>
          <w:szCs w:val="32"/>
        </w:rPr>
        <w:t>»</w:t>
      </w:r>
      <w:r w:rsidR="00A65A9B" w:rsidRPr="00912BCE">
        <w:rPr>
          <w:rFonts w:ascii="Times New Roman" w:hAnsi="Times New Roman" w:cs="Times New Roman"/>
          <w:i/>
          <w:iCs/>
          <w:sz w:val="32"/>
          <w:szCs w:val="32"/>
        </w:rPr>
        <w:t>.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2023</w:t>
      </w:r>
    </w:p>
    <w:p w14:paraId="6F726F44" w14:textId="6639A588" w:rsidR="00A65A9B" w:rsidRPr="00126969" w:rsidRDefault="0051014C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126969">
        <w:rPr>
          <w:rFonts w:ascii="Times New Roman" w:hAnsi="Times New Roman" w:cs="Times New Roman"/>
          <w:sz w:val="32"/>
          <w:szCs w:val="32"/>
        </w:rPr>
        <w:t>Введение</w:t>
      </w:r>
    </w:p>
    <w:p w14:paraId="57A41D82" w14:textId="76D52D41" w:rsidR="0051014C" w:rsidRDefault="0051014C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кейса нам было предложено </w:t>
      </w:r>
      <w:r w:rsidR="00CB3E4D">
        <w:rPr>
          <w:rFonts w:ascii="Times New Roman" w:hAnsi="Times New Roman" w:cs="Times New Roman"/>
          <w:sz w:val="24"/>
          <w:szCs w:val="24"/>
        </w:rPr>
        <w:t>проанализировать</w:t>
      </w:r>
      <w:r>
        <w:rPr>
          <w:rFonts w:ascii="Times New Roman" w:hAnsi="Times New Roman" w:cs="Times New Roman"/>
          <w:sz w:val="24"/>
          <w:szCs w:val="24"/>
        </w:rPr>
        <w:t xml:space="preserve"> текущее финансовое положение семьи Дмитрия и Натальи, которые имеют дв</w:t>
      </w:r>
      <w:r w:rsidR="00FC50CD">
        <w:rPr>
          <w:rFonts w:ascii="Times New Roman" w:hAnsi="Times New Roman" w:cs="Times New Roman"/>
          <w:sz w:val="24"/>
          <w:szCs w:val="24"/>
        </w:rPr>
        <w:t>оих</w:t>
      </w:r>
      <w:r>
        <w:rPr>
          <w:rFonts w:ascii="Times New Roman" w:hAnsi="Times New Roman" w:cs="Times New Roman"/>
          <w:sz w:val="24"/>
          <w:szCs w:val="24"/>
        </w:rPr>
        <w:t xml:space="preserve"> детей, а </w:t>
      </w:r>
      <w:r w:rsidR="00FC50CD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E4D">
        <w:rPr>
          <w:rFonts w:ascii="Times New Roman" w:hAnsi="Times New Roman" w:cs="Times New Roman"/>
          <w:sz w:val="24"/>
          <w:szCs w:val="24"/>
        </w:rPr>
        <w:t>сделать рекомендации по портфельному менеджменту с учетом возможностей и потребностей семьи.</w:t>
      </w:r>
      <w:r w:rsidR="00FC50CD">
        <w:rPr>
          <w:rFonts w:ascii="Times New Roman" w:hAnsi="Times New Roman" w:cs="Times New Roman"/>
          <w:sz w:val="24"/>
          <w:szCs w:val="24"/>
        </w:rPr>
        <w:t xml:space="preserve"> </w:t>
      </w:r>
      <w:r w:rsidR="00923A10">
        <w:rPr>
          <w:rFonts w:ascii="Times New Roman" w:hAnsi="Times New Roman" w:cs="Times New Roman"/>
          <w:sz w:val="24"/>
          <w:szCs w:val="24"/>
        </w:rPr>
        <w:t xml:space="preserve">Наше решение предполагает </w:t>
      </w:r>
      <w:r w:rsidR="00CB7C93">
        <w:rPr>
          <w:rFonts w:ascii="Times New Roman" w:hAnsi="Times New Roman" w:cs="Times New Roman"/>
          <w:sz w:val="24"/>
          <w:szCs w:val="24"/>
        </w:rPr>
        <w:t>формирование</w:t>
      </w:r>
      <w:r w:rsidR="003032C7">
        <w:rPr>
          <w:rFonts w:ascii="Times New Roman" w:hAnsi="Times New Roman" w:cs="Times New Roman"/>
          <w:sz w:val="24"/>
          <w:szCs w:val="24"/>
        </w:rPr>
        <w:t xml:space="preserve"> инвестиционн</w:t>
      </w:r>
      <w:r w:rsidR="00F84DA9">
        <w:rPr>
          <w:rFonts w:ascii="Times New Roman" w:hAnsi="Times New Roman" w:cs="Times New Roman"/>
          <w:sz w:val="24"/>
          <w:szCs w:val="24"/>
        </w:rPr>
        <w:t>ого</w:t>
      </w:r>
      <w:r w:rsidR="00CB7C93">
        <w:rPr>
          <w:rFonts w:ascii="Times New Roman" w:hAnsi="Times New Roman" w:cs="Times New Roman"/>
          <w:sz w:val="24"/>
          <w:szCs w:val="24"/>
        </w:rPr>
        <w:t xml:space="preserve"> портфеля</w:t>
      </w:r>
      <w:r w:rsidR="00F84DA9">
        <w:rPr>
          <w:rFonts w:ascii="Times New Roman" w:hAnsi="Times New Roman" w:cs="Times New Roman"/>
          <w:sz w:val="24"/>
          <w:szCs w:val="24"/>
        </w:rPr>
        <w:t xml:space="preserve"> на основе под</w:t>
      </w:r>
      <w:r w:rsidR="00CB7C93">
        <w:rPr>
          <w:rFonts w:ascii="Times New Roman" w:hAnsi="Times New Roman" w:cs="Times New Roman"/>
          <w:sz w:val="24"/>
          <w:szCs w:val="24"/>
        </w:rPr>
        <w:t>хода</w:t>
      </w:r>
      <w:r w:rsid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F84DA9">
        <w:rPr>
          <w:rFonts w:ascii="Times New Roman" w:hAnsi="Times New Roman" w:cs="Times New Roman"/>
          <w:sz w:val="24"/>
          <w:szCs w:val="24"/>
          <w:lang w:val="en-US"/>
        </w:rPr>
        <w:t>CAPM</w:t>
      </w:r>
      <w:r w:rsidR="00F84DA9" w:rsidRP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F84DA9">
        <w:rPr>
          <w:rFonts w:ascii="Times New Roman" w:hAnsi="Times New Roman" w:cs="Times New Roman"/>
          <w:sz w:val="24"/>
          <w:szCs w:val="24"/>
        </w:rPr>
        <w:t xml:space="preserve">и </w:t>
      </w:r>
      <w:r w:rsidR="00CB7C93">
        <w:rPr>
          <w:rFonts w:ascii="Times New Roman" w:hAnsi="Times New Roman" w:cs="Times New Roman"/>
          <w:sz w:val="24"/>
          <w:szCs w:val="24"/>
        </w:rPr>
        <w:t>метода Монте-Карло</w:t>
      </w:r>
      <w:r w:rsidR="003032C7">
        <w:rPr>
          <w:rFonts w:ascii="Times New Roman" w:hAnsi="Times New Roman" w:cs="Times New Roman"/>
          <w:sz w:val="24"/>
          <w:szCs w:val="24"/>
        </w:rPr>
        <w:t>,</w:t>
      </w:r>
      <w:r w:rsidR="00D001F5">
        <w:rPr>
          <w:rFonts w:ascii="Times New Roman" w:hAnsi="Times New Roman" w:cs="Times New Roman"/>
          <w:sz w:val="24"/>
          <w:szCs w:val="24"/>
        </w:rPr>
        <w:t xml:space="preserve"> </w:t>
      </w:r>
      <w:r w:rsidR="003032C7">
        <w:rPr>
          <w:rFonts w:ascii="Times New Roman" w:hAnsi="Times New Roman" w:cs="Times New Roman"/>
          <w:sz w:val="24"/>
          <w:szCs w:val="24"/>
        </w:rPr>
        <w:t>анализ рисков</w:t>
      </w:r>
      <w:r w:rsidR="00F84DA9">
        <w:rPr>
          <w:rFonts w:ascii="Times New Roman" w:hAnsi="Times New Roman" w:cs="Times New Roman"/>
          <w:sz w:val="24"/>
          <w:szCs w:val="24"/>
        </w:rPr>
        <w:t xml:space="preserve">, их </w:t>
      </w:r>
      <w:proofErr w:type="spellStart"/>
      <w:r w:rsidR="00F84DA9">
        <w:rPr>
          <w:rFonts w:ascii="Times New Roman" w:hAnsi="Times New Roman" w:cs="Times New Roman"/>
          <w:sz w:val="24"/>
          <w:szCs w:val="24"/>
        </w:rPr>
        <w:t>митигирование</w:t>
      </w:r>
      <w:proofErr w:type="spellEnd"/>
      <w:r w:rsidR="00CB7C93">
        <w:rPr>
          <w:rFonts w:ascii="Times New Roman" w:hAnsi="Times New Roman" w:cs="Times New Roman"/>
          <w:sz w:val="24"/>
          <w:szCs w:val="24"/>
        </w:rPr>
        <w:t>, а также советы</w:t>
      </w:r>
      <w:r w:rsidR="00D001F5">
        <w:rPr>
          <w:rFonts w:ascii="Times New Roman" w:hAnsi="Times New Roman" w:cs="Times New Roman"/>
          <w:sz w:val="24"/>
          <w:szCs w:val="24"/>
        </w:rPr>
        <w:t xml:space="preserve"> по</w:t>
      </w:r>
      <w:r w:rsid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D001F5">
        <w:rPr>
          <w:rFonts w:ascii="Times New Roman" w:hAnsi="Times New Roman" w:cs="Times New Roman"/>
          <w:sz w:val="24"/>
          <w:szCs w:val="24"/>
        </w:rPr>
        <w:t>избежанию</w:t>
      </w:r>
      <w:r w:rsidR="00F84DA9">
        <w:rPr>
          <w:rFonts w:ascii="Times New Roman" w:hAnsi="Times New Roman" w:cs="Times New Roman"/>
          <w:sz w:val="24"/>
          <w:szCs w:val="24"/>
        </w:rPr>
        <w:t xml:space="preserve"> поведенческих</w:t>
      </w:r>
      <w:r w:rsidR="00CB7C93">
        <w:rPr>
          <w:rFonts w:ascii="Times New Roman" w:hAnsi="Times New Roman" w:cs="Times New Roman"/>
          <w:sz w:val="24"/>
          <w:szCs w:val="24"/>
        </w:rPr>
        <w:t xml:space="preserve"> ошибок</w:t>
      </w:r>
      <w:r w:rsidR="00D001F5">
        <w:rPr>
          <w:rFonts w:ascii="Times New Roman" w:hAnsi="Times New Roman" w:cs="Times New Roman"/>
          <w:sz w:val="24"/>
          <w:szCs w:val="24"/>
        </w:rPr>
        <w:t>.</w:t>
      </w:r>
    </w:p>
    <w:p w14:paraId="12EACD9B" w14:textId="72DE7CAF" w:rsidR="001321B9" w:rsidRDefault="001321B9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Файл “</w:t>
      </w:r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FIRST</w:t>
      </w: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STAGE</w:t>
      </w: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xlsx</w:t>
      </w: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” – исходная финансовая модель, погашение кредитов, распределение потоков.</w:t>
      </w:r>
    </w:p>
    <w:p w14:paraId="33D00AD3" w14:textId="3D5BA03C" w:rsidR="001321B9" w:rsidRPr="001321B9" w:rsidRDefault="001321B9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Файл “</w:t>
      </w:r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SECOND</w:t>
      </w: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STAGE</w:t>
      </w:r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proofErr w:type="spellStart"/>
      <w:r w:rsidRPr="001321B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ipynd</w:t>
      </w:r>
      <w:proofErr w:type="spellEnd"/>
      <w:r w:rsidRPr="001321B9">
        <w:rPr>
          <w:rFonts w:ascii="Times New Roman" w:hAnsi="Times New Roman" w:cs="Times New Roman"/>
          <w:sz w:val="24"/>
          <w:szCs w:val="24"/>
          <w:highlight w:val="lightGray"/>
        </w:rPr>
        <w:t>” – работа с финансовыми активами, составление портфеля, генерация рядов Монте-Карло, торговый алгоритм.</w:t>
      </w:r>
    </w:p>
    <w:p w14:paraId="4ED2BA5E" w14:textId="10BF0427" w:rsidR="00D001F5" w:rsidRPr="00126969" w:rsidRDefault="00632F7A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126969">
        <w:rPr>
          <w:rFonts w:ascii="Times New Roman" w:hAnsi="Times New Roman" w:cs="Times New Roman"/>
          <w:sz w:val="32"/>
          <w:szCs w:val="32"/>
        </w:rPr>
        <w:t>Анализ текущего финансового положения</w:t>
      </w:r>
    </w:p>
    <w:p w14:paraId="7BD9EECC" w14:textId="3A11380F" w:rsidR="001B6B50" w:rsidRDefault="000279C8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B6B50">
        <w:rPr>
          <w:rFonts w:ascii="Times New Roman" w:hAnsi="Times New Roman" w:cs="Times New Roman"/>
          <w:sz w:val="24"/>
          <w:szCs w:val="24"/>
        </w:rPr>
        <w:t>ледует сказать</w:t>
      </w:r>
      <w:r>
        <w:rPr>
          <w:rFonts w:ascii="Times New Roman" w:hAnsi="Times New Roman" w:cs="Times New Roman"/>
          <w:sz w:val="24"/>
          <w:szCs w:val="24"/>
        </w:rPr>
        <w:t xml:space="preserve"> сразу</w:t>
      </w:r>
      <w:r w:rsidR="001B6B50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все упомянутые в решении показатели являются реальными.</w:t>
      </w:r>
    </w:p>
    <w:p w14:paraId="1EE7ADF2" w14:textId="120BB99A" w:rsidR="00632F7A" w:rsidRDefault="000279C8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с</w:t>
      </w:r>
      <w:r w:rsidR="000A6971">
        <w:rPr>
          <w:rFonts w:ascii="Times New Roman" w:hAnsi="Times New Roman" w:cs="Times New Roman"/>
          <w:sz w:val="24"/>
          <w:szCs w:val="24"/>
        </w:rPr>
        <w:t>емья ежегодно зарабатывает 4,5 млн рублей</w:t>
      </w:r>
      <w:r w:rsidR="00193FF0">
        <w:rPr>
          <w:rFonts w:ascii="Times New Roman" w:hAnsi="Times New Roman" w:cs="Times New Roman"/>
          <w:sz w:val="24"/>
          <w:szCs w:val="24"/>
        </w:rPr>
        <w:t xml:space="preserve">, </w:t>
      </w:r>
      <w:r w:rsidR="001B6B50">
        <w:rPr>
          <w:rFonts w:ascii="Times New Roman" w:hAnsi="Times New Roman" w:cs="Times New Roman"/>
          <w:sz w:val="24"/>
          <w:szCs w:val="24"/>
        </w:rPr>
        <w:t xml:space="preserve">из которых тратит </w:t>
      </w:r>
      <w:r>
        <w:rPr>
          <w:rFonts w:ascii="Times New Roman" w:hAnsi="Times New Roman" w:cs="Times New Roman"/>
          <w:sz w:val="24"/>
          <w:szCs w:val="24"/>
        </w:rPr>
        <w:t>3 млн рублей.</w:t>
      </w:r>
      <w:r w:rsidR="00EE194A">
        <w:rPr>
          <w:rFonts w:ascii="Times New Roman" w:hAnsi="Times New Roman" w:cs="Times New Roman"/>
          <w:sz w:val="24"/>
          <w:szCs w:val="24"/>
        </w:rPr>
        <w:t xml:space="preserve"> Средний месячный</w:t>
      </w:r>
      <w:r w:rsidR="00370571">
        <w:rPr>
          <w:rFonts w:ascii="Times New Roman" w:hAnsi="Times New Roman" w:cs="Times New Roman"/>
          <w:sz w:val="24"/>
          <w:szCs w:val="24"/>
        </w:rPr>
        <w:t xml:space="preserve"> реальный</w:t>
      </w:r>
      <w:r w:rsidR="00EE194A">
        <w:rPr>
          <w:rFonts w:ascii="Times New Roman" w:hAnsi="Times New Roman" w:cs="Times New Roman"/>
          <w:sz w:val="24"/>
          <w:szCs w:val="24"/>
        </w:rPr>
        <w:t xml:space="preserve"> </w:t>
      </w:r>
      <w:r w:rsidR="00EE194A" w:rsidRPr="00EE194A">
        <w:rPr>
          <w:rFonts w:ascii="Times New Roman" w:hAnsi="Times New Roman" w:cs="Times New Roman"/>
          <w:b/>
          <w:bCs/>
          <w:sz w:val="24"/>
          <w:szCs w:val="24"/>
        </w:rPr>
        <w:t>чистый</w:t>
      </w:r>
      <w:r w:rsidR="00EE194A">
        <w:rPr>
          <w:rFonts w:ascii="Times New Roman" w:hAnsi="Times New Roman" w:cs="Times New Roman"/>
          <w:sz w:val="24"/>
          <w:szCs w:val="24"/>
        </w:rPr>
        <w:t xml:space="preserve"> доход семьи составляет 125</w:t>
      </w:r>
      <w:r w:rsidR="00A30D6E">
        <w:rPr>
          <w:rFonts w:ascii="Times New Roman" w:hAnsi="Times New Roman" w:cs="Times New Roman"/>
          <w:sz w:val="24"/>
          <w:szCs w:val="24"/>
        </w:rPr>
        <w:t xml:space="preserve"> тысяч</w:t>
      </w:r>
      <w:r w:rsidR="00EE194A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370571">
        <w:rPr>
          <w:rFonts w:ascii="Times New Roman" w:hAnsi="Times New Roman" w:cs="Times New Roman"/>
          <w:sz w:val="24"/>
          <w:szCs w:val="24"/>
        </w:rPr>
        <w:t xml:space="preserve"> на протяжении всего инвестиционного горизонта</w:t>
      </w:r>
      <w:r w:rsidR="00000A65">
        <w:rPr>
          <w:rFonts w:ascii="Times New Roman" w:hAnsi="Times New Roman" w:cs="Times New Roman"/>
          <w:sz w:val="24"/>
          <w:szCs w:val="24"/>
        </w:rPr>
        <w:t xml:space="preserve"> (п</w:t>
      </w:r>
      <w:r w:rsidR="00A30D6E">
        <w:rPr>
          <w:rFonts w:ascii="Times New Roman" w:hAnsi="Times New Roman" w:cs="Times New Roman"/>
          <w:sz w:val="24"/>
          <w:szCs w:val="24"/>
        </w:rPr>
        <w:t xml:space="preserve">оскольку в условии сказано, что </w:t>
      </w:r>
      <w:r w:rsidR="007C6FE5">
        <w:rPr>
          <w:rFonts w:ascii="Times New Roman" w:hAnsi="Times New Roman" w:cs="Times New Roman"/>
          <w:sz w:val="24"/>
          <w:szCs w:val="24"/>
        </w:rPr>
        <w:t>номинальные</w:t>
      </w:r>
      <w:r w:rsidR="009C2EB0">
        <w:rPr>
          <w:rFonts w:ascii="Times New Roman" w:hAnsi="Times New Roman" w:cs="Times New Roman"/>
          <w:sz w:val="24"/>
          <w:szCs w:val="24"/>
        </w:rPr>
        <w:t xml:space="preserve"> доходы </w:t>
      </w:r>
      <w:r w:rsidR="00000A65">
        <w:rPr>
          <w:rFonts w:ascii="Times New Roman" w:hAnsi="Times New Roman" w:cs="Times New Roman"/>
          <w:sz w:val="24"/>
          <w:szCs w:val="24"/>
        </w:rPr>
        <w:t xml:space="preserve">и расходы </w:t>
      </w:r>
      <w:r w:rsidR="009C2EB0">
        <w:rPr>
          <w:rFonts w:ascii="Times New Roman" w:hAnsi="Times New Roman" w:cs="Times New Roman"/>
          <w:sz w:val="24"/>
          <w:szCs w:val="24"/>
        </w:rPr>
        <w:t>будут расти ежегодно на размер инфляции</w:t>
      </w:r>
      <w:r w:rsidR="00000A65">
        <w:rPr>
          <w:rFonts w:ascii="Times New Roman" w:hAnsi="Times New Roman" w:cs="Times New Roman"/>
          <w:sz w:val="24"/>
          <w:szCs w:val="24"/>
        </w:rPr>
        <w:t>).</w:t>
      </w:r>
    </w:p>
    <w:p w14:paraId="47F671FE" w14:textId="35F59D5F" w:rsidR="007A5251" w:rsidRDefault="007A5251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Инвестиционный горизонт семьи 20 лет. Наша задача накопить </w:t>
      </w:r>
      <w:r w:rsidR="00C470DF">
        <w:rPr>
          <w:rFonts w:ascii="Times New Roman" w:hAnsi="Times New Roman" w:cs="Times New Roman"/>
          <w:sz w:val="24"/>
          <w:szCs w:val="24"/>
        </w:rPr>
        <w:t>как можно больше денег к старости, в то же время обеспечив минимальный доход, необходимый для поддержания потребления на пенсии на прежнем уровне (согласно модели Модильяни)</w:t>
      </w:r>
      <w:r w:rsidR="001321B9" w:rsidRPr="001321B9">
        <w:rPr>
          <w:rFonts w:ascii="Times New Roman" w:hAnsi="Times New Roman" w:cs="Times New Roman"/>
          <w:sz w:val="24"/>
          <w:szCs w:val="24"/>
        </w:rPr>
        <w:t xml:space="preserve"> </w:t>
      </w:r>
      <w:r w:rsidR="001321B9" w:rsidRPr="001321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21B9" w:rsidRPr="001321B9">
        <w:rPr>
          <w:rFonts w:ascii="Times New Roman" w:hAnsi="Times New Roman" w:cs="Times New Roman"/>
          <w:sz w:val="24"/>
          <w:szCs w:val="24"/>
        </w:rPr>
        <w:t>Modigliani</w:t>
      </w:r>
      <w:proofErr w:type="spellEnd"/>
      <w:r w:rsidR="001321B9" w:rsidRPr="001321B9">
        <w:rPr>
          <w:rFonts w:ascii="Times New Roman" w:hAnsi="Times New Roman" w:cs="Times New Roman"/>
          <w:sz w:val="24"/>
          <w:szCs w:val="24"/>
        </w:rPr>
        <w:t>, 1966), (</w:t>
      </w:r>
      <w:proofErr w:type="spellStart"/>
      <w:r w:rsidR="001321B9" w:rsidRPr="001321B9">
        <w:rPr>
          <w:rFonts w:ascii="Times New Roman" w:hAnsi="Times New Roman" w:cs="Times New Roman"/>
          <w:sz w:val="24"/>
          <w:szCs w:val="24"/>
        </w:rPr>
        <w:t>Friedman</w:t>
      </w:r>
      <w:proofErr w:type="spellEnd"/>
      <w:r w:rsidR="001321B9" w:rsidRPr="001321B9">
        <w:rPr>
          <w:rFonts w:ascii="Times New Roman" w:hAnsi="Times New Roman" w:cs="Times New Roman"/>
          <w:sz w:val="24"/>
          <w:szCs w:val="24"/>
        </w:rPr>
        <w:t>, 1957</w:t>
      </w:r>
      <w:r w:rsidR="001321B9" w:rsidRPr="001321B9">
        <w:rPr>
          <w:rFonts w:ascii="Times New Roman" w:hAnsi="Times New Roman" w:cs="Times New Roman"/>
          <w:sz w:val="24"/>
          <w:szCs w:val="24"/>
        </w:rPr>
        <w:t>)</w:t>
      </w:r>
      <w:r w:rsidR="00C470DF">
        <w:rPr>
          <w:rFonts w:ascii="Times New Roman" w:hAnsi="Times New Roman" w:cs="Times New Roman"/>
          <w:sz w:val="24"/>
          <w:szCs w:val="24"/>
        </w:rPr>
        <w:t>.</w:t>
      </w:r>
    </w:p>
    <w:p w14:paraId="6F3D07C6" w14:textId="6BD6C16E" w:rsidR="00752C5D" w:rsidRDefault="00752C5D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считаем неприемлемым не платить </w:t>
      </w:r>
      <w:r w:rsidR="00914261">
        <w:rPr>
          <w:rFonts w:ascii="Times New Roman" w:hAnsi="Times New Roman" w:cs="Times New Roman"/>
          <w:sz w:val="24"/>
          <w:szCs w:val="24"/>
        </w:rPr>
        <w:t xml:space="preserve">своевременно и в полном объёме </w:t>
      </w:r>
      <w:r>
        <w:rPr>
          <w:rFonts w:ascii="Times New Roman" w:hAnsi="Times New Roman" w:cs="Times New Roman"/>
          <w:sz w:val="24"/>
          <w:szCs w:val="24"/>
        </w:rPr>
        <w:t>100 тысяч рублей по ипотеке, так как есть риск лишиться жилья. По</w:t>
      </w:r>
      <w:r w:rsidR="00914261">
        <w:rPr>
          <w:rFonts w:ascii="Times New Roman" w:hAnsi="Times New Roman" w:cs="Times New Roman"/>
          <w:sz w:val="24"/>
          <w:szCs w:val="24"/>
        </w:rPr>
        <w:t xml:space="preserve"> этой причине из 125 тысяч рублей мы рекомендуем ежемесячно согласно требованию платить 100 тысяч по ипотеке. </w:t>
      </w:r>
    </w:p>
    <w:p w14:paraId="47CA1C92" w14:textId="15AEA394" w:rsidR="006818A9" w:rsidRDefault="00BC38FB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</w:t>
      </w:r>
      <w:r w:rsidR="00752C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полагаем, что </w:t>
      </w:r>
      <w:r w:rsidR="0025121D">
        <w:rPr>
          <w:rFonts w:ascii="Times New Roman" w:hAnsi="Times New Roman" w:cs="Times New Roman"/>
          <w:sz w:val="24"/>
          <w:szCs w:val="24"/>
        </w:rPr>
        <w:t xml:space="preserve">процент по кредитной карте очень </w:t>
      </w:r>
      <w:r w:rsidR="00FE02A2">
        <w:rPr>
          <w:rFonts w:ascii="Times New Roman" w:hAnsi="Times New Roman" w:cs="Times New Roman"/>
          <w:sz w:val="24"/>
          <w:szCs w:val="24"/>
        </w:rPr>
        <w:t>высокий</w:t>
      </w:r>
      <w:r w:rsidR="0025121D">
        <w:rPr>
          <w:rFonts w:ascii="Times New Roman" w:hAnsi="Times New Roman" w:cs="Times New Roman"/>
          <w:sz w:val="24"/>
          <w:szCs w:val="24"/>
        </w:rPr>
        <w:t xml:space="preserve"> – 30 %</w:t>
      </w:r>
      <w:r w:rsidR="007515B5">
        <w:rPr>
          <w:rFonts w:ascii="Times New Roman" w:hAnsi="Times New Roman" w:cs="Times New Roman"/>
          <w:sz w:val="24"/>
          <w:szCs w:val="24"/>
        </w:rPr>
        <w:t xml:space="preserve"> (</w:t>
      </w:r>
      <w:r w:rsidR="00FE02A2">
        <w:rPr>
          <w:rFonts w:ascii="Times New Roman" w:hAnsi="Times New Roman" w:cs="Times New Roman"/>
          <w:sz w:val="24"/>
          <w:szCs w:val="24"/>
        </w:rPr>
        <w:t>более 20% в реальн</w:t>
      </w:r>
      <w:r w:rsidR="00165183">
        <w:rPr>
          <w:rFonts w:ascii="Times New Roman" w:hAnsi="Times New Roman" w:cs="Times New Roman"/>
          <w:sz w:val="24"/>
          <w:szCs w:val="24"/>
        </w:rPr>
        <w:t>ом выражении</w:t>
      </w:r>
      <w:r w:rsidR="00FE02A2">
        <w:rPr>
          <w:rFonts w:ascii="Times New Roman" w:hAnsi="Times New Roman" w:cs="Times New Roman"/>
          <w:sz w:val="24"/>
          <w:szCs w:val="24"/>
        </w:rPr>
        <w:t>)</w:t>
      </w:r>
      <w:r w:rsidR="0025121D">
        <w:rPr>
          <w:rFonts w:ascii="Times New Roman" w:hAnsi="Times New Roman" w:cs="Times New Roman"/>
          <w:sz w:val="24"/>
          <w:szCs w:val="24"/>
        </w:rPr>
        <w:t xml:space="preserve"> - такую доходность </w:t>
      </w:r>
      <w:r w:rsidR="00053820">
        <w:rPr>
          <w:rFonts w:ascii="Times New Roman" w:hAnsi="Times New Roman" w:cs="Times New Roman"/>
          <w:sz w:val="24"/>
          <w:szCs w:val="24"/>
        </w:rPr>
        <w:t xml:space="preserve">инвестиций </w:t>
      </w:r>
      <w:r w:rsidR="0025121D">
        <w:rPr>
          <w:rFonts w:ascii="Times New Roman" w:hAnsi="Times New Roman" w:cs="Times New Roman"/>
          <w:sz w:val="24"/>
          <w:szCs w:val="24"/>
        </w:rPr>
        <w:t>вряд ли можно найти при приемлемом уровне риска</w:t>
      </w:r>
      <w:r w:rsidR="00053820">
        <w:rPr>
          <w:rFonts w:ascii="Times New Roman" w:hAnsi="Times New Roman" w:cs="Times New Roman"/>
          <w:sz w:val="24"/>
          <w:szCs w:val="24"/>
        </w:rPr>
        <w:t>, чтобы покрывать такой процент на сумму долга</w:t>
      </w:r>
      <w:r w:rsidR="00165183">
        <w:rPr>
          <w:rFonts w:ascii="Times New Roman" w:hAnsi="Times New Roman" w:cs="Times New Roman"/>
          <w:sz w:val="24"/>
          <w:szCs w:val="24"/>
        </w:rPr>
        <w:t xml:space="preserve"> в 1 млн рублей</w:t>
      </w:r>
      <w:r w:rsidR="0025121D">
        <w:rPr>
          <w:rFonts w:ascii="Times New Roman" w:hAnsi="Times New Roman" w:cs="Times New Roman"/>
          <w:sz w:val="24"/>
          <w:szCs w:val="24"/>
        </w:rPr>
        <w:t>. Поэтому з</w:t>
      </w:r>
      <w:r w:rsidR="0099408D">
        <w:rPr>
          <w:rFonts w:ascii="Times New Roman" w:hAnsi="Times New Roman" w:cs="Times New Roman"/>
          <w:sz w:val="24"/>
          <w:szCs w:val="24"/>
        </w:rPr>
        <w:t xml:space="preserve">адолженность по кредитной карте </w:t>
      </w:r>
      <w:r w:rsidR="0025121D">
        <w:rPr>
          <w:rFonts w:ascii="Times New Roman" w:hAnsi="Times New Roman" w:cs="Times New Roman"/>
          <w:sz w:val="24"/>
          <w:szCs w:val="24"/>
        </w:rPr>
        <w:t>нужно гасить как можно скорее</w:t>
      </w:r>
      <w:r w:rsidR="00165183">
        <w:rPr>
          <w:rFonts w:ascii="Times New Roman" w:hAnsi="Times New Roman" w:cs="Times New Roman"/>
          <w:sz w:val="24"/>
          <w:szCs w:val="24"/>
        </w:rPr>
        <w:t xml:space="preserve">. Следовательно, мы советуем все свободные средства после оплаты ипотеки направлять на </w:t>
      </w:r>
      <w:r w:rsidR="00E45FE3">
        <w:rPr>
          <w:rFonts w:ascii="Times New Roman" w:hAnsi="Times New Roman" w:cs="Times New Roman"/>
          <w:sz w:val="24"/>
          <w:szCs w:val="24"/>
        </w:rPr>
        <w:t>погашение долга по кредитной карте (выплата процентов и погашение тела долга).</w:t>
      </w:r>
    </w:p>
    <w:p w14:paraId="5CDAB4A9" w14:textId="25CE4E9E" w:rsidR="002C2DB7" w:rsidRDefault="002C2DB7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семье есть два ребенка, один из которых собирается поступать в университет. Нам предложен кредит по номинальной ставке 7</w:t>
      </w:r>
      <w:r w:rsidRPr="00EA5D47">
        <w:rPr>
          <w:rFonts w:ascii="Times New Roman" w:hAnsi="Times New Roman" w:cs="Times New Roman"/>
          <w:sz w:val="24"/>
          <w:szCs w:val="24"/>
        </w:rPr>
        <w:t>,9%</w:t>
      </w:r>
      <w:r>
        <w:rPr>
          <w:rFonts w:ascii="Times New Roman" w:hAnsi="Times New Roman" w:cs="Times New Roman"/>
          <w:sz w:val="24"/>
          <w:szCs w:val="24"/>
        </w:rPr>
        <w:t xml:space="preserve"> годовых (реальная зависит от года и прогноза инфляции – 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финмодель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7A52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условием выплаты только процентов первые 10 лет. Мы считаем, что выгоднее профинансировать образование за счёт заёмных средств с низким процентом, в то время как собственные средства вложить под более высокий процент. </w:t>
      </w:r>
    </w:p>
    <w:p w14:paraId="3F9C9226" w14:textId="64755FA1" w:rsidR="00D63482" w:rsidRDefault="00D63482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кредит выгоден ещё и тем, что тело долга увеличивается </w:t>
      </w:r>
      <w:r w:rsidR="00706FE1">
        <w:rPr>
          <w:rFonts w:ascii="Times New Roman" w:hAnsi="Times New Roman" w:cs="Times New Roman"/>
          <w:sz w:val="24"/>
          <w:szCs w:val="24"/>
        </w:rPr>
        <w:t>постепенно – каждый год на 600 тысяч рублей. Следовательно, процентная нагрузка первые месяцы довольно низкая, что позволяет нам на первых этапах больше инвестировать.</w:t>
      </w:r>
    </w:p>
    <w:p w14:paraId="65A4DD2B" w14:textId="4158AC51" w:rsidR="00752C5D" w:rsidRDefault="00752C5D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месяцы </w:t>
      </w:r>
      <w:r w:rsidR="00AF6ECE">
        <w:rPr>
          <w:rFonts w:ascii="Times New Roman" w:hAnsi="Times New Roman" w:cs="Times New Roman"/>
          <w:sz w:val="24"/>
          <w:szCs w:val="24"/>
        </w:rPr>
        <w:t>до 01.01.25 мы не будем иметь возможности для инвестирования</w:t>
      </w:r>
      <w:r w:rsidR="007E1190">
        <w:rPr>
          <w:rFonts w:ascii="Times New Roman" w:hAnsi="Times New Roman" w:cs="Times New Roman"/>
          <w:sz w:val="24"/>
          <w:szCs w:val="24"/>
        </w:rPr>
        <w:t xml:space="preserve">, так как все средства будут уходить на погашение текущих задолженностей. Но начиная с этого периода – появится положительный денежный поток, который мы можем направить на инвестиции. </w:t>
      </w:r>
    </w:p>
    <w:p w14:paraId="1D73955D" w14:textId="47C0E645" w:rsidR="000E2E21" w:rsidRDefault="000E2E21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Мы предполагаем, что основная инвестиционная цель семьи – это </w:t>
      </w:r>
      <w:r w:rsidR="004C2C41">
        <w:rPr>
          <w:rFonts w:ascii="Times New Roman" w:hAnsi="Times New Roman" w:cs="Times New Roman"/>
          <w:sz w:val="24"/>
          <w:szCs w:val="24"/>
        </w:rPr>
        <w:t>сохранение текущего уровня потребления по модели Модильяни – по нашим подсчётам для этого необходимо иметь через 20 лет сумму, равную 30 млн рублей в реальном выражении.</w:t>
      </w:r>
    </w:p>
    <w:p w14:paraId="336FB418" w14:textId="6C140940" w:rsidR="000013D9" w:rsidRDefault="007E1190" w:rsidP="004C2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нашей инвестиционной стратегии мы расскажем ниже.</w:t>
      </w:r>
    </w:p>
    <w:p w14:paraId="5F5CC2A1" w14:textId="77777777" w:rsidR="000013D9" w:rsidRPr="00126969" w:rsidRDefault="000013D9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Инвестиционная стратегия</w:t>
      </w:r>
    </w:p>
    <w:p w14:paraId="04A37707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8"/>
          <w:szCs w:val="28"/>
        </w:rPr>
      </w:pPr>
      <w:r w:rsidRPr="00316E03">
        <w:rPr>
          <w:rFonts w:ascii="Times New Roman" w:hAnsi="Times New Roman" w:cs="Times New Roman"/>
          <w:sz w:val="28"/>
          <w:szCs w:val="28"/>
        </w:rPr>
        <w:t>Составление портфеля</w:t>
      </w:r>
    </w:p>
    <w:p w14:paraId="0E1A0789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наши предпосылки:</w:t>
      </w:r>
    </w:p>
    <w:p w14:paraId="179FCAE5" w14:textId="4BA3F08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1. Не имеем доступа к зарубежным рынкам (по крайней мере в краткосрочной перспективе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7AFB">
        <w:rPr>
          <w:rFonts w:ascii="Times New Roman" w:hAnsi="Times New Roman" w:cs="Times New Roman"/>
          <w:sz w:val="24"/>
          <w:szCs w:val="24"/>
        </w:rPr>
        <w:t>:</w:t>
      </w:r>
    </w:p>
    <w:p w14:paraId="6837688A" w14:textId="6B4F46FA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минимизируем политические риски заморозки активов</w:t>
      </w:r>
      <w:r w:rsidR="003C7AFB">
        <w:rPr>
          <w:rFonts w:ascii="Times New Roman" w:hAnsi="Times New Roman" w:cs="Times New Roman"/>
          <w:sz w:val="24"/>
          <w:szCs w:val="24"/>
        </w:rPr>
        <w:t>.</w:t>
      </w:r>
    </w:p>
    <w:p w14:paraId="30B25C90" w14:textId="5B62E02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семья не имеет финансового образования и опыта в торговле на финансовых рынках, поэтому торговля на зарубежных рынках сопряжена и с б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16E03">
        <w:rPr>
          <w:rFonts w:ascii="Times New Roman" w:hAnsi="Times New Roman" w:cs="Times New Roman"/>
          <w:sz w:val="24"/>
          <w:szCs w:val="24"/>
        </w:rPr>
        <w:t>льшими финансовыми рисками</w:t>
      </w:r>
      <w:r w:rsidR="003C7AFB">
        <w:rPr>
          <w:rFonts w:ascii="Times New Roman" w:hAnsi="Times New Roman" w:cs="Times New Roman"/>
          <w:sz w:val="24"/>
          <w:szCs w:val="24"/>
        </w:rPr>
        <w:t>.</w:t>
      </w:r>
    </w:p>
    <w:p w14:paraId="4595BF67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2. Инвестируем в следующие классы активов: акции и облигации</w:t>
      </w:r>
    </w:p>
    <w:p w14:paraId="1CDCAA03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деривативы являются более рисковым финансовым инструментом по сравнению с "более классическими" активами и в основном используются при построении стратегий</w:t>
      </w:r>
    </w:p>
    <w:p w14:paraId="5872F587" w14:textId="561455DE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в семье нет квалифицированных инвесторов</w:t>
      </w:r>
      <w:r w:rsidR="00057306">
        <w:rPr>
          <w:rFonts w:ascii="Times New Roman" w:hAnsi="Times New Roman" w:cs="Times New Roman"/>
          <w:sz w:val="24"/>
          <w:szCs w:val="24"/>
        </w:rPr>
        <w:t>.</w:t>
      </w:r>
    </w:p>
    <w:p w14:paraId="7A8C5094" w14:textId="47F32662" w:rsidR="00445728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торговля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commodities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доступна только через фьючерсы, а этот фин. инструмент не доступен не квалифицированным инвесторам (или людям, прошедшим тест на знание соответствующих фин. инструментов)</w:t>
      </w:r>
      <w:r w:rsidR="00057306">
        <w:rPr>
          <w:rFonts w:ascii="Times New Roman" w:hAnsi="Times New Roman" w:cs="Times New Roman"/>
          <w:sz w:val="24"/>
          <w:szCs w:val="24"/>
        </w:rPr>
        <w:t>.</w:t>
      </w:r>
    </w:p>
    <w:p w14:paraId="2FECB082" w14:textId="760082D9" w:rsidR="00585DFC" w:rsidRDefault="00585DFC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инвестиции в недвижимость </w:t>
      </w:r>
      <w:r w:rsidR="008C220D">
        <w:rPr>
          <w:rFonts w:ascii="Times New Roman" w:hAnsi="Times New Roman" w:cs="Times New Roman"/>
          <w:sz w:val="24"/>
          <w:szCs w:val="24"/>
        </w:rPr>
        <w:t xml:space="preserve">не так </w:t>
      </w:r>
      <w:proofErr w:type="gramStart"/>
      <w:r w:rsidR="008C220D">
        <w:rPr>
          <w:rFonts w:ascii="Times New Roman" w:hAnsi="Times New Roman" w:cs="Times New Roman"/>
          <w:sz w:val="24"/>
          <w:szCs w:val="24"/>
        </w:rPr>
        <w:t>ликвидны</w:t>
      </w:r>
      <w:proofErr w:type="gramEnd"/>
      <w:r w:rsidR="008C220D">
        <w:rPr>
          <w:rFonts w:ascii="Times New Roman" w:hAnsi="Times New Roman" w:cs="Times New Roman"/>
          <w:sz w:val="24"/>
          <w:szCs w:val="24"/>
        </w:rPr>
        <w:t xml:space="preserve"> как ценные бумаги, а так же требуют значительных вложений на старте – этого семья позволить себе не может;</w:t>
      </w:r>
    </w:p>
    <w:p w14:paraId="2E6EBDF2" w14:textId="56E3F1E4" w:rsidR="00057306" w:rsidRPr="00316E03" w:rsidRDefault="00445728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среди облигаций выбираем только ОФЗ, так как </w:t>
      </w:r>
      <w:r w:rsidR="00057306">
        <w:rPr>
          <w:rFonts w:ascii="Times New Roman" w:hAnsi="Times New Roman" w:cs="Times New Roman"/>
          <w:sz w:val="24"/>
          <w:szCs w:val="24"/>
        </w:rPr>
        <w:t xml:space="preserve">важно </w:t>
      </w:r>
      <w:proofErr w:type="spellStart"/>
      <w:r w:rsidR="00057306">
        <w:rPr>
          <w:rFonts w:ascii="Times New Roman" w:hAnsi="Times New Roman" w:cs="Times New Roman"/>
          <w:sz w:val="24"/>
          <w:szCs w:val="24"/>
        </w:rPr>
        <w:t>митигировать</w:t>
      </w:r>
      <w:proofErr w:type="spellEnd"/>
      <w:r w:rsidR="00057306">
        <w:rPr>
          <w:rFonts w:ascii="Times New Roman" w:hAnsi="Times New Roman" w:cs="Times New Roman"/>
          <w:sz w:val="24"/>
          <w:szCs w:val="24"/>
        </w:rPr>
        <w:t xml:space="preserve"> кредитный риск по бондам (корпоративные облигации надёжных эмитентов дают незначительную премию по ОФЗ).</w:t>
      </w:r>
    </w:p>
    <w:p w14:paraId="7C84C2CE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3. Соотношение активов в портфеле: 55 / 45 (акции / облигации)  </w:t>
      </w:r>
    </w:p>
    <w:p w14:paraId="0C324184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получаем такое соотношение из задачи максимизации функции полезности при параметре избегания риска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gamma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= 3 ((Desjardins.com, 2023) (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Bodie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>., 2014))</w:t>
      </w:r>
    </w:p>
    <w:p w14:paraId="7F080EFC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при отборе акций в портфель ограничиваемся голубыми фишками (наиболее ликвидные акции) и дополнительно отбираем как минимум по одной акции из каждой из 15 отраслей</w:t>
      </w:r>
    </w:p>
    <w:p w14:paraId="7333D5ED" w14:textId="77777777" w:rsidR="000013D9" w:rsidRPr="00870826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мы рассматриваем исторический период в 5 лет </w:t>
      </w:r>
      <w:r w:rsidRPr="008708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870826">
        <w:rPr>
          <w:rFonts w:ascii="Times New Roman" w:hAnsi="Times New Roman" w:cs="Times New Roman"/>
          <w:sz w:val="24"/>
          <w:szCs w:val="24"/>
        </w:rPr>
        <w:t>., 2014)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Agrrawal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870826">
        <w:rPr>
          <w:rFonts w:ascii="Times New Roman" w:hAnsi="Times New Roman" w:cs="Times New Roman"/>
          <w:sz w:val="24"/>
          <w:szCs w:val="24"/>
        </w:rPr>
        <w:t xml:space="preserve">., </w:t>
      </w:r>
      <w:r w:rsidRPr="00A141EA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A2D305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выборе конкретного отрезка времени мы руководствовались следующими соображениями:</w:t>
      </w:r>
    </w:p>
    <w:p w14:paraId="4F862C46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рассмотрении периода времени до 2022 г. (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невключительно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>) мы теряем данные о текущем состоянии финансового рынка (в смысле волатильности и доходности)</w:t>
      </w:r>
    </w:p>
    <w:p w14:paraId="695D61E1" w14:textId="77777777" w:rsidR="000013D9" w:rsidRPr="00316E03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рассмотрении отрезка только после 2022 г. мы сокращаем временной ряд при подсчете коэффициента `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beta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` на месячных данных </w:t>
      </w:r>
    </w:p>
    <w:p w14:paraId="3E80D685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4. ERP = 6.5% RFR = 11.92% доходность 20-летних ОФЗ (см. кривую бескупонной доходности гос. облигаций с сайта ЦБ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E03">
        <w:rPr>
          <w:rFonts w:ascii="Times New Roman" w:hAnsi="Times New Roman" w:cs="Times New Roman"/>
          <w:sz w:val="24"/>
          <w:szCs w:val="24"/>
        </w:rPr>
        <w:t>(https://www.cbr.ru/hd_base/zcyc_params/zcyc/)), т. к. горизонт инвестирования составляет 20 лет.</w:t>
      </w:r>
    </w:p>
    <w:p w14:paraId="6FB287BA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DDB7D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составлении портфеля с описанными предпосылками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CAPM</w:t>
      </w:r>
      <w:r>
        <w:rPr>
          <w:rFonts w:ascii="Times New Roman" w:hAnsi="Times New Roman" w:cs="Times New Roman"/>
          <w:sz w:val="24"/>
          <w:szCs w:val="24"/>
        </w:rPr>
        <w:t xml:space="preserve">, реализованный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6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библиотеке</w:t>
      </w:r>
      <w:r w:rsidRPr="00160CF1">
        <w:rPr>
          <w:rFonts w:ascii="Times New Roman" w:hAnsi="Times New Roman" w:cs="Times New Roman"/>
          <w:sz w:val="24"/>
          <w:szCs w:val="24"/>
        </w:rPr>
        <w:t xml:space="preserve"> (Martin, 2021)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A1A0F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Итоговые собранный портфель представлен на диаграмме ниже.</w:t>
      </w:r>
    </w:p>
    <w:p w14:paraId="35B68E83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в будущем цены активов будут меняться, следовательно портфелю нужна регулярная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поддержания нужных пропорций акций. Мы предлагаем семье производить ее раз в месяц при получении заработной платы, внося средства на счет.</w:t>
      </w:r>
    </w:p>
    <w:p w14:paraId="378601FF" w14:textId="77777777" w:rsidR="000013D9" w:rsidRPr="00160CF1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того, в будущем доходность безрискового актива будет меняться, а значит нам следует пересчитывать доли активов в портфеле раз в какой-то промежуток времени. Учитывая большое количество внешних шоков на экономическую систему сегодня, мы предлагаем делать это раз в полгода.</w:t>
      </w:r>
    </w:p>
    <w:p w14:paraId="2B075547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16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9A19C" wp14:editId="36998888">
            <wp:extent cx="6645910" cy="3669665"/>
            <wp:effectExtent l="0" t="0" r="2540" b="6985"/>
            <wp:docPr id="38959596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5961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CC3" w14:textId="77777777" w:rsidR="000013D9" w:rsidRPr="000013D9" w:rsidRDefault="000013D9" w:rsidP="000013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AF8FC" w14:textId="77777777" w:rsidR="000013D9" w:rsidRPr="000013D9" w:rsidRDefault="000013D9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013D9">
        <w:rPr>
          <w:rFonts w:ascii="Times New Roman" w:hAnsi="Times New Roman" w:cs="Times New Roman"/>
          <w:sz w:val="32"/>
          <w:szCs w:val="32"/>
        </w:rPr>
        <w:t xml:space="preserve">Торговый алгоритм на </w:t>
      </w:r>
      <w:r w:rsidRPr="000013D9">
        <w:rPr>
          <w:rFonts w:ascii="Times New Roman" w:hAnsi="Times New Roman" w:cs="Times New Roman"/>
          <w:sz w:val="32"/>
          <w:szCs w:val="32"/>
          <w:lang w:val="en-US"/>
        </w:rPr>
        <w:t>Python</w:t>
      </w:r>
    </w:p>
    <w:p w14:paraId="451E7D7D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написали алгоритм, имитирующий нашу стратегию: раз в месяц он добавляет на инвестиционный счет какую-то сумму (когда семья получает заработную плату) и цены активов, установившиеся на рынке. Исходя из этой информации, 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имеющийся с прошлого периода портфель, и ждет окончания нового месяца, чтобы повторить процедуру.</w:t>
      </w:r>
    </w:p>
    <w:p w14:paraId="3DC1091D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передав нашему алгоритму правила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(желаемые доли активов в портфеле) и ряды цен активов, мы получим от него те же действия и их результаты, которые бы увидели в реальном мире, следуя нашей стратегии.</w:t>
      </w:r>
    </w:p>
    <w:p w14:paraId="31877C2C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позволяет нам пронаблюдать за динамикой накоплений семьи в зависимости от разных шоков, рассчитать итоговую сумму, доступную к пенсии, на множестве рядов цен (в том числе сгенерированных нами методом Монте-Карло), смоделировать поведенческие ошибки (например, отсутствие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портфеля) и посмотреть, к чему они приводят.</w:t>
      </w:r>
    </w:p>
    <w:p w14:paraId="35B36745" w14:textId="77777777" w:rsidR="000013D9" w:rsidRPr="00870826" w:rsidRDefault="000013D9" w:rsidP="00001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Monte</w:t>
      </w:r>
      <w:r w:rsidRPr="0087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Carlo</w:t>
      </w:r>
      <w:r w:rsidRPr="0087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Simulations</w:t>
      </w:r>
    </w:p>
    <w:p w14:paraId="3E8DA040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Нами</w:t>
      </w:r>
      <w:r w:rsidRPr="009F6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сгенерировано 5000 возможных будущих реализаций финансового рынка, используя метод Монте-Карло, популярный в количественных финансах </w:t>
      </w:r>
      <w:r w:rsidRPr="009F6E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9A">
        <w:rPr>
          <w:rFonts w:ascii="Times New Roman" w:hAnsi="Times New Roman" w:cs="Times New Roman"/>
          <w:sz w:val="24"/>
          <w:szCs w:val="24"/>
        </w:rPr>
        <w:t>Boyle</w:t>
      </w:r>
      <w:proofErr w:type="spellEnd"/>
      <w:r w:rsidRPr="009F6E9A">
        <w:rPr>
          <w:rFonts w:ascii="Times New Roman" w:hAnsi="Times New Roman" w:cs="Times New Roman"/>
          <w:sz w:val="24"/>
          <w:szCs w:val="24"/>
        </w:rPr>
        <w:t>, 1977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A499D73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генерации рядов, взяв за исходную наиболее часто используемую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Geometric</w:t>
      </w:r>
      <w:r w:rsidRPr="0065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Brownian</w:t>
      </w:r>
      <w:r w:rsidRPr="0065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Motion</w:t>
      </w:r>
      <w:r>
        <w:rPr>
          <w:rFonts w:ascii="Times New Roman" w:hAnsi="Times New Roman" w:cs="Times New Roman"/>
          <w:sz w:val="24"/>
          <w:szCs w:val="24"/>
        </w:rPr>
        <w:t xml:space="preserve">, мы учитывали не только параметры самого ряда, но и их связь между собой – ковариации между ценами разных активов </w:t>
      </w:r>
      <w:r w:rsidRPr="00654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772">
        <w:rPr>
          <w:rFonts w:ascii="Times New Roman" w:hAnsi="Times New Roman" w:cs="Times New Roman"/>
          <w:sz w:val="24"/>
          <w:szCs w:val="24"/>
        </w:rPr>
        <w:t>Burgess</w:t>
      </w:r>
      <w:proofErr w:type="spellEnd"/>
      <w:r w:rsidRPr="00654772">
        <w:rPr>
          <w:rFonts w:ascii="Times New Roman" w:hAnsi="Times New Roman" w:cs="Times New Roman"/>
          <w:sz w:val="24"/>
          <w:szCs w:val="24"/>
        </w:rPr>
        <w:t>, 2022)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A3BB0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Загрузив полученные ряды в наш алгоритм, мы получили распределение (в реальном выражении, в сегодняшних ценах) накопленной к пенсии суммы.</w:t>
      </w:r>
    </w:p>
    <w:p w14:paraId="5040B2E4" w14:textId="77777777" w:rsidR="000013D9" w:rsidRPr="009F6E9A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 w:rsidRPr="00654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79F5A" wp14:editId="14490049">
            <wp:extent cx="6645910" cy="5247005"/>
            <wp:effectExtent l="0" t="0" r="2540" b="0"/>
            <wp:docPr id="156784653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653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A81" w14:textId="77777777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F4ADD" w14:textId="58ECF535" w:rsidR="000013D9" w:rsidRDefault="000013D9" w:rsidP="000013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с шансом более 86% наша стратегия приносит больше денег, чем «безрисковая» стратегия (инвестиции только в гос. облигации), и больше, чем наша минимальная поставленная цель – 30 миллионов рублей (реальных) к пенсии.</w:t>
      </w:r>
    </w:p>
    <w:p w14:paraId="61F2ECDE" w14:textId="58CA3683" w:rsidR="00F9622E" w:rsidRDefault="000013D9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будущей инфляции мы воспользовались рыночной информацией (разница ставок по облигациям) и учли прошлый опыт Центрального Банка сведения инфляции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Finlay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Wende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>, 2018) (FAU, 2023)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E76A3" w14:textId="7369361A" w:rsidR="00165AEE" w:rsidRDefault="00F9622E" w:rsidP="00F96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A1849" w14:textId="0616807A" w:rsidR="00165AEE" w:rsidRPr="005E13B0" w:rsidRDefault="00165AEE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13B0">
        <w:rPr>
          <w:rFonts w:ascii="Times New Roman" w:hAnsi="Times New Roman" w:cs="Times New Roman"/>
          <w:sz w:val="32"/>
          <w:szCs w:val="32"/>
        </w:rPr>
        <w:lastRenderedPageBreak/>
        <w:t xml:space="preserve">Про </w:t>
      </w:r>
      <w:r w:rsidR="005E13B0" w:rsidRPr="005E13B0">
        <w:rPr>
          <w:rFonts w:ascii="Times New Roman" w:hAnsi="Times New Roman" w:cs="Times New Roman"/>
          <w:sz w:val="32"/>
          <w:szCs w:val="32"/>
        </w:rPr>
        <w:t>налоги</w:t>
      </w:r>
      <w:r w:rsidR="009E7E18">
        <w:rPr>
          <w:rFonts w:ascii="Times New Roman" w:hAnsi="Times New Roman" w:cs="Times New Roman"/>
          <w:sz w:val="32"/>
          <w:szCs w:val="32"/>
        </w:rPr>
        <w:t>, выбор брокера и</w:t>
      </w:r>
      <w:r w:rsidR="005E13B0" w:rsidRPr="005E13B0">
        <w:rPr>
          <w:rFonts w:ascii="Times New Roman" w:hAnsi="Times New Roman" w:cs="Times New Roman"/>
          <w:sz w:val="32"/>
          <w:szCs w:val="32"/>
        </w:rPr>
        <w:t xml:space="preserve"> </w:t>
      </w:r>
      <w:r w:rsidRPr="005E13B0">
        <w:rPr>
          <w:rFonts w:ascii="Times New Roman" w:hAnsi="Times New Roman" w:cs="Times New Roman"/>
          <w:sz w:val="32"/>
          <w:szCs w:val="32"/>
        </w:rPr>
        <w:t>тип ИИС</w:t>
      </w:r>
    </w:p>
    <w:p w14:paraId="24D70632" w14:textId="233F5755" w:rsidR="002F04C9" w:rsidRDefault="00165AEE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</w:t>
      </w:r>
      <w:r w:rsidR="003C0E26">
        <w:rPr>
          <w:rFonts w:ascii="Times New Roman" w:hAnsi="Times New Roman" w:cs="Times New Roman"/>
          <w:sz w:val="24"/>
          <w:szCs w:val="24"/>
        </w:rPr>
        <w:t xml:space="preserve">шей модели </w:t>
      </w:r>
      <w:r w:rsidR="00EA338A">
        <w:rPr>
          <w:rFonts w:ascii="Times New Roman" w:hAnsi="Times New Roman" w:cs="Times New Roman"/>
          <w:sz w:val="24"/>
          <w:szCs w:val="24"/>
        </w:rPr>
        <w:t xml:space="preserve">мы предполагаем отсутствие дивидендов, а </w:t>
      </w:r>
      <w:proofErr w:type="spellStart"/>
      <w:r w:rsidR="00EA338A">
        <w:rPr>
          <w:rFonts w:ascii="Times New Roman" w:hAnsi="Times New Roman" w:cs="Times New Roman"/>
          <w:sz w:val="24"/>
          <w:szCs w:val="24"/>
        </w:rPr>
        <w:t>ребалансировка</w:t>
      </w:r>
      <w:proofErr w:type="spellEnd"/>
      <w:r w:rsidR="00EA338A">
        <w:rPr>
          <w:rFonts w:ascii="Times New Roman" w:hAnsi="Times New Roman" w:cs="Times New Roman"/>
          <w:sz w:val="24"/>
          <w:szCs w:val="24"/>
        </w:rPr>
        <w:t xml:space="preserve"> провидится с помощью покупки </w:t>
      </w:r>
      <w:r w:rsidR="009F04DC">
        <w:rPr>
          <w:rFonts w:ascii="Times New Roman" w:hAnsi="Times New Roman" w:cs="Times New Roman"/>
          <w:sz w:val="24"/>
          <w:szCs w:val="24"/>
        </w:rPr>
        <w:t>активов до ну</w:t>
      </w:r>
      <w:r w:rsidR="002F04C9">
        <w:rPr>
          <w:rFonts w:ascii="Times New Roman" w:hAnsi="Times New Roman" w:cs="Times New Roman"/>
          <w:sz w:val="24"/>
          <w:szCs w:val="24"/>
        </w:rPr>
        <w:t>ж</w:t>
      </w:r>
      <w:r w:rsidR="009F04DC">
        <w:rPr>
          <w:rFonts w:ascii="Times New Roman" w:hAnsi="Times New Roman" w:cs="Times New Roman"/>
          <w:sz w:val="24"/>
          <w:szCs w:val="24"/>
        </w:rPr>
        <w:t>ных пропорций (то есть не предполагается продажа ценных бумаг и фиксация таким образом прибыли).</w:t>
      </w:r>
      <w:r w:rsidR="002F04C9">
        <w:rPr>
          <w:rFonts w:ascii="Times New Roman" w:hAnsi="Times New Roman" w:cs="Times New Roman"/>
          <w:sz w:val="24"/>
          <w:szCs w:val="24"/>
        </w:rPr>
        <w:t xml:space="preserve"> Тем самым, налог с доходов от </w:t>
      </w:r>
      <w:proofErr w:type="spellStart"/>
      <w:r w:rsidR="002F04C9">
        <w:rPr>
          <w:rFonts w:ascii="Times New Roman" w:hAnsi="Times New Roman" w:cs="Times New Roman"/>
          <w:sz w:val="24"/>
          <w:szCs w:val="24"/>
        </w:rPr>
        <w:t>инвестпорфтеля</w:t>
      </w:r>
      <w:proofErr w:type="spellEnd"/>
      <w:r w:rsidR="002F04C9">
        <w:rPr>
          <w:rFonts w:ascii="Times New Roman" w:hAnsi="Times New Roman" w:cs="Times New Roman"/>
          <w:sz w:val="24"/>
          <w:szCs w:val="24"/>
        </w:rPr>
        <w:t xml:space="preserve"> мы </w:t>
      </w:r>
      <w:r w:rsidR="003B7DA9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2F04C9">
        <w:rPr>
          <w:rFonts w:ascii="Times New Roman" w:hAnsi="Times New Roman" w:cs="Times New Roman"/>
          <w:sz w:val="24"/>
          <w:szCs w:val="24"/>
        </w:rPr>
        <w:t>выплати</w:t>
      </w:r>
      <w:r w:rsidR="003B7DA9">
        <w:rPr>
          <w:rFonts w:ascii="Times New Roman" w:hAnsi="Times New Roman" w:cs="Times New Roman"/>
          <w:sz w:val="24"/>
          <w:szCs w:val="24"/>
        </w:rPr>
        <w:t>ть</w:t>
      </w:r>
      <w:r w:rsidR="002F04C9">
        <w:rPr>
          <w:rFonts w:ascii="Times New Roman" w:hAnsi="Times New Roman" w:cs="Times New Roman"/>
          <w:sz w:val="24"/>
          <w:szCs w:val="24"/>
        </w:rPr>
        <w:t xml:space="preserve"> единственный раз </w:t>
      </w:r>
      <w:r w:rsidR="003F7B9C">
        <w:rPr>
          <w:rFonts w:ascii="Times New Roman" w:hAnsi="Times New Roman" w:cs="Times New Roman"/>
          <w:sz w:val="24"/>
          <w:szCs w:val="24"/>
        </w:rPr>
        <w:t xml:space="preserve">– через 20 лет, в момент выхода на пенсию. </w:t>
      </w:r>
      <w:r w:rsidR="00E32D96">
        <w:rPr>
          <w:rFonts w:ascii="Times New Roman" w:hAnsi="Times New Roman" w:cs="Times New Roman"/>
          <w:sz w:val="24"/>
          <w:szCs w:val="24"/>
        </w:rPr>
        <w:t xml:space="preserve">В связи с этим нужно </w:t>
      </w:r>
      <w:r w:rsidR="00464002">
        <w:rPr>
          <w:rFonts w:ascii="Times New Roman" w:hAnsi="Times New Roman" w:cs="Times New Roman"/>
          <w:sz w:val="24"/>
          <w:szCs w:val="24"/>
        </w:rPr>
        <w:t>рассмотреть</w:t>
      </w:r>
      <w:r w:rsidR="002F3C1C">
        <w:rPr>
          <w:rFonts w:ascii="Times New Roman" w:hAnsi="Times New Roman" w:cs="Times New Roman"/>
          <w:sz w:val="24"/>
          <w:szCs w:val="24"/>
        </w:rPr>
        <w:t xml:space="preserve"> разные возможности</w:t>
      </w:r>
      <w:r w:rsidR="00464002">
        <w:rPr>
          <w:rFonts w:ascii="Times New Roman" w:hAnsi="Times New Roman" w:cs="Times New Roman"/>
          <w:sz w:val="24"/>
          <w:szCs w:val="24"/>
        </w:rPr>
        <w:t xml:space="preserve"> для инвестиционного счёта: </w:t>
      </w:r>
      <w:r w:rsidR="008F6693">
        <w:rPr>
          <w:rFonts w:ascii="Times New Roman" w:hAnsi="Times New Roman" w:cs="Times New Roman"/>
          <w:sz w:val="24"/>
          <w:szCs w:val="24"/>
        </w:rPr>
        <w:t>тип А предполагает налоговый вычет в размере 13% от суммы</w:t>
      </w:r>
      <w:r w:rsidR="00734777">
        <w:rPr>
          <w:rFonts w:ascii="Times New Roman" w:hAnsi="Times New Roman" w:cs="Times New Roman"/>
          <w:sz w:val="24"/>
          <w:szCs w:val="24"/>
        </w:rPr>
        <w:t>, внесённой в течение года</w:t>
      </w:r>
      <w:r w:rsidR="00074E13">
        <w:rPr>
          <w:rFonts w:ascii="Times New Roman" w:hAnsi="Times New Roman" w:cs="Times New Roman"/>
          <w:sz w:val="24"/>
          <w:szCs w:val="24"/>
        </w:rPr>
        <w:t xml:space="preserve"> </w:t>
      </w:r>
      <w:r w:rsidR="00734777">
        <w:rPr>
          <w:rFonts w:ascii="Times New Roman" w:hAnsi="Times New Roman" w:cs="Times New Roman"/>
          <w:sz w:val="24"/>
          <w:szCs w:val="24"/>
        </w:rPr>
        <w:t xml:space="preserve">на ИИС; </w:t>
      </w:r>
      <w:r w:rsidR="003C559A">
        <w:rPr>
          <w:rFonts w:ascii="Times New Roman" w:hAnsi="Times New Roman" w:cs="Times New Roman"/>
          <w:sz w:val="24"/>
          <w:szCs w:val="24"/>
        </w:rPr>
        <w:t>тип Б – освобождение от налогов</w:t>
      </w:r>
      <w:r w:rsidR="00B07A2C">
        <w:rPr>
          <w:rFonts w:ascii="Times New Roman" w:hAnsi="Times New Roman" w:cs="Times New Roman"/>
          <w:sz w:val="24"/>
          <w:szCs w:val="24"/>
        </w:rPr>
        <w:t xml:space="preserve"> на весь период владения счёто</w:t>
      </w:r>
      <w:r w:rsidR="00AD5295">
        <w:rPr>
          <w:rFonts w:ascii="Times New Roman" w:hAnsi="Times New Roman" w:cs="Times New Roman"/>
          <w:sz w:val="24"/>
          <w:szCs w:val="24"/>
        </w:rPr>
        <w:t>м. Наша команда по</w:t>
      </w:r>
      <w:r w:rsidR="00DE32AA">
        <w:rPr>
          <w:rFonts w:ascii="Times New Roman" w:hAnsi="Times New Roman" w:cs="Times New Roman"/>
          <w:sz w:val="24"/>
          <w:szCs w:val="24"/>
        </w:rPr>
        <w:t>лагает</w:t>
      </w:r>
      <w:r w:rsidR="00AD5295">
        <w:rPr>
          <w:rFonts w:ascii="Times New Roman" w:hAnsi="Times New Roman" w:cs="Times New Roman"/>
          <w:sz w:val="24"/>
          <w:szCs w:val="24"/>
        </w:rPr>
        <w:t xml:space="preserve">, что при сумме на счёте свыше </w:t>
      </w:r>
      <w:r w:rsidR="00AD5295" w:rsidRPr="00AD5295">
        <w:rPr>
          <w:rFonts w:ascii="Times New Roman" w:hAnsi="Times New Roman" w:cs="Times New Roman"/>
          <w:sz w:val="24"/>
          <w:szCs w:val="24"/>
        </w:rPr>
        <w:t xml:space="preserve">3.200.000 </w:t>
      </w:r>
      <w:r w:rsidR="00AD5295">
        <w:rPr>
          <w:rFonts w:ascii="Times New Roman" w:hAnsi="Times New Roman" w:cs="Times New Roman"/>
          <w:sz w:val="24"/>
          <w:szCs w:val="24"/>
        </w:rPr>
        <w:t xml:space="preserve">рублей выгодно открыть </w:t>
      </w:r>
      <w:r w:rsidR="007C0D7D">
        <w:rPr>
          <w:rFonts w:ascii="Times New Roman" w:hAnsi="Times New Roman" w:cs="Times New Roman"/>
          <w:sz w:val="24"/>
          <w:szCs w:val="24"/>
        </w:rPr>
        <w:t xml:space="preserve">счёт Б. Такая сумма на нашем счёте окажется </w:t>
      </w:r>
      <w:r w:rsidR="00DE32AA">
        <w:rPr>
          <w:rFonts w:ascii="Times New Roman" w:hAnsi="Times New Roman" w:cs="Times New Roman"/>
          <w:sz w:val="24"/>
          <w:szCs w:val="24"/>
        </w:rPr>
        <w:t xml:space="preserve">довольно скоро – </w:t>
      </w:r>
      <w:r w:rsidR="007C0D7D">
        <w:rPr>
          <w:rFonts w:ascii="Times New Roman" w:hAnsi="Times New Roman" w:cs="Times New Roman"/>
          <w:sz w:val="24"/>
          <w:szCs w:val="24"/>
        </w:rPr>
        <w:t>спустя 2 года</w:t>
      </w:r>
      <w:r w:rsidR="00481871">
        <w:rPr>
          <w:rFonts w:ascii="Times New Roman" w:hAnsi="Times New Roman" w:cs="Times New Roman"/>
          <w:sz w:val="24"/>
          <w:szCs w:val="24"/>
        </w:rPr>
        <w:t xml:space="preserve">. Следовательно, имеет смысл сразу открыть ИИС типа Б </w:t>
      </w:r>
      <w:r w:rsidR="005E13B0">
        <w:rPr>
          <w:rFonts w:ascii="Times New Roman" w:hAnsi="Times New Roman" w:cs="Times New Roman"/>
          <w:sz w:val="24"/>
          <w:szCs w:val="24"/>
        </w:rPr>
        <w:t xml:space="preserve">и инвестировать с его помощью, не выплачивая налогов за доходы от </w:t>
      </w:r>
      <w:proofErr w:type="spellStart"/>
      <w:r w:rsidR="005E13B0">
        <w:rPr>
          <w:rFonts w:ascii="Times New Roman" w:hAnsi="Times New Roman" w:cs="Times New Roman"/>
          <w:sz w:val="24"/>
          <w:szCs w:val="24"/>
        </w:rPr>
        <w:t>инвестпортфеля</w:t>
      </w:r>
      <w:proofErr w:type="spellEnd"/>
      <w:r w:rsidR="005E13B0">
        <w:rPr>
          <w:rFonts w:ascii="Times New Roman" w:hAnsi="Times New Roman" w:cs="Times New Roman"/>
          <w:sz w:val="24"/>
          <w:szCs w:val="24"/>
        </w:rPr>
        <w:t>.</w:t>
      </w:r>
    </w:p>
    <w:p w14:paraId="1BCA430E" w14:textId="45BF4636" w:rsidR="00AF26C8" w:rsidRDefault="00352619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всех лицензированных брокеров </w:t>
      </w:r>
      <w:r w:rsidR="00EB12E7">
        <w:rPr>
          <w:rFonts w:ascii="Times New Roman" w:hAnsi="Times New Roman" w:cs="Times New Roman"/>
          <w:sz w:val="24"/>
          <w:szCs w:val="24"/>
        </w:rPr>
        <w:t>комиссии</w:t>
      </w:r>
      <w:r>
        <w:rPr>
          <w:rFonts w:ascii="Times New Roman" w:hAnsi="Times New Roman" w:cs="Times New Roman"/>
          <w:sz w:val="24"/>
          <w:szCs w:val="24"/>
        </w:rPr>
        <w:t xml:space="preserve"> за сделки обслуживание счёта примерно одинаковые, </w:t>
      </w:r>
      <w:r w:rsidR="00EB12E7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нет разницы, у кого именно открыть счёт. Наша команда рекомендует открыть ИИС в Альфа-Инвестициях, так как </w:t>
      </w:r>
      <w:r w:rsidR="00EB12E7">
        <w:rPr>
          <w:rFonts w:ascii="Times New Roman" w:hAnsi="Times New Roman" w:cs="Times New Roman"/>
          <w:sz w:val="24"/>
          <w:szCs w:val="24"/>
        </w:rPr>
        <w:t>некоторые</w:t>
      </w:r>
      <w:r>
        <w:rPr>
          <w:rFonts w:ascii="Times New Roman" w:hAnsi="Times New Roman" w:cs="Times New Roman"/>
          <w:sz w:val="24"/>
          <w:szCs w:val="24"/>
        </w:rPr>
        <w:t xml:space="preserve"> участники пользуются </w:t>
      </w:r>
      <w:r w:rsidR="00EB12E7">
        <w:rPr>
          <w:rFonts w:ascii="Times New Roman" w:hAnsi="Times New Roman" w:cs="Times New Roman"/>
          <w:sz w:val="24"/>
          <w:szCs w:val="24"/>
        </w:rPr>
        <w:t xml:space="preserve">услугами данной компании много лет, кроме того, в Альфе удобный торговый терминал и хорошая техподдержка. </w:t>
      </w:r>
    </w:p>
    <w:p w14:paraId="54C6158A" w14:textId="229D1F72" w:rsidR="00AC5D77" w:rsidRPr="00AC5D77" w:rsidRDefault="00AC5D77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5D77">
        <w:rPr>
          <w:rFonts w:ascii="Times New Roman" w:hAnsi="Times New Roman" w:cs="Times New Roman"/>
          <w:sz w:val="32"/>
          <w:szCs w:val="32"/>
        </w:rPr>
        <w:t xml:space="preserve">Риски стратегии и их </w:t>
      </w:r>
      <w:proofErr w:type="spellStart"/>
      <w:r w:rsidRPr="00AC5D77">
        <w:rPr>
          <w:rFonts w:ascii="Times New Roman" w:hAnsi="Times New Roman" w:cs="Times New Roman"/>
          <w:sz w:val="32"/>
          <w:szCs w:val="32"/>
        </w:rPr>
        <w:t>митигация</w:t>
      </w:r>
      <w:proofErr w:type="spellEnd"/>
    </w:p>
    <w:p w14:paraId="1021B982" w14:textId="30486EEF" w:rsidR="00EB081E" w:rsidRDefault="00570FCA" w:rsidP="00570F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081E">
        <w:rPr>
          <w:rFonts w:ascii="Times New Roman" w:hAnsi="Times New Roman" w:cs="Times New Roman"/>
          <w:b/>
          <w:bCs/>
          <w:sz w:val="24"/>
          <w:szCs w:val="24"/>
        </w:rPr>
        <w:t>Инфляционный риск</w:t>
      </w:r>
      <w:r w:rsidR="00EB081E">
        <w:rPr>
          <w:rFonts w:ascii="Times New Roman" w:hAnsi="Times New Roman" w:cs="Times New Roman"/>
          <w:sz w:val="24"/>
          <w:szCs w:val="24"/>
        </w:rPr>
        <w:t xml:space="preserve"> </w:t>
      </w:r>
      <w:r w:rsidRPr="00163B62">
        <w:rPr>
          <w:rFonts w:ascii="Times New Roman" w:hAnsi="Times New Roman" w:cs="Times New Roman"/>
          <w:sz w:val="24"/>
          <w:szCs w:val="24"/>
        </w:rPr>
        <w:t xml:space="preserve">заключается в возможности обесценения денежных активов. </w:t>
      </w:r>
      <w:r w:rsidR="00A35A07" w:rsidRPr="00163B62">
        <w:rPr>
          <w:rFonts w:ascii="Times New Roman" w:hAnsi="Times New Roman" w:cs="Times New Roman"/>
          <w:sz w:val="24"/>
          <w:szCs w:val="24"/>
        </w:rPr>
        <w:t>Последствия</w:t>
      </w:r>
      <w:r w:rsidR="00163B62" w:rsidRPr="00163B62">
        <w:rPr>
          <w:rFonts w:ascii="Times New Roman" w:hAnsi="Times New Roman" w:cs="Times New Roman"/>
          <w:sz w:val="24"/>
          <w:szCs w:val="24"/>
        </w:rPr>
        <w:t xml:space="preserve"> данного риска смягчаются тем, что </w:t>
      </w:r>
      <w:r w:rsidR="00774FC9">
        <w:rPr>
          <w:rFonts w:ascii="Times New Roman" w:hAnsi="Times New Roman" w:cs="Times New Roman"/>
          <w:sz w:val="24"/>
          <w:szCs w:val="24"/>
        </w:rPr>
        <w:t>свободные деньги инвестируем в том числе в ОФЗ,</w:t>
      </w:r>
      <w:r w:rsidR="00310CA9">
        <w:rPr>
          <w:rFonts w:ascii="Times New Roman" w:hAnsi="Times New Roman" w:cs="Times New Roman"/>
          <w:sz w:val="24"/>
          <w:szCs w:val="24"/>
        </w:rPr>
        <w:t xml:space="preserve"> по которым процент</w:t>
      </w:r>
      <w:r w:rsidR="00774FC9">
        <w:rPr>
          <w:rFonts w:ascii="Times New Roman" w:hAnsi="Times New Roman" w:cs="Times New Roman"/>
          <w:sz w:val="24"/>
          <w:szCs w:val="24"/>
        </w:rPr>
        <w:t xml:space="preserve"> </w:t>
      </w:r>
      <w:r w:rsidR="00310CA9">
        <w:rPr>
          <w:rFonts w:ascii="Times New Roman" w:hAnsi="Times New Roman" w:cs="Times New Roman"/>
          <w:sz w:val="24"/>
          <w:szCs w:val="24"/>
        </w:rPr>
        <w:t xml:space="preserve">по </w:t>
      </w:r>
      <w:r w:rsidR="00774FC9">
        <w:rPr>
          <w:rFonts w:ascii="Times New Roman" w:hAnsi="Times New Roman" w:cs="Times New Roman"/>
          <w:sz w:val="24"/>
          <w:szCs w:val="24"/>
        </w:rPr>
        <w:t>куп</w:t>
      </w:r>
      <w:r w:rsidR="00310CA9">
        <w:rPr>
          <w:rFonts w:ascii="Times New Roman" w:hAnsi="Times New Roman" w:cs="Times New Roman"/>
          <w:sz w:val="24"/>
          <w:szCs w:val="24"/>
        </w:rPr>
        <w:t>онным</w:t>
      </w:r>
      <w:r w:rsidR="00774FC9">
        <w:rPr>
          <w:rFonts w:ascii="Times New Roman" w:hAnsi="Times New Roman" w:cs="Times New Roman"/>
          <w:sz w:val="24"/>
          <w:szCs w:val="24"/>
        </w:rPr>
        <w:t xml:space="preserve"> </w:t>
      </w:r>
      <w:r w:rsidR="00310CA9">
        <w:rPr>
          <w:rFonts w:ascii="Times New Roman" w:hAnsi="Times New Roman" w:cs="Times New Roman"/>
          <w:sz w:val="24"/>
          <w:szCs w:val="24"/>
        </w:rPr>
        <w:t>выплатам</w:t>
      </w:r>
      <w:r w:rsidR="00774FC9">
        <w:rPr>
          <w:rFonts w:ascii="Times New Roman" w:hAnsi="Times New Roman" w:cs="Times New Roman"/>
          <w:sz w:val="24"/>
          <w:szCs w:val="24"/>
        </w:rPr>
        <w:t xml:space="preserve">, как правило, </w:t>
      </w:r>
      <w:r w:rsidR="00310CA9">
        <w:rPr>
          <w:rFonts w:ascii="Times New Roman" w:hAnsi="Times New Roman" w:cs="Times New Roman"/>
          <w:sz w:val="24"/>
          <w:szCs w:val="24"/>
        </w:rPr>
        <w:t>равен инфляции или покрывает её.</w:t>
      </w:r>
      <w:r w:rsidR="00774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1EEBA" w14:textId="77777777" w:rsidR="00EB081E" w:rsidRDefault="00EB081E" w:rsidP="00EB0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56335B2" w14:textId="578C3051" w:rsidR="00AB66FD" w:rsidRDefault="00570FCA" w:rsidP="00570F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081E">
        <w:rPr>
          <w:rFonts w:ascii="Times New Roman" w:hAnsi="Times New Roman" w:cs="Times New Roman"/>
          <w:b/>
          <w:bCs/>
          <w:sz w:val="24"/>
          <w:szCs w:val="24"/>
        </w:rPr>
        <w:t>Риск процентной ставки</w:t>
      </w:r>
      <w:r w:rsidR="00EB081E">
        <w:rPr>
          <w:rFonts w:ascii="Times New Roman" w:hAnsi="Times New Roman" w:cs="Times New Roman"/>
          <w:sz w:val="24"/>
          <w:szCs w:val="24"/>
        </w:rPr>
        <w:t xml:space="preserve"> связан с будущим </w:t>
      </w:r>
      <w:r w:rsidRPr="00EB081E">
        <w:rPr>
          <w:rFonts w:ascii="Times New Roman" w:hAnsi="Times New Roman" w:cs="Times New Roman"/>
          <w:sz w:val="24"/>
          <w:szCs w:val="24"/>
        </w:rPr>
        <w:t>повышение уровня процентных</w:t>
      </w:r>
      <w:r w:rsidR="00EB081E">
        <w:rPr>
          <w:rFonts w:ascii="Times New Roman" w:hAnsi="Times New Roman" w:cs="Times New Roman"/>
          <w:sz w:val="24"/>
          <w:szCs w:val="24"/>
        </w:rPr>
        <w:t xml:space="preserve"> </w:t>
      </w:r>
      <w:r w:rsidRPr="00EB081E">
        <w:rPr>
          <w:rFonts w:ascii="Times New Roman" w:hAnsi="Times New Roman" w:cs="Times New Roman"/>
          <w:sz w:val="24"/>
          <w:szCs w:val="24"/>
        </w:rPr>
        <w:t>ставок</w:t>
      </w:r>
      <w:r w:rsidR="00EB081E">
        <w:rPr>
          <w:rFonts w:ascii="Times New Roman" w:hAnsi="Times New Roman" w:cs="Times New Roman"/>
          <w:sz w:val="24"/>
          <w:szCs w:val="24"/>
        </w:rPr>
        <w:t xml:space="preserve">. </w:t>
      </w:r>
      <w:r w:rsidR="00891DC4">
        <w:rPr>
          <w:rFonts w:ascii="Times New Roman" w:hAnsi="Times New Roman" w:cs="Times New Roman"/>
          <w:sz w:val="24"/>
          <w:szCs w:val="24"/>
        </w:rPr>
        <w:t xml:space="preserve">Между уровнем процентных ставок в экономике и </w:t>
      </w:r>
      <w:r w:rsidR="00070F31">
        <w:rPr>
          <w:rFonts w:ascii="Times New Roman" w:hAnsi="Times New Roman" w:cs="Times New Roman"/>
          <w:sz w:val="24"/>
          <w:szCs w:val="24"/>
        </w:rPr>
        <w:t xml:space="preserve">ценой облигации существует </w:t>
      </w:r>
      <w:r w:rsidR="00A207A0">
        <w:rPr>
          <w:rFonts w:ascii="Times New Roman" w:hAnsi="Times New Roman" w:cs="Times New Roman"/>
          <w:sz w:val="24"/>
          <w:szCs w:val="24"/>
        </w:rPr>
        <w:t>дивергенция</w:t>
      </w:r>
      <w:r w:rsidR="00070F31">
        <w:rPr>
          <w:rFonts w:ascii="Times New Roman" w:hAnsi="Times New Roman" w:cs="Times New Roman"/>
          <w:sz w:val="24"/>
          <w:szCs w:val="24"/>
        </w:rPr>
        <w:t>, однако она существенна лишь для облигаций с «длинным» сроком погашения, в то время как в портфеле, который мы рекомендуем</w:t>
      </w:r>
      <w:r w:rsidR="00A207A0">
        <w:rPr>
          <w:rFonts w:ascii="Times New Roman" w:hAnsi="Times New Roman" w:cs="Times New Roman"/>
          <w:sz w:val="24"/>
          <w:szCs w:val="24"/>
        </w:rPr>
        <w:t>, имеются как короткие, так и длинные облигации (ОФЗ). Значительно важнее то, что эти облигации, как и все активы, рекомендуется держать на протяжении 20 лет до</w:t>
      </w:r>
      <w:r w:rsidR="00632FE5">
        <w:rPr>
          <w:rFonts w:ascii="Times New Roman" w:hAnsi="Times New Roman" w:cs="Times New Roman"/>
          <w:sz w:val="24"/>
          <w:szCs w:val="24"/>
        </w:rPr>
        <w:t xml:space="preserve"> их погашения – это полностью нивелирует процентный риск.</w:t>
      </w:r>
    </w:p>
    <w:p w14:paraId="6A0FA5A2" w14:textId="77777777" w:rsidR="00AB66FD" w:rsidRPr="00AB66FD" w:rsidRDefault="00AB66FD" w:rsidP="00AB66F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036DBC" w14:textId="3BB4A074" w:rsidR="00AB66FD" w:rsidRDefault="00570FCA" w:rsidP="00AB66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6FD">
        <w:rPr>
          <w:rFonts w:ascii="Times New Roman" w:hAnsi="Times New Roman" w:cs="Times New Roman"/>
          <w:b/>
          <w:bCs/>
          <w:sz w:val="24"/>
          <w:szCs w:val="24"/>
        </w:rPr>
        <w:t>Валютный риск</w:t>
      </w:r>
      <w:r w:rsidR="00AB66FD">
        <w:rPr>
          <w:rFonts w:ascii="Times New Roman" w:hAnsi="Times New Roman" w:cs="Times New Roman"/>
          <w:sz w:val="24"/>
          <w:szCs w:val="24"/>
        </w:rPr>
        <w:t xml:space="preserve"> – риск колебаний валютного курса, влияющий на </w:t>
      </w:r>
      <w:r w:rsidR="00FF4CEC">
        <w:rPr>
          <w:rFonts w:ascii="Times New Roman" w:hAnsi="Times New Roman" w:cs="Times New Roman"/>
          <w:sz w:val="24"/>
          <w:szCs w:val="24"/>
        </w:rPr>
        <w:t xml:space="preserve">величину </w:t>
      </w:r>
      <w:r w:rsidR="00AB66FD">
        <w:rPr>
          <w:rFonts w:ascii="Times New Roman" w:hAnsi="Times New Roman" w:cs="Times New Roman"/>
          <w:sz w:val="24"/>
          <w:szCs w:val="24"/>
        </w:rPr>
        <w:t>денежны</w:t>
      </w:r>
      <w:r w:rsidR="00FF4CEC">
        <w:rPr>
          <w:rFonts w:ascii="Times New Roman" w:hAnsi="Times New Roman" w:cs="Times New Roman"/>
          <w:sz w:val="24"/>
          <w:szCs w:val="24"/>
        </w:rPr>
        <w:t>х</w:t>
      </w:r>
      <w:r w:rsidR="00AB66FD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FF4CEC">
        <w:rPr>
          <w:rFonts w:ascii="Times New Roman" w:hAnsi="Times New Roman" w:cs="Times New Roman"/>
          <w:sz w:val="24"/>
          <w:szCs w:val="24"/>
        </w:rPr>
        <w:t>ов</w:t>
      </w:r>
      <w:r w:rsidR="00AB66FD">
        <w:rPr>
          <w:rFonts w:ascii="Times New Roman" w:hAnsi="Times New Roman" w:cs="Times New Roman"/>
          <w:sz w:val="24"/>
          <w:szCs w:val="24"/>
        </w:rPr>
        <w:t xml:space="preserve">. В нашей стратегии данный риск </w:t>
      </w:r>
      <w:r w:rsidR="00FF4CEC">
        <w:rPr>
          <w:rFonts w:ascii="Times New Roman" w:hAnsi="Times New Roman" w:cs="Times New Roman"/>
          <w:sz w:val="24"/>
          <w:szCs w:val="24"/>
        </w:rPr>
        <w:t>отсутствует</w:t>
      </w:r>
      <w:r w:rsidR="00AB66FD">
        <w:rPr>
          <w:rFonts w:ascii="Times New Roman" w:hAnsi="Times New Roman" w:cs="Times New Roman"/>
          <w:sz w:val="24"/>
          <w:szCs w:val="24"/>
        </w:rPr>
        <w:t xml:space="preserve">, так как мы рекомендуем </w:t>
      </w:r>
      <w:r w:rsidR="00FF4CEC">
        <w:rPr>
          <w:rFonts w:ascii="Times New Roman" w:hAnsi="Times New Roman" w:cs="Times New Roman"/>
          <w:sz w:val="24"/>
          <w:szCs w:val="24"/>
        </w:rPr>
        <w:t>инвестировать</w:t>
      </w:r>
      <w:r w:rsidR="00AB66FD">
        <w:rPr>
          <w:rFonts w:ascii="Times New Roman" w:hAnsi="Times New Roman" w:cs="Times New Roman"/>
          <w:sz w:val="24"/>
          <w:szCs w:val="24"/>
        </w:rPr>
        <w:t xml:space="preserve"> только в отечественные активы в связи с </w:t>
      </w:r>
      <w:r w:rsidR="00FF4CEC">
        <w:rPr>
          <w:rFonts w:ascii="Times New Roman" w:hAnsi="Times New Roman" w:cs="Times New Roman"/>
          <w:sz w:val="24"/>
          <w:szCs w:val="24"/>
        </w:rPr>
        <w:t>внешними ограничениями и высокими трансакционными издержками.</w:t>
      </w:r>
      <w:r w:rsidR="001730AB">
        <w:rPr>
          <w:rFonts w:ascii="Times New Roman" w:hAnsi="Times New Roman" w:cs="Times New Roman"/>
          <w:sz w:val="24"/>
          <w:szCs w:val="24"/>
        </w:rPr>
        <w:t xml:space="preserve"> Колебания валютного курса влияют на экономику в целом, в </w:t>
      </w:r>
      <w:r w:rsidR="00EA6CA0">
        <w:rPr>
          <w:rFonts w:ascii="Times New Roman" w:hAnsi="Times New Roman" w:cs="Times New Roman"/>
          <w:sz w:val="24"/>
          <w:szCs w:val="24"/>
        </w:rPr>
        <w:t>частности, на</w:t>
      </w:r>
      <w:r w:rsidR="001730AB">
        <w:rPr>
          <w:rFonts w:ascii="Times New Roman" w:hAnsi="Times New Roman" w:cs="Times New Roman"/>
          <w:sz w:val="24"/>
          <w:szCs w:val="24"/>
        </w:rPr>
        <w:t xml:space="preserve"> цены на импортные товары, однако это относится к инфляционному риску, </w:t>
      </w:r>
      <w:proofErr w:type="spellStart"/>
      <w:r w:rsidR="0040608C">
        <w:rPr>
          <w:rFonts w:ascii="Times New Roman" w:hAnsi="Times New Roman" w:cs="Times New Roman"/>
          <w:sz w:val="24"/>
          <w:szCs w:val="24"/>
        </w:rPr>
        <w:t>митигация</w:t>
      </w:r>
      <w:proofErr w:type="spellEnd"/>
      <w:r w:rsidR="0040608C">
        <w:rPr>
          <w:rFonts w:ascii="Times New Roman" w:hAnsi="Times New Roman" w:cs="Times New Roman"/>
          <w:sz w:val="24"/>
          <w:szCs w:val="24"/>
        </w:rPr>
        <w:t xml:space="preserve"> которого описана выше.</w:t>
      </w:r>
    </w:p>
    <w:p w14:paraId="51E6B232" w14:textId="77777777" w:rsidR="00AB66FD" w:rsidRPr="00AB66FD" w:rsidRDefault="00AB66FD" w:rsidP="00AB66F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CCD5A6" w14:textId="3C2DAA5F" w:rsidR="005E13B0" w:rsidRDefault="00570FCA" w:rsidP="004060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08C">
        <w:rPr>
          <w:rFonts w:ascii="Times New Roman" w:hAnsi="Times New Roman" w:cs="Times New Roman"/>
          <w:b/>
          <w:bCs/>
          <w:sz w:val="24"/>
          <w:szCs w:val="24"/>
        </w:rPr>
        <w:t>Специфический риск</w:t>
      </w:r>
      <w:r w:rsidRPr="00570FCA">
        <w:rPr>
          <w:rFonts w:ascii="Times New Roman" w:hAnsi="Times New Roman" w:cs="Times New Roman"/>
          <w:sz w:val="24"/>
          <w:szCs w:val="24"/>
        </w:rPr>
        <w:t xml:space="preserve"> присущ конкретному активу/отрасли и проистекающий из его</w:t>
      </w:r>
      <w:r w:rsidR="0040608C">
        <w:rPr>
          <w:rFonts w:ascii="Times New Roman" w:hAnsi="Times New Roman" w:cs="Times New Roman"/>
          <w:sz w:val="24"/>
          <w:szCs w:val="24"/>
        </w:rPr>
        <w:t xml:space="preserve"> </w:t>
      </w:r>
      <w:r w:rsidRPr="0040608C">
        <w:rPr>
          <w:rFonts w:ascii="Times New Roman" w:hAnsi="Times New Roman" w:cs="Times New Roman"/>
          <w:sz w:val="24"/>
          <w:szCs w:val="24"/>
        </w:rPr>
        <w:t>внутренних особенностей, связан с внутренними факторами деятельности предприятий</w:t>
      </w:r>
      <w:r w:rsidR="0040608C">
        <w:rPr>
          <w:rFonts w:ascii="Times New Roman" w:hAnsi="Times New Roman" w:cs="Times New Roman"/>
          <w:sz w:val="24"/>
          <w:szCs w:val="24"/>
        </w:rPr>
        <w:t>-</w:t>
      </w:r>
      <w:r w:rsidRPr="0040608C">
        <w:rPr>
          <w:rFonts w:ascii="Times New Roman" w:hAnsi="Times New Roman" w:cs="Times New Roman"/>
          <w:sz w:val="24"/>
          <w:szCs w:val="24"/>
        </w:rPr>
        <w:t xml:space="preserve">эмитентов </w:t>
      </w:r>
      <w:r w:rsidR="0040608C"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40608C">
        <w:rPr>
          <w:rFonts w:ascii="Times New Roman" w:hAnsi="Times New Roman" w:cs="Times New Roman"/>
          <w:sz w:val="24"/>
          <w:szCs w:val="24"/>
        </w:rPr>
        <w:t xml:space="preserve">ценных бумаг. Данный риск мы </w:t>
      </w:r>
      <w:proofErr w:type="spellStart"/>
      <w:r w:rsidRPr="0040608C">
        <w:rPr>
          <w:rFonts w:ascii="Times New Roman" w:hAnsi="Times New Roman" w:cs="Times New Roman"/>
          <w:sz w:val="24"/>
          <w:szCs w:val="24"/>
        </w:rPr>
        <w:t>митигируем</w:t>
      </w:r>
      <w:proofErr w:type="spellEnd"/>
      <w:r w:rsidRPr="0040608C">
        <w:rPr>
          <w:rFonts w:ascii="Times New Roman" w:hAnsi="Times New Roman" w:cs="Times New Roman"/>
          <w:sz w:val="24"/>
          <w:szCs w:val="24"/>
        </w:rPr>
        <w:t xml:space="preserve"> при помощи хорошей диверсификации</w:t>
      </w:r>
      <w:r w:rsidR="0040608C">
        <w:rPr>
          <w:rFonts w:ascii="Times New Roman" w:hAnsi="Times New Roman" w:cs="Times New Roman"/>
          <w:sz w:val="24"/>
          <w:szCs w:val="24"/>
        </w:rPr>
        <w:t xml:space="preserve"> </w:t>
      </w:r>
      <w:r w:rsidRPr="0040608C">
        <w:rPr>
          <w:rFonts w:ascii="Times New Roman" w:hAnsi="Times New Roman" w:cs="Times New Roman"/>
          <w:sz w:val="24"/>
          <w:szCs w:val="24"/>
        </w:rPr>
        <w:t>вложений.</w:t>
      </w:r>
    </w:p>
    <w:p w14:paraId="179DB7F3" w14:textId="77777777" w:rsidR="00AF26C8" w:rsidRPr="00AF26C8" w:rsidRDefault="00AF26C8" w:rsidP="00AF26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C3EEC" w14:textId="3CE5F6B7" w:rsidR="00AC5D77" w:rsidRDefault="00766208" w:rsidP="00570FCA">
      <w:pPr>
        <w:jc w:val="both"/>
        <w:rPr>
          <w:rFonts w:ascii="Times New Roman" w:hAnsi="Times New Roman" w:cs="Times New Roman"/>
          <w:sz w:val="24"/>
          <w:szCs w:val="24"/>
        </w:rPr>
      </w:pPr>
      <w:r w:rsidRPr="00766208">
        <w:rPr>
          <w:rFonts w:ascii="Times New Roman" w:hAnsi="Times New Roman" w:cs="Times New Roman"/>
          <w:sz w:val="32"/>
          <w:szCs w:val="32"/>
        </w:rPr>
        <w:t>Поведенческие ошибки</w:t>
      </w:r>
    </w:p>
    <w:p w14:paraId="13FA3316" w14:textId="3F776E7F" w:rsidR="00766208" w:rsidRDefault="005467A3" w:rsidP="005467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Люди склоны к </w:t>
      </w:r>
      <w:r w:rsidRPr="00246EE9">
        <w:rPr>
          <w:rFonts w:ascii="Times New Roman" w:hAnsi="Times New Roman" w:cs="Times New Roman"/>
          <w:b/>
          <w:bCs/>
          <w:sz w:val="24"/>
          <w:szCs w:val="24"/>
        </w:rPr>
        <w:t>избеганию потерь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546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aversion</w:t>
      </w:r>
      <w:r w:rsidRPr="005467A3">
        <w:rPr>
          <w:rFonts w:ascii="Times New Roman" w:hAnsi="Times New Roman" w:cs="Times New Roman"/>
          <w:sz w:val="24"/>
          <w:szCs w:val="24"/>
        </w:rPr>
        <w:t>,</w:t>
      </w:r>
      <w:r w:rsidR="002E3D27" w:rsidRPr="002E3D27">
        <w:t xml:space="preserve"> </w:t>
      </w:r>
      <w:proofErr w:type="spellStart"/>
      <w:r w:rsidR="002E3D27" w:rsidRPr="002E3D27">
        <w:rPr>
          <w:rFonts w:ascii="Times New Roman" w:hAnsi="Times New Roman" w:cs="Times New Roman"/>
          <w:sz w:val="24"/>
          <w:szCs w:val="24"/>
        </w:rPr>
        <w:t>Kahneman</w:t>
      </w:r>
      <w:proofErr w:type="spellEnd"/>
      <w:r w:rsidR="002E3D27" w:rsidRPr="002E3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D27" w:rsidRPr="002E3D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E3D27" w:rsidRPr="002E3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D27" w:rsidRPr="002E3D27">
        <w:rPr>
          <w:rFonts w:ascii="Times New Roman" w:hAnsi="Times New Roman" w:cs="Times New Roman"/>
          <w:sz w:val="24"/>
          <w:szCs w:val="24"/>
        </w:rPr>
        <w:t>Tversky</w:t>
      </w:r>
      <w:proofErr w:type="spellEnd"/>
      <w:r w:rsidR="002E3D27" w:rsidRPr="002E3D27">
        <w:rPr>
          <w:rFonts w:ascii="Times New Roman" w:hAnsi="Times New Roman" w:cs="Times New Roman"/>
          <w:sz w:val="24"/>
          <w:szCs w:val="24"/>
        </w:rPr>
        <w:t xml:space="preserve"> (1992)</w:t>
      </w:r>
      <w:r w:rsidR="00693072" w:rsidRPr="00693072">
        <w:rPr>
          <w:rFonts w:ascii="Times New Roman" w:hAnsi="Times New Roman" w:cs="Times New Roman"/>
          <w:sz w:val="24"/>
          <w:szCs w:val="24"/>
        </w:rPr>
        <w:t>)</w:t>
      </w:r>
      <w:r w:rsidR="002E3D27" w:rsidRPr="00BB0D5F">
        <w:rPr>
          <w:rFonts w:ascii="Times New Roman" w:hAnsi="Times New Roman" w:cs="Times New Roman"/>
          <w:sz w:val="24"/>
          <w:szCs w:val="24"/>
        </w:rPr>
        <w:t xml:space="preserve">. </w:t>
      </w:r>
      <w:r w:rsidR="003E70A8">
        <w:rPr>
          <w:rFonts w:ascii="Times New Roman" w:hAnsi="Times New Roman" w:cs="Times New Roman"/>
          <w:sz w:val="24"/>
          <w:szCs w:val="24"/>
        </w:rPr>
        <w:t xml:space="preserve">Этот </w:t>
      </w:r>
      <w:r w:rsidR="00246EE9">
        <w:rPr>
          <w:rFonts w:ascii="Times New Roman" w:hAnsi="Times New Roman" w:cs="Times New Roman"/>
          <w:sz w:val="24"/>
          <w:szCs w:val="24"/>
        </w:rPr>
        <w:t>эффект, в частности,</w:t>
      </w:r>
      <w:r w:rsidR="003E70A8">
        <w:rPr>
          <w:rFonts w:ascii="Times New Roman" w:hAnsi="Times New Roman" w:cs="Times New Roman"/>
          <w:sz w:val="24"/>
          <w:szCs w:val="24"/>
        </w:rPr>
        <w:t xml:space="preserve"> означает, что </w:t>
      </w:r>
      <w:r w:rsidR="002911AC">
        <w:rPr>
          <w:rFonts w:ascii="Times New Roman" w:hAnsi="Times New Roman" w:cs="Times New Roman"/>
          <w:sz w:val="24"/>
          <w:szCs w:val="24"/>
        </w:rPr>
        <w:t xml:space="preserve">Дмитрий и Наталья вполне </w:t>
      </w:r>
      <w:r w:rsidR="002F18DF">
        <w:rPr>
          <w:rFonts w:ascii="Times New Roman" w:hAnsi="Times New Roman" w:cs="Times New Roman"/>
          <w:sz w:val="24"/>
          <w:szCs w:val="24"/>
        </w:rPr>
        <w:t>могут</w:t>
      </w:r>
      <w:r w:rsidR="003E70A8">
        <w:rPr>
          <w:rFonts w:ascii="Times New Roman" w:hAnsi="Times New Roman" w:cs="Times New Roman"/>
          <w:sz w:val="24"/>
          <w:szCs w:val="24"/>
        </w:rPr>
        <w:t xml:space="preserve"> принят</w:t>
      </w:r>
      <w:r w:rsidR="00246EE9">
        <w:rPr>
          <w:rFonts w:ascii="Times New Roman" w:hAnsi="Times New Roman" w:cs="Times New Roman"/>
          <w:sz w:val="24"/>
          <w:szCs w:val="24"/>
        </w:rPr>
        <w:t>ь</w:t>
      </w:r>
      <w:r w:rsidR="003E70A8">
        <w:rPr>
          <w:rFonts w:ascii="Times New Roman" w:hAnsi="Times New Roman" w:cs="Times New Roman"/>
          <w:sz w:val="24"/>
          <w:szCs w:val="24"/>
        </w:rPr>
        <w:t xml:space="preserve"> импульсивны</w:t>
      </w:r>
      <w:r w:rsidR="00246EE9">
        <w:rPr>
          <w:rFonts w:ascii="Times New Roman" w:hAnsi="Times New Roman" w:cs="Times New Roman"/>
          <w:sz w:val="24"/>
          <w:szCs w:val="24"/>
        </w:rPr>
        <w:t>е</w:t>
      </w:r>
      <w:r w:rsidR="003E70A8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246EE9">
        <w:rPr>
          <w:rFonts w:ascii="Times New Roman" w:hAnsi="Times New Roman" w:cs="Times New Roman"/>
          <w:sz w:val="24"/>
          <w:szCs w:val="24"/>
        </w:rPr>
        <w:t>я</w:t>
      </w:r>
      <w:r w:rsidR="003E70A8">
        <w:rPr>
          <w:rFonts w:ascii="Times New Roman" w:hAnsi="Times New Roman" w:cs="Times New Roman"/>
          <w:sz w:val="24"/>
          <w:szCs w:val="24"/>
        </w:rPr>
        <w:t xml:space="preserve"> при виде некоторой </w:t>
      </w:r>
      <w:r w:rsidR="00246EE9">
        <w:rPr>
          <w:rFonts w:ascii="Times New Roman" w:hAnsi="Times New Roman" w:cs="Times New Roman"/>
          <w:sz w:val="24"/>
          <w:szCs w:val="24"/>
        </w:rPr>
        <w:t>«</w:t>
      </w:r>
      <w:r w:rsidR="003E70A8">
        <w:rPr>
          <w:rFonts w:ascii="Times New Roman" w:hAnsi="Times New Roman" w:cs="Times New Roman"/>
          <w:sz w:val="24"/>
          <w:szCs w:val="24"/>
        </w:rPr>
        <w:t>просадки</w:t>
      </w:r>
      <w:r w:rsidR="00246EE9">
        <w:rPr>
          <w:rFonts w:ascii="Times New Roman" w:hAnsi="Times New Roman" w:cs="Times New Roman"/>
          <w:sz w:val="24"/>
          <w:szCs w:val="24"/>
        </w:rPr>
        <w:t>»</w:t>
      </w:r>
      <w:r w:rsidR="003E70A8">
        <w:rPr>
          <w:rFonts w:ascii="Times New Roman" w:hAnsi="Times New Roman" w:cs="Times New Roman"/>
          <w:sz w:val="24"/>
          <w:szCs w:val="24"/>
        </w:rPr>
        <w:t xml:space="preserve"> </w:t>
      </w:r>
      <w:r w:rsidR="00246EE9">
        <w:rPr>
          <w:rFonts w:ascii="Times New Roman" w:hAnsi="Times New Roman" w:cs="Times New Roman"/>
          <w:sz w:val="24"/>
          <w:szCs w:val="24"/>
        </w:rPr>
        <w:t>портфеля в краткосрочном периоде и преждевременно закрыть его, боясь получить ещё больший убыток.</w:t>
      </w:r>
    </w:p>
    <w:p w14:paraId="5C4422E7" w14:textId="77777777" w:rsidR="00B53C96" w:rsidRPr="00B53C96" w:rsidRDefault="00B53C96" w:rsidP="00B53C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13F" w14:textId="354CBC09" w:rsidR="00A00C26" w:rsidRDefault="00B61042" w:rsidP="00A00C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CA0">
        <w:rPr>
          <w:rFonts w:ascii="Times New Roman" w:hAnsi="Times New Roman" w:cs="Times New Roman"/>
          <w:b/>
          <w:bCs/>
          <w:sz w:val="24"/>
          <w:szCs w:val="24"/>
        </w:rPr>
        <w:t>Гиперболическое дисконтирование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29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A29E0" w:rsidRPr="009A29E0">
        <w:rPr>
          <w:rFonts w:ascii="Times New Roman" w:hAnsi="Times New Roman" w:cs="Times New Roman"/>
          <w:sz w:val="24"/>
          <w:szCs w:val="24"/>
        </w:rPr>
        <w:t>O'Donoghue</w:t>
      </w:r>
      <w:proofErr w:type="spellEnd"/>
      <w:r w:rsidR="009A29E0" w:rsidRPr="009A2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9E0" w:rsidRPr="009A29E0">
        <w:rPr>
          <w:rFonts w:ascii="Times New Roman" w:hAnsi="Times New Roman" w:cs="Times New Roman"/>
          <w:sz w:val="24"/>
          <w:szCs w:val="24"/>
        </w:rPr>
        <w:t>Rabin</w:t>
      </w:r>
      <w:proofErr w:type="spellEnd"/>
      <w:r w:rsidR="009A29E0" w:rsidRPr="009A29E0">
        <w:rPr>
          <w:rFonts w:ascii="Times New Roman" w:hAnsi="Times New Roman" w:cs="Times New Roman"/>
          <w:sz w:val="24"/>
          <w:szCs w:val="24"/>
        </w:rPr>
        <w:t>, 2001</w:t>
      </w:r>
      <w:r w:rsidR="009A29E0">
        <w:rPr>
          <w:rFonts w:ascii="Times New Roman" w:hAnsi="Times New Roman" w:cs="Times New Roman"/>
          <w:sz w:val="24"/>
          <w:szCs w:val="24"/>
        </w:rPr>
        <w:t>)</w:t>
      </w:r>
      <w:r w:rsidR="00EA6CA0">
        <w:rPr>
          <w:rFonts w:ascii="Times New Roman" w:hAnsi="Times New Roman" w:cs="Times New Roman"/>
          <w:sz w:val="24"/>
          <w:szCs w:val="24"/>
        </w:rPr>
        <w:t xml:space="preserve"> связано с переоценкой людьми своих будущих возможностей в сфере самоконтроля. Например, пусть Наталья и Дмитрий прислушаются к нашим </w:t>
      </w:r>
      <w:r w:rsidR="00EB2488">
        <w:rPr>
          <w:rFonts w:ascii="Times New Roman" w:hAnsi="Times New Roman" w:cs="Times New Roman"/>
          <w:sz w:val="24"/>
          <w:szCs w:val="24"/>
        </w:rPr>
        <w:t>рекомендациям</w:t>
      </w:r>
      <w:r w:rsidR="00EA6CA0">
        <w:rPr>
          <w:rFonts w:ascii="Times New Roman" w:hAnsi="Times New Roman" w:cs="Times New Roman"/>
          <w:sz w:val="24"/>
          <w:szCs w:val="24"/>
        </w:rPr>
        <w:t xml:space="preserve"> и примут ре</w:t>
      </w:r>
      <w:r w:rsidR="00EB2488">
        <w:rPr>
          <w:rFonts w:ascii="Times New Roman" w:hAnsi="Times New Roman" w:cs="Times New Roman"/>
          <w:sz w:val="24"/>
          <w:szCs w:val="24"/>
        </w:rPr>
        <w:t>ш</w:t>
      </w:r>
      <w:r w:rsidR="00EA6CA0">
        <w:rPr>
          <w:rFonts w:ascii="Times New Roman" w:hAnsi="Times New Roman" w:cs="Times New Roman"/>
          <w:sz w:val="24"/>
          <w:szCs w:val="24"/>
        </w:rPr>
        <w:t>ение о</w:t>
      </w:r>
      <w:r w:rsidR="00EB2488">
        <w:rPr>
          <w:rFonts w:ascii="Times New Roman" w:hAnsi="Times New Roman" w:cs="Times New Roman"/>
          <w:sz w:val="24"/>
          <w:szCs w:val="24"/>
        </w:rPr>
        <w:t>б</w:t>
      </w:r>
      <w:r w:rsidR="00EA6CA0">
        <w:rPr>
          <w:rFonts w:ascii="Times New Roman" w:hAnsi="Times New Roman" w:cs="Times New Roman"/>
          <w:sz w:val="24"/>
          <w:szCs w:val="24"/>
        </w:rPr>
        <w:t xml:space="preserve"> </w:t>
      </w:r>
      <w:r w:rsidR="00FF55C6">
        <w:rPr>
          <w:rFonts w:ascii="Times New Roman" w:hAnsi="Times New Roman" w:cs="Times New Roman"/>
          <w:sz w:val="24"/>
          <w:szCs w:val="24"/>
        </w:rPr>
        <w:t>откр</w:t>
      </w:r>
      <w:r w:rsidR="00EB2488">
        <w:rPr>
          <w:rFonts w:ascii="Times New Roman" w:hAnsi="Times New Roman" w:cs="Times New Roman"/>
          <w:sz w:val="24"/>
          <w:szCs w:val="24"/>
        </w:rPr>
        <w:t>ы</w:t>
      </w:r>
      <w:r w:rsidR="00FF55C6">
        <w:rPr>
          <w:rFonts w:ascii="Times New Roman" w:hAnsi="Times New Roman" w:cs="Times New Roman"/>
          <w:sz w:val="24"/>
          <w:szCs w:val="24"/>
        </w:rPr>
        <w:t xml:space="preserve">тии счёта и начале </w:t>
      </w:r>
      <w:r w:rsidR="00EB2488">
        <w:rPr>
          <w:rFonts w:ascii="Times New Roman" w:hAnsi="Times New Roman" w:cs="Times New Roman"/>
          <w:sz w:val="24"/>
          <w:szCs w:val="24"/>
        </w:rPr>
        <w:t>инвестирования</w:t>
      </w:r>
      <w:r w:rsidR="00FF55C6">
        <w:rPr>
          <w:rFonts w:ascii="Times New Roman" w:hAnsi="Times New Roman" w:cs="Times New Roman"/>
          <w:sz w:val="24"/>
          <w:szCs w:val="24"/>
        </w:rPr>
        <w:t>. Однако в месяц, когда у них в первые появится с</w:t>
      </w:r>
      <w:r w:rsidR="00EB2488">
        <w:rPr>
          <w:rFonts w:ascii="Times New Roman" w:hAnsi="Times New Roman" w:cs="Times New Roman"/>
          <w:sz w:val="24"/>
          <w:szCs w:val="24"/>
        </w:rPr>
        <w:t>в</w:t>
      </w:r>
      <w:r w:rsidR="00FF55C6">
        <w:rPr>
          <w:rFonts w:ascii="Times New Roman" w:hAnsi="Times New Roman" w:cs="Times New Roman"/>
          <w:sz w:val="24"/>
          <w:szCs w:val="24"/>
        </w:rPr>
        <w:t>ободный денежный поток, они предпочтут внезапно (даже для самих себя</w:t>
      </w:r>
      <w:r w:rsidR="00DD7AFB">
        <w:rPr>
          <w:rFonts w:ascii="Times New Roman" w:hAnsi="Times New Roman" w:cs="Times New Roman"/>
          <w:sz w:val="24"/>
          <w:szCs w:val="24"/>
        </w:rPr>
        <w:t xml:space="preserve">) потратить деньги на дорогой ресторан, а не на инвестиции, как они изначально планировали. Эту проблему </w:t>
      </w:r>
      <w:r w:rsidR="00EB2488">
        <w:rPr>
          <w:rFonts w:ascii="Times New Roman" w:hAnsi="Times New Roman" w:cs="Times New Roman"/>
          <w:sz w:val="24"/>
          <w:szCs w:val="24"/>
        </w:rPr>
        <w:t xml:space="preserve">можно решить с помощью </w:t>
      </w:r>
      <w:proofErr w:type="spellStart"/>
      <w:r w:rsidR="00EB2488">
        <w:rPr>
          <w:rFonts w:ascii="Times New Roman" w:hAnsi="Times New Roman" w:cs="Times New Roman"/>
          <w:sz w:val="24"/>
          <w:szCs w:val="24"/>
        </w:rPr>
        <w:t>коммитмента</w:t>
      </w:r>
      <w:proofErr w:type="spellEnd"/>
      <w:r w:rsidR="00EB2488">
        <w:rPr>
          <w:rFonts w:ascii="Times New Roman" w:hAnsi="Times New Roman" w:cs="Times New Roman"/>
          <w:sz w:val="24"/>
          <w:szCs w:val="24"/>
        </w:rPr>
        <w:t xml:space="preserve">, например, заключить с банком </w:t>
      </w:r>
      <w:r w:rsidR="00A00C26">
        <w:rPr>
          <w:rFonts w:ascii="Times New Roman" w:hAnsi="Times New Roman" w:cs="Times New Roman"/>
          <w:sz w:val="24"/>
          <w:szCs w:val="24"/>
        </w:rPr>
        <w:t xml:space="preserve">персональное </w:t>
      </w:r>
      <w:r w:rsidR="00EB2488">
        <w:rPr>
          <w:rFonts w:ascii="Times New Roman" w:hAnsi="Times New Roman" w:cs="Times New Roman"/>
          <w:sz w:val="24"/>
          <w:szCs w:val="24"/>
        </w:rPr>
        <w:t>соглашение о</w:t>
      </w:r>
      <w:r w:rsidR="00B53C96">
        <w:rPr>
          <w:rFonts w:ascii="Times New Roman" w:hAnsi="Times New Roman" w:cs="Times New Roman"/>
          <w:sz w:val="24"/>
          <w:szCs w:val="24"/>
        </w:rPr>
        <w:t xml:space="preserve"> регулярном перечислении необходимой суммы сразу на брокерский счёт сразу, как только приходит </w:t>
      </w:r>
      <w:r w:rsidR="00A00C26">
        <w:rPr>
          <w:rFonts w:ascii="Times New Roman" w:hAnsi="Times New Roman" w:cs="Times New Roman"/>
          <w:sz w:val="24"/>
          <w:szCs w:val="24"/>
        </w:rPr>
        <w:t>зарплата</w:t>
      </w:r>
      <w:r w:rsidR="00B53C96">
        <w:rPr>
          <w:rFonts w:ascii="Times New Roman" w:hAnsi="Times New Roman" w:cs="Times New Roman"/>
          <w:sz w:val="24"/>
          <w:szCs w:val="24"/>
        </w:rPr>
        <w:t>.</w:t>
      </w:r>
    </w:p>
    <w:p w14:paraId="64841F81" w14:textId="77777777" w:rsidR="00A00C26" w:rsidRPr="00A00C26" w:rsidRDefault="00A00C26" w:rsidP="00A00C2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9E0073" w14:textId="1B9E7C7D" w:rsidR="00A00C26" w:rsidRPr="00A00C26" w:rsidRDefault="00A00C26" w:rsidP="00A00C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проблемы могут приводить к </w:t>
      </w:r>
      <w:r w:rsidR="00B30320">
        <w:rPr>
          <w:rFonts w:ascii="Times New Roman" w:hAnsi="Times New Roman" w:cs="Times New Roman"/>
          <w:sz w:val="24"/>
          <w:szCs w:val="24"/>
        </w:rPr>
        <w:t xml:space="preserve">проблемам с </w:t>
      </w:r>
      <w:proofErr w:type="spellStart"/>
      <w:r w:rsidR="00B30320">
        <w:rPr>
          <w:rFonts w:ascii="Times New Roman" w:hAnsi="Times New Roman" w:cs="Times New Roman"/>
          <w:sz w:val="24"/>
          <w:szCs w:val="24"/>
        </w:rPr>
        <w:t>ребалансировкой</w:t>
      </w:r>
      <w:proofErr w:type="spellEnd"/>
      <w:r w:rsidR="00B303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смещению портфеля с </w:t>
      </w:r>
      <w:r w:rsidR="00B30320">
        <w:rPr>
          <w:rFonts w:ascii="Times New Roman" w:hAnsi="Times New Roman" w:cs="Times New Roman"/>
          <w:sz w:val="24"/>
          <w:szCs w:val="24"/>
        </w:rPr>
        <w:t>кривой эффективных портфелей и делать инвестиции менее выгодными.</w:t>
      </w:r>
    </w:p>
    <w:p w14:paraId="79A44C62" w14:textId="77777777" w:rsidR="00FF55C6" w:rsidRDefault="00FF55C6" w:rsidP="00EB248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3DBBB86" w14:textId="1A4ED0FA" w:rsidR="00766208" w:rsidRDefault="00766208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 w:rsidRPr="00766208">
        <w:rPr>
          <w:rFonts w:ascii="Times New Roman" w:hAnsi="Times New Roman" w:cs="Times New Roman"/>
          <w:sz w:val="32"/>
          <w:szCs w:val="32"/>
        </w:rPr>
        <w:t>Недобросовестное поведение в предоставлении финансовых услуг</w:t>
      </w:r>
      <w:r w:rsidR="006B4830">
        <w:rPr>
          <w:rFonts w:ascii="Times New Roman" w:hAnsi="Times New Roman" w:cs="Times New Roman"/>
          <w:sz w:val="32"/>
          <w:szCs w:val="32"/>
        </w:rPr>
        <w:t xml:space="preserve"> (</w:t>
      </w:r>
      <w:hyperlink r:id="rId10" w:history="1">
        <w:r w:rsidR="006B4830" w:rsidRPr="006B4830">
          <w:rPr>
            <w:rStyle w:val="a4"/>
            <w:rFonts w:ascii="Times New Roman" w:hAnsi="Times New Roman" w:cs="Times New Roman"/>
            <w:sz w:val="32"/>
            <w:szCs w:val="32"/>
          </w:rPr>
          <w:t>ЦБ РФ</w:t>
        </w:r>
      </w:hyperlink>
      <w:r w:rsidR="006B4830">
        <w:rPr>
          <w:rFonts w:ascii="Times New Roman" w:hAnsi="Times New Roman" w:cs="Times New Roman"/>
          <w:sz w:val="32"/>
          <w:szCs w:val="32"/>
        </w:rPr>
        <w:t>)</w:t>
      </w:r>
    </w:p>
    <w:p w14:paraId="2F95A2FB" w14:textId="6C6052B0" w:rsidR="008C6512" w:rsidRDefault="008C6512" w:rsidP="008C6512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C65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Недобросовестное информирование (</w:t>
      </w:r>
      <w:proofErr w:type="spellStart"/>
      <w:r w:rsidRPr="008C65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Misinforming</w:t>
      </w:r>
      <w:proofErr w:type="spellEnd"/>
      <w:r w:rsidRPr="008C65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FC65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Пример: </w:t>
      </w:r>
      <w:r w:rsidR="006B48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обещание гарантированного дохода</w:t>
      </w:r>
      <w:r w:rsidR="000A37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1DEB45D1" w14:textId="77777777" w:rsidR="008C6512" w:rsidRPr="008C6512" w:rsidRDefault="008C6512" w:rsidP="008C6512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44FD6F" w14:textId="5192A599" w:rsidR="00AD5647" w:rsidRPr="00AD5647" w:rsidRDefault="00A16C37" w:rsidP="00AD564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Продажа неподходящих продуктов (</w:t>
      </w:r>
      <w:proofErr w:type="spellStart"/>
      <w:r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Unsuitable</w:t>
      </w:r>
      <w:proofErr w:type="spellEnd"/>
      <w:r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selling</w:t>
      </w:r>
      <w:proofErr w:type="spellEnd"/>
      <w:r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0A37A5"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AD5647"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Пример: </w:t>
      </w:r>
      <w:r w:rsid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AD5647"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родажа продуктов с высоким уровнем риска без оценки аппетита к риску клиента.</w:t>
      </w:r>
    </w:p>
    <w:p w14:paraId="46343794" w14:textId="77777777" w:rsidR="00AD5647" w:rsidRPr="00AD5647" w:rsidRDefault="00AD5647" w:rsidP="00AD5647">
      <w:pPr>
        <w:pStyle w:val="a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F65BFC" w14:textId="4B0500DE" w:rsidR="00A16C37" w:rsidRDefault="00A16C37" w:rsidP="00A16C3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6C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Непрозрачное ценообразование (</w:t>
      </w:r>
      <w:proofErr w:type="spellStart"/>
      <w:r w:rsidRPr="00A16C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Mispricing</w:t>
      </w:r>
      <w:proofErr w:type="spellEnd"/>
      <w:r w:rsidRPr="00A16C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B06F2C"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="00B06F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</w:t>
      </w:r>
      <w:r w:rsidR="00B06F2C" w:rsidRPr="00B06F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становление двойных комиссий</w:t>
      </w:r>
    </w:p>
    <w:p w14:paraId="2CCC71E0" w14:textId="77777777" w:rsidR="00A16C37" w:rsidRPr="00A16C37" w:rsidRDefault="00A16C37" w:rsidP="00A16C37">
      <w:pPr>
        <w:pStyle w:val="a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C4A14D" w14:textId="1A617640" w:rsidR="007E2465" w:rsidRDefault="007E2465" w:rsidP="007E246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Связанная продажа (</w:t>
      </w:r>
      <w:proofErr w:type="spellStart"/>
      <w:r w:rsidRP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Tied</w:t>
      </w:r>
      <w:proofErr w:type="spellEnd"/>
      <w:r w:rsidRP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selling</w:t>
      </w:r>
      <w:proofErr w:type="spellEnd"/>
      <w:r w:rsidRPr="007E24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B06F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B06F2C" w:rsidRPr="00AD56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="00B06F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="0051213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включение в договор некой «обязательной» страховки.</w:t>
      </w:r>
    </w:p>
    <w:p w14:paraId="156CE0AA" w14:textId="77777777" w:rsidR="007E2465" w:rsidRPr="007E2465" w:rsidRDefault="007E2465" w:rsidP="007E2465">
      <w:pPr>
        <w:pStyle w:val="a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AE6E7" w14:textId="6FF565D8" w:rsidR="007E2465" w:rsidRPr="006F213B" w:rsidRDefault="007E2465" w:rsidP="006F213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Подмена продукта (</w:t>
      </w:r>
      <w:proofErr w:type="spellStart"/>
      <w:r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Misselling</w:t>
      </w:r>
      <w:proofErr w:type="spellEnd"/>
      <w:r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B06F2C"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Пример:</w:t>
      </w:r>
      <w:r w:rsidR="006F213B"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6F213B" w:rsidRPr="006F21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редложение комбинированного продукта, инвестиционного или страхового продукта под видом банковского вклада.</w:t>
      </w:r>
    </w:p>
    <w:p w14:paraId="583F695A" w14:textId="63F22850" w:rsidR="00766208" w:rsidRDefault="00766208" w:rsidP="007E24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6B99B" w14:textId="137746D2" w:rsidR="008259A1" w:rsidRPr="008259A1" w:rsidRDefault="00E107AD" w:rsidP="003C17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Итоги проделанной работы</w:t>
      </w:r>
    </w:p>
    <w:p w14:paraId="7E1AF7FF" w14:textId="76746CD7" w:rsidR="00B0161E" w:rsidRPr="00B0161E" w:rsidRDefault="00B0161E" w:rsidP="00B016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>Будущие денежные потоки семьи распределены лучшим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61E">
        <w:rPr>
          <w:rFonts w:ascii="Times New Roman" w:hAnsi="Times New Roman" w:cs="Times New Roman"/>
          <w:sz w:val="24"/>
          <w:szCs w:val="24"/>
        </w:rPr>
        <w:t>образом</w:t>
      </w:r>
      <w:r>
        <w:rPr>
          <w:rFonts w:ascii="Times New Roman" w:hAnsi="Times New Roman" w:cs="Times New Roman"/>
          <w:sz w:val="24"/>
          <w:szCs w:val="24"/>
        </w:rPr>
        <w:t xml:space="preserve"> с точки зрения финансовой теории.</w:t>
      </w:r>
    </w:p>
    <w:p w14:paraId="47E2FE6D" w14:textId="18A3D7DF" w:rsidR="00B0161E" w:rsidRPr="00B0161E" w:rsidRDefault="00B0161E" w:rsidP="00B016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>Собран оптимальный портфель исходя из целей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2EF">
        <w:rPr>
          <w:rFonts w:ascii="Times New Roman" w:hAnsi="Times New Roman" w:cs="Times New Roman"/>
          <w:sz w:val="24"/>
          <w:szCs w:val="24"/>
        </w:rPr>
        <w:t xml:space="preserve">текущего </w:t>
      </w:r>
      <w:r w:rsidRPr="00B0161E">
        <w:rPr>
          <w:rFonts w:ascii="Times New Roman" w:hAnsi="Times New Roman" w:cs="Times New Roman"/>
          <w:sz w:val="24"/>
          <w:szCs w:val="24"/>
        </w:rPr>
        <w:t>положения семьи</w:t>
      </w:r>
      <w:r w:rsidR="007962EF">
        <w:rPr>
          <w:rFonts w:ascii="Times New Roman" w:hAnsi="Times New Roman" w:cs="Times New Roman"/>
          <w:sz w:val="24"/>
          <w:szCs w:val="24"/>
        </w:rPr>
        <w:t>.</w:t>
      </w:r>
    </w:p>
    <w:p w14:paraId="6A477715" w14:textId="4C49FD67" w:rsidR="00B0161E" w:rsidRPr="00B0161E" w:rsidRDefault="00B0161E" w:rsidP="00B016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>Написан торговый алгоритм на Python</w:t>
      </w:r>
      <w:r w:rsidR="00717439">
        <w:rPr>
          <w:rFonts w:ascii="Times New Roman" w:hAnsi="Times New Roman" w:cs="Times New Roman"/>
          <w:sz w:val="24"/>
          <w:szCs w:val="24"/>
        </w:rPr>
        <w:t>.</w:t>
      </w:r>
    </w:p>
    <w:p w14:paraId="52B05883" w14:textId="6BE11801" w:rsidR="00B0161E" w:rsidRPr="00B0161E" w:rsidRDefault="00B0161E" w:rsidP="00B016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 xml:space="preserve">Сгенерированы ряды цен активов методом </w:t>
      </w:r>
      <w:proofErr w:type="spellStart"/>
      <w:r w:rsidRPr="00B0161E">
        <w:rPr>
          <w:rFonts w:ascii="Times New Roman" w:hAnsi="Times New Roman" w:cs="Times New Roman"/>
          <w:sz w:val="24"/>
          <w:szCs w:val="24"/>
        </w:rPr>
        <w:t>Monte</w:t>
      </w:r>
      <w:proofErr w:type="spellEnd"/>
      <w:r w:rsidRPr="00B0161E">
        <w:rPr>
          <w:rFonts w:ascii="Times New Roman" w:hAnsi="Times New Roman" w:cs="Times New Roman"/>
          <w:sz w:val="24"/>
          <w:szCs w:val="24"/>
        </w:rPr>
        <w:t xml:space="preserve"> Carlo</w:t>
      </w:r>
      <w:r w:rsidR="00E107AD">
        <w:rPr>
          <w:rFonts w:ascii="Times New Roman" w:hAnsi="Times New Roman" w:cs="Times New Roman"/>
          <w:sz w:val="24"/>
          <w:szCs w:val="24"/>
        </w:rPr>
        <w:t>.</w:t>
      </w:r>
    </w:p>
    <w:p w14:paraId="1CBDC141" w14:textId="6A5F12BF" w:rsidR="00B0161E" w:rsidRPr="00E107AD" w:rsidRDefault="00B0161E" w:rsidP="00E107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>С вероятностью 88% семья сможет сохранить потребление</w:t>
      </w:r>
      <w:r w:rsidR="00E107AD">
        <w:rPr>
          <w:rFonts w:ascii="Times New Roman" w:hAnsi="Times New Roman" w:cs="Times New Roman"/>
          <w:sz w:val="24"/>
          <w:szCs w:val="24"/>
        </w:rPr>
        <w:t xml:space="preserve"> </w:t>
      </w:r>
      <w:r w:rsidRPr="00E107AD">
        <w:rPr>
          <w:rFonts w:ascii="Times New Roman" w:hAnsi="Times New Roman" w:cs="Times New Roman"/>
          <w:sz w:val="24"/>
          <w:szCs w:val="24"/>
        </w:rPr>
        <w:t>на пенсии при</w:t>
      </w:r>
      <w:r w:rsidR="00E107AD">
        <w:rPr>
          <w:rFonts w:ascii="Times New Roman" w:hAnsi="Times New Roman" w:cs="Times New Roman"/>
          <w:sz w:val="24"/>
          <w:szCs w:val="24"/>
        </w:rPr>
        <w:t xml:space="preserve"> «</w:t>
      </w:r>
      <w:r w:rsidRPr="00E107AD">
        <w:rPr>
          <w:rFonts w:ascii="Times New Roman" w:hAnsi="Times New Roman" w:cs="Times New Roman"/>
          <w:sz w:val="24"/>
          <w:szCs w:val="24"/>
        </w:rPr>
        <w:t>безрисковом</w:t>
      </w:r>
      <w:r w:rsidR="00E107AD">
        <w:rPr>
          <w:rFonts w:ascii="Times New Roman" w:hAnsi="Times New Roman" w:cs="Times New Roman"/>
          <w:sz w:val="24"/>
          <w:szCs w:val="24"/>
        </w:rPr>
        <w:t>»</w:t>
      </w:r>
      <w:r w:rsidRPr="00E107AD">
        <w:rPr>
          <w:rFonts w:ascii="Times New Roman" w:hAnsi="Times New Roman" w:cs="Times New Roman"/>
          <w:sz w:val="24"/>
          <w:szCs w:val="24"/>
        </w:rPr>
        <w:t xml:space="preserve"> инвестировании (не</w:t>
      </w:r>
      <w:r w:rsidR="00E107AD">
        <w:rPr>
          <w:rFonts w:ascii="Times New Roman" w:hAnsi="Times New Roman" w:cs="Times New Roman"/>
          <w:sz w:val="24"/>
          <w:szCs w:val="24"/>
        </w:rPr>
        <w:t xml:space="preserve"> </w:t>
      </w:r>
      <w:r w:rsidRPr="00E107AD">
        <w:rPr>
          <w:rFonts w:ascii="Times New Roman" w:hAnsi="Times New Roman" w:cs="Times New Roman"/>
          <w:sz w:val="24"/>
          <w:szCs w:val="24"/>
        </w:rPr>
        <w:t>рекомендуем)</w:t>
      </w:r>
      <w:r w:rsidR="00E107AD">
        <w:rPr>
          <w:rFonts w:ascii="Times New Roman" w:hAnsi="Times New Roman" w:cs="Times New Roman"/>
          <w:sz w:val="24"/>
          <w:szCs w:val="24"/>
        </w:rPr>
        <w:t>.</w:t>
      </w:r>
    </w:p>
    <w:p w14:paraId="573FFF17" w14:textId="408975A5" w:rsidR="008259A1" w:rsidRPr="00B0161E" w:rsidRDefault="00B0161E" w:rsidP="00B016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61E">
        <w:rPr>
          <w:rFonts w:ascii="Times New Roman" w:hAnsi="Times New Roman" w:cs="Times New Roman"/>
          <w:sz w:val="24"/>
          <w:szCs w:val="24"/>
        </w:rPr>
        <w:t>Даны последующие рекомендации семье</w:t>
      </w:r>
      <w:r w:rsidR="00E107AD">
        <w:rPr>
          <w:rFonts w:ascii="Times New Roman" w:hAnsi="Times New Roman" w:cs="Times New Roman"/>
          <w:sz w:val="24"/>
          <w:szCs w:val="24"/>
        </w:rPr>
        <w:t>, связанные с их финансовой культурой и разумным поведением.</w:t>
      </w:r>
    </w:p>
    <w:p w14:paraId="64F10E25" w14:textId="73D3D50A" w:rsidR="008259A1" w:rsidRPr="001321B9" w:rsidRDefault="008259A1" w:rsidP="003C176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9A1">
        <w:rPr>
          <w:rFonts w:ascii="Times New Roman" w:hAnsi="Times New Roman" w:cs="Times New Roman"/>
          <w:sz w:val="32"/>
          <w:szCs w:val="32"/>
        </w:rPr>
        <w:t>Ссылки</w:t>
      </w:r>
    </w:p>
    <w:p w14:paraId="5CCE2A39" w14:textId="77777777" w:rsidR="00AF26C8" w:rsidRPr="00A81275" w:rsidRDefault="00AF26C8" w:rsidP="00AF26C8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Gilbert, T., Hrdlicka, C., </w:t>
      </w:r>
      <w:proofErr w:type="spell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Kalodimos</w:t>
      </w:r>
      <w:proofErr w:type="spell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 J., &amp; Siegel, S. (2014). Daily data is bad for beta: Opacity and frequency-dependent betas. </w:t>
      </w:r>
      <w:r w:rsidRPr="00A81275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The Review of Asset Pricing Studies</w:t>
      </w:r>
      <w:r w:rsidRPr="00A8127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 </w:t>
      </w:r>
      <w:r w:rsidRPr="00A81275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4</w:t>
      </w:r>
      <w:r w:rsidRPr="00A81275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(1), 78-117.</w:t>
      </w:r>
    </w:p>
    <w:p w14:paraId="6C36C5F0" w14:textId="77777777" w:rsidR="00AF26C8" w:rsidRPr="00AF26C8" w:rsidRDefault="00AF26C8" w:rsidP="00AF26C8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Agrrawal</w:t>
      </w:r>
      <w:proofErr w:type="spell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, P., Gilbert, F. W., &amp; Harkins, J. (2022). Time dependence of CAPM betas on the choice of interval frequency and return timeframes: Is there an </w:t>
      </w:r>
      <w:proofErr w:type="gram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optimum?.</w:t>
      </w:r>
      <w:proofErr w:type="gram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</w:t>
      </w:r>
      <w:r w:rsidRPr="00AF26C8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Journal of Risk and Financial Management</w:t>
      </w:r>
      <w:r w:rsidRPr="00AF26C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 </w:t>
      </w:r>
      <w:r w:rsidRPr="00AF26C8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15</w:t>
      </w:r>
      <w:r w:rsidRPr="00AF26C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(11), 520.</w:t>
      </w:r>
    </w:p>
    <w:p w14:paraId="0C548459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lastRenderedPageBreak/>
        <w:t xml:space="preserve">Bodie, Z., Kane, A., Marcus, A., Mohanty, P., </w:t>
      </w:r>
      <w:proofErr w:type="spellStart"/>
      <w:r w:rsidRPr="00A141EA">
        <w:rPr>
          <w:rFonts w:ascii="Times New Roman" w:hAnsi="Times New Roman" w:cs="Times New Roman"/>
          <w:lang w:val="en-US"/>
        </w:rPr>
        <w:t>Perrakis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S., Ryan, P., and Switzer, L. (2014). Investments. </w:t>
      </w:r>
    </w:p>
    <w:p w14:paraId="2165FD10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McGraw-Hill Education. Boyle, P. P. (1977). Options: A monte </w:t>
      </w:r>
      <w:proofErr w:type="spellStart"/>
      <w:r w:rsidRPr="00A141EA">
        <w:rPr>
          <w:rFonts w:ascii="Times New Roman" w:hAnsi="Times New Roman" w:cs="Times New Roman"/>
          <w:lang w:val="en-US"/>
        </w:rPr>
        <w:t>carlo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approach. Journal of financial economics, 4(3):323–338. </w:t>
      </w:r>
    </w:p>
    <w:p w14:paraId="60AA012A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Burgess, N. (2022). Correlated monte </w:t>
      </w:r>
      <w:proofErr w:type="spellStart"/>
      <w:r w:rsidRPr="00A141EA">
        <w:rPr>
          <w:rFonts w:ascii="Times New Roman" w:hAnsi="Times New Roman" w:cs="Times New Roman"/>
          <w:lang w:val="en-US"/>
        </w:rPr>
        <w:t>carlo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simulation using </w:t>
      </w:r>
      <w:proofErr w:type="spellStart"/>
      <w:r w:rsidRPr="00A141EA">
        <w:rPr>
          <w:rFonts w:ascii="Times New Roman" w:hAnsi="Times New Roman" w:cs="Times New Roman"/>
          <w:lang w:val="en-US"/>
        </w:rPr>
        <w:t>cholesky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decomposition. Available at SSRN 4066115. </w:t>
      </w:r>
    </w:p>
    <w:p w14:paraId="74FB847E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Desjardins.com (2023). The risk aversion coefficient. </w:t>
      </w:r>
    </w:p>
    <w:p w14:paraId="7016C69D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>D ́</w:t>
      </w:r>
      <w:proofErr w:type="spellStart"/>
      <w:r w:rsidRPr="00A141EA">
        <w:rPr>
          <w:rFonts w:ascii="Times New Roman" w:hAnsi="Times New Roman" w:cs="Times New Roman"/>
          <w:lang w:val="en-US"/>
        </w:rPr>
        <w:t>ıaz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A. and </w:t>
      </w:r>
      <w:proofErr w:type="spellStart"/>
      <w:r w:rsidRPr="00A141EA">
        <w:rPr>
          <w:rFonts w:ascii="Times New Roman" w:hAnsi="Times New Roman" w:cs="Times New Roman"/>
          <w:lang w:val="en-US"/>
        </w:rPr>
        <w:t>Esparcia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C. (2019). Assessing risk aversion from the investor’s point of view. Frontiers in psychology, 10:1490. </w:t>
      </w:r>
    </w:p>
    <w:p w14:paraId="34CE6428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FAU (2023). Inflation expectations. </w:t>
      </w:r>
    </w:p>
    <w:p w14:paraId="6CE51464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Finlay, R. and Wende, S. (2018). Estimating inflation expectations with a limited number of inflation-indexed bonds. 29th issue (June 2012) of the International Journal of Central Banking. </w:t>
      </w:r>
    </w:p>
    <w:p w14:paraId="2B4C3392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>Friedman, M. (1957). Theory of the consumption function. Princeton university press.</w:t>
      </w:r>
    </w:p>
    <w:p w14:paraId="2563299A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Magnus, J., </w:t>
      </w:r>
      <w:proofErr w:type="spellStart"/>
      <w:r w:rsidRPr="00A141EA">
        <w:rPr>
          <w:rFonts w:ascii="Times New Roman" w:hAnsi="Times New Roman" w:cs="Times New Roman"/>
          <w:lang w:val="en-US"/>
        </w:rPr>
        <w:t>Katyshev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P., and </w:t>
      </w:r>
      <w:proofErr w:type="spellStart"/>
      <w:r w:rsidRPr="00A141EA">
        <w:rPr>
          <w:rFonts w:ascii="Times New Roman" w:hAnsi="Times New Roman" w:cs="Times New Roman"/>
          <w:lang w:val="en-US"/>
        </w:rPr>
        <w:t>Peresetsky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A. (2004). Econometrics. initial course. Moscow: Delo. </w:t>
      </w:r>
    </w:p>
    <w:p w14:paraId="683FD04F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Martin, R. A. (2021). </w:t>
      </w:r>
      <w:proofErr w:type="spellStart"/>
      <w:r w:rsidRPr="00A141EA">
        <w:rPr>
          <w:rFonts w:ascii="Times New Roman" w:hAnsi="Times New Roman" w:cs="Times New Roman"/>
          <w:lang w:val="en-US"/>
        </w:rPr>
        <w:t>Pyportfolioopt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: portfolio optimization in python. Journal of </w:t>
      </w:r>
      <w:proofErr w:type="gramStart"/>
      <w:r w:rsidRPr="00A141EA">
        <w:rPr>
          <w:rFonts w:ascii="Times New Roman" w:hAnsi="Times New Roman" w:cs="Times New Roman"/>
          <w:lang w:val="en-US"/>
        </w:rPr>
        <w:t>Open Source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 Software, 6(61):3066. </w:t>
      </w:r>
    </w:p>
    <w:p w14:paraId="73275EF5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Modigliani, F. (1966). The life cycle hypothesis of saving, the demand for wealth and the supply of capital. Social research, pages 160–217. </w:t>
      </w:r>
    </w:p>
    <w:p w14:paraId="4872CB4C" w14:textId="77777777" w:rsidR="00AF26C8" w:rsidRPr="00A141EA" w:rsidRDefault="00AF26C8" w:rsidP="00AF26C8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Rao, A. (2020). Understanding risk-aversion through utility theory. ICME, Stanford </w:t>
      </w:r>
      <w:proofErr w:type="gramStart"/>
      <w:r w:rsidRPr="00A141EA">
        <w:rPr>
          <w:rFonts w:ascii="Times New Roman" w:hAnsi="Times New Roman" w:cs="Times New Roman"/>
          <w:lang w:val="en-US"/>
        </w:rPr>
        <w:t>Univ.[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Online]. Available: http://web. </w:t>
      </w:r>
      <w:proofErr w:type="spellStart"/>
      <w:r w:rsidRPr="00A141EA">
        <w:rPr>
          <w:rFonts w:ascii="Times New Roman" w:hAnsi="Times New Roman" w:cs="Times New Roman"/>
          <w:lang w:val="en-US"/>
        </w:rPr>
        <w:t>stanford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41EA">
        <w:rPr>
          <w:rFonts w:ascii="Times New Roman" w:hAnsi="Times New Roman" w:cs="Times New Roman"/>
          <w:lang w:val="en-US"/>
        </w:rPr>
        <w:t>edu</w:t>
      </w:r>
      <w:proofErr w:type="spellEnd"/>
      <w:r w:rsidRPr="00A141EA">
        <w:rPr>
          <w:rFonts w:ascii="Times New Roman" w:hAnsi="Times New Roman" w:cs="Times New Roman"/>
          <w:lang w:val="en-US"/>
        </w:rPr>
        <w:t>/class/cme241/</w:t>
      </w:r>
      <w:proofErr w:type="spellStart"/>
      <w:r w:rsidRPr="00A141EA">
        <w:rPr>
          <w:rFonts w:ascii="Times New Roman" w:hAnsi="Times New Roman" w:cs="Times New Roman"/>
          <w:lang w:val="en-US"/>
        </w:rPr>
        <w:t>lecture_slides</w:t>
      </w:r>
      <w:proofErr w:type="spellEnd"/>
      <w:r w:rsidRPr="00A141EA">
        <w:rPr>
          <w:rFonts w:ascii="Times New Roman" w:hAnsi="Times New Roman" w:cs="Times New Roman"/>
          <w:lang w:val="en-US"/>
        </w:rPr>
        <w:t>/</w:t>
      </w:r>
      <w:proofErr w:type="spellStart"/>
      <w:r w:rsidRPr="00A141EA">
        <w:rPr>
          <w:rFonts w:ascii="Times New Roman" w:hAnsi="Times New Roman" w:cs="Times New Roman"/>
          <w:lang w:val="en-US"/>
        </w:rPr>
        <w:t>UtilityTheoryForRisk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A141EA">
        <w:rPr>
          <w:rFonts w:ascii="Times New Roman" w:hAnsi="Times New Roman" w:cs="Times New Roman"/>
          <w:lang w:val="en-US"/>
        </w:rPr>
        <w:t>pdf.[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Accessed: 22-Feb-2022]. </w:t>
      </w:r>
    </w:p>
    <w:p w14:paraId="76EE0AD5" w14:textId="77777777" w:rsidR="00AF26C8" w:rsidRPr="00A141EA" w:rsidRDefault="00AF26C8" w:rsidP="00AF26C8">
      <w:pPr>
        <w:jc w:val="both"/>
        <w:rPr>
          <w:rFonts w:ascii="Times New Roman" w:hAnsi="Times New Roman" w:cs="Times New Roman"/>
        </w:rPr>
      </w:pPr>
      <w:proofErr w:type="spellStart"/>
      <w:r w:rsidRPr="00A141EA">
        <w:rPr>
          <w:rFonts w:ascii="Times New Roman" w:hAnsi="Times New Roman" w:cs="Times New Roman"/>
        </w:rPr>
        <w:t>БанкРоссии</w:t>
      </w:r>
      <w:proofErr w:type="spellEnd"/>
      <w:r w:rsidRPr="00A141EA">
        <w:rPr>
          <w:rFonts w:ascii="Times New Roman" w:hAnsi="Times New Roman" w:cs="Times New Roman"/>
        </w:rPr>
        <w:t xml:space="preserve"> (2021). Виды недобросовестного поведения участников финансового рынка.</w:t>
      </w:r>
    </w:p>
    <w:p w14:paraId="430974AF" w14:textId="77777777" w:rsidR="00AF26C8" w:rsidRPr="008259A1" w:rsidRDefault="00AF26C8" w:rsidP="007E246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F26C8" w:rsidRPr="008259A1" w:rsidSect="00A65A9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8878" w14:textId="77777777" w:rsidR="009B2A99" w:rsidRDefault="009B2A99" w:rsidP="00912BCE">
      <w:pPr>
        <w:spacing w:after="0" w:line="240" w:lineRule="auto"/>
      </w:pPr>
      <w:r>
        <w:separator/>
      </w:r>
    </w:p>
  </w:endnote>
  <w:endnote w:type="continuationSeparator" w:id="0">
    <w:p w14:paraId="04524D1C" w14:textId="77777777" w:rsidR="009B2A99" w:rsidRDefault="009B2A99" w:rsidP="0091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B515" w14:textId="77777777" w:rsidR="009B2A99" w:rsidRDefault="009B2A99" w:rsidP="00912BCE">
      <w:pPr>
        <w:spacing w:after="0" w:line="240" w:lineRule="auto"/>
      </w:pPr>
      <w:r>
        <w:separator/>
      </w:r>
    </w:p>
  </w:footnote>
  <w:footnote w:type="continuationSeparator" w:id="0">
    <w:p w14:paraId="4825219E" w14:textId="77777777" w:rsidR="009B2A99" w:rsidRDefault="009B2A99" w:rsidP="0091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F64E" w14:textId="15DC3509" w:rsidR="00912BCE" w:rsidRDefault="00912BCE" w:rsidP="00912BCE">
    <w:pPr>
      <w:pStyle w:val="a6"/>
      <w:jc w:val="right"/>
    </w:pPr>
    <w:r>
      <w:t>Михайлов Д., Кабанов И., Зудин А., Сысоев Н., Ларионов С. Э301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874"/>
    <w:multiLevelType w:val="hybridMultilevel"/>
    <w:tmpl w:val="4696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6129"/>
    <w:multiLevelType w:val="hybridMultilevel"/>
    <w:tmpl w:val="8DB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441"/>
    <w:multiLevelType w:val="hybridMultilevel"/>
    <w:tmpl w:val="D488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585"/>
    <w:multiLevelType w:val="hybridMultilevel"/>
    <w:tmpl w:val="BB309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0E05"/>
    <w:multiLevelType w:val="hybridMultilevel"/>
    <w:tmpl w:val="0C965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13049">
    <w:abstractNumId w:val="2"/>
  </w:num>
  <w:num w:numId="2" w16cid:durableId="116412266">
    <w:abstractNumId w:val="4"/>
  </w:num>
  <w:num w:numId="3" w16cid:durableId="1925607156">
    <w:abstractNumId w:val="3"/>
  </w:num>
  <w:num w:numId="4" w16cid:durableId="895432942">
    <w:abstractNumId w:val="1"/>
  </w:num>
  <w:num w:numId="5" w16cid:durableId="24295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3E"/>
    <w:rsid w:val="00000A65"/>
    <w:rsid w:val="000013D9"/>
    <w:rsid w:val="000279C8"/>
    <w:rsid w:val="00053820"/>
    <w:rsid w:val="00057306"/>
    <w:rsid w:val="00070F31"/>
    <w:rsid w:val="00074E13"/>
    <w:rsid w:val="00085DA9"/>
    <w:rsid w:val="000A3135"/>
    <w:rsid w:val="000A37A5"/>
    <w:rsid w:val="000A6971"/>
    <w:rsid w:val="000E2E21"/>
    <w:rsid w:val="00126969"/>
    <w:rsid w:val="001321B9"/>
    <w:rsid w:val="00163B62"/>
    <w:rsid w:val="00165183"/>
    <w:rsid w:val="00165AEE"/>
    <w:rsid w:val="001730AB"/>
    <w:rsid w:val="00193FF0"/>
    <w:rsid w:val="001B6B50"/>
    <w:rsid w:val="00246EE9"/>
    <w:rsid w:val="0025121D"/>
    <w:rsid w:val="002911AC"/>
    <w:rsid w:val="002C2DB7"/>
    <w:rsid w:val="002E3D27"/>
    <w:rsid w:val="002F04C9"/>
    <w:rsid w:val="002F18DF"/>
    <w:rsid w:val="002F3C1C"/>
    <w:rsid w:val="002F588F"/>
    <w:rsid w:val="003032C7"/>
    <w:rsid w:val="00310CA9"/>
    <w:rsid w:val="00352619"/>
    <w:rsid w:val="00370571"/>
    <w:rsid w:val="003B7DA9"/>
    <w:rsid w:val="003C0E26"/>
    <w:rsid w:val="003C176E"/>
    <w:rsid w:val="003C559A"/>
    <w:rsid w:val="003C7AFB"/>
    <w:rsid w:val="003E70A8"/>
    <w:rsid w:val="003F7B9C"/>
    <w:rsid w:val="0040608C"/>
    <w:rsid w:val="00431EC8"/>
    <w:rsid w:val="00436B0C"/>
    <w:rsid w:val="00445728"/>
    <w:rsid w:val="00464002"/>
    <w:rsid w:val="00481871"/>
    <w:rsid w:val="004C2C41"/>
    <w:rsid w:val="0051014C"/>
    <w:rsid w:val="00512135"/>
    <w:rsid w:val="005467A3"/>
    <w:rsid w:val="00570FCA"/>
    <w:rsid w:val="00585DFC"/>
    <w:rsid w:val="005C4D50"/>
    <w:rsid w:val="005E13B0"/>
    <w:rsid w:val="00632F7A"/>
    <w:rsid w:val="00632FE5"/>
    <w:rsid w:val="006818A9"/>
    <w:rsid w:val="00693072"/>
    <w:rsid w:val="006B4830"/>
    <w:rsid w:val="006F213B"/>
    <w:rsid w:val="00706FE1"/>
    <w:rsid w:val="00717439"/>
    <w:rsid w:val="00734777"/>
    <w:rsid w:val="007515B5"/>
    <w:rsid w:val="00752C5D"/>
    <w:rsid w:val="00766208"/>
    <w:rsid w:val="00774FC9"/>
    <w:rsid w:val="007962EF"/>
    <w:rsid w:val="007A2A39"/>
    <w:rsid w:val="007A5251"/>
    <w:rsid w:val="007C0D7D"/>
    <w:rsid w:val="007C6FE5"/>
    <w:rsid w:val="007E1190"/>
    <w:rsid w:val="007E2465"/>
    <w:rsid w:val="008259A1"/>
    <w:rsid w:val="00891DC4"/>
    <w:rsid w:val="008C220D"/>
    <w:rsid w:val="008C6512"/>
    <w:rsid w:val="008F6693"/>
    <w:rsid w:val="00912BCE"/>
    <w:rsid w:val="00914261"/>
    <w:rsid w:val="00923A10"/>
    <w:rsid w:val="0099408D"/>
    <w:rsid w:val="009A29E0"/>
    <w:rsid w:val="009B2A99"/>
    <w:rsid w:val="009C2EB0"/>
    <w:rsid w:val="009E7E18"/>
    <w:rsid w:val="009F04DC"/>
    <w:rsid w:val="009F2652"/>
    <w:rsid w:val="00A00C26"/>
    <w:rsid w:val="00A16C37"/>
    <w:rsid w:val="00A207A0"/>
    <w:rsid w:val="00A23F7C"/>
    <w:rsid w:val="00A30D6E"/>
    <w:rsid w:val="00A35A07"/>
    <w:rsid w:val="00A41DB6"/>
    <w:rsid w:val="00A65A9B"/>
    <w:rsid w:val="00AB66FD"/>
    <w:rsid w:val="00AC5D77"/>
    <w:rsid w:val="00AD5295"/>
    <w:rsid w:val="00AD5647"/>
    <w:rsid w:val="00AF26C8"/>
    <w:rsid w:val="00AF6ECE"/>
    <w:rsid w:val="00B0161E"/>
    <w:rsid w:val="00B06F2C"/>
    <w:rsid w:val="00B07A2C"/>
    <w:rsid w:val="00B30320"/>
    <w:rsid w:val="00B32620"/>
    <w:rsid w:val="00B53C96"/>
    <w:rsid w:val="00B61042"/>
    <w:rsid w:val="00BB0D5F"/>
    <w:rsid w:val="00BC38FB"/>
    <w:rsid w:val="00C470DF"/>
    <w:rsid w:val="00C66719"/>
    <w:rsid w:val="00C70717"/>
    <w:rsid w:val="00CB3E4D"/>
    <w:rsid w:val="00CB7C93"/>
    <w:rsid w:val="00CC0C3E"/>
    <w:rsid w:val="00CC43C2"/>
    <w:rsid w:val="00D001F5"/>
    <w:rsid w:val="00D47EBE"/>
    <w:rsid w:val="00D63482"/>
    <w:rsid w:val="00DD7AFB"/>
    <w:rsid w:val="00DE32AA"/>
    <w:rsid w:val="00E107AD"/>
    <w:rsid w:val="00E32D96"/>
    <w:rsid w:val="00E45FE3"/>
    <w:rsid w:val="00EA338A"/>
    <w:rsid w:val="00EA5D47"/>
    <w:rsid w:val="00EA6CA0"/>
    <w:rsid w:val="00EB081E"/>
    <w:rsid w:val="00EB12E7"/>
    <w:rsid w:val="00EB2488"/>
    <w:rsid w:val="00EE194A"/>
    <w:rsid w:val="00F84DA9"/>
    <w:rsid w:val="00F9622E"/>
    <w:rsid w:val="00FC50CD"/>
    <w:rsid w:val="00FC6525"/>
    <w:rsid w:val="00FD32E8"/>
    <w:rsid w:val="00FE02A2"/>
    <w:rsid w:val="00FF4CEC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F096"/>
  <w15:chartTrackingRefBased/>
  <w15:docId w15:val="{23244D8B-F2F5-4629-AB73-3253470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4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483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1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2BCE"/>
  </w:style>
  <w:style w:type="paragraph" w:styleId="a8">
    <w:name w:val="footer"/>
    <w:basedOn w:val="a"/>
    <w:link w:val="a9"/>
    <w:uiPriority w:val="99"/>
    <w:unhideWhenUsed/>
    <w:rsid w:val="0091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br.ru/protection_rights/n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7C4C-AD88-4619-817C-484C70E2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2275</Words>
  <Characters>12971</Characters>
  <Application>Microsoft Office Word</Application>
  <DocSecurity>0</DocSecurity>
  <Lines>108</Lines>
  <Paragraphs>30</Paragraphs>
  <ScaleCrop>false</ScaleCrop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Сергей Сергеевич</dc:creator>
  <cp:keywords/>
  <dc:description/>
  <cp:lastModifiedBy>Михайлов Даниил Романович</cp:lastModifiedBy>
  <cp:revision>140</cp:revision>
  <dcterms:created xsi:type="dcterms:W3CDTF">2023-12-08T17:58:00Z</dcterms:created>
  <dcterms:modified xsi:type="dcterms:W3CDTF">2023-12-10T17:05:00Z</dcterms:modified>
</cp:coreProperties>
</file>