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0" w:right="111" w:firstLine="0"/>
        <w:jc w:val="right"/>
        <w:rPr>
          <w:rFonts w:ascii="Calibri"/>
          <w:sz w:val="26"/>
        </w:rPr>
      </w:pPr>
      <w:r>
        <w:rPr>
          <w:rFonts w:ascii="Calibri"/>
          <w:color w:val="9DD3AF"/>
          <w:w w:val="115"/>
          <w:sz w:val="26"/>
        </w:rPr>
        <w:t>ORIGINAL</w:t>
      </w:r>
      <w:r>
        <w:rPr>
          <w:rFonts w:ascii="Calibri"/>
          <w:color w:val="9DD3AF"/>
          <w:spacing w:val="5"/>
          <w:w w:val="115"/>
          <w:sz w:val="26"/>
        </w:rPr>
        <w:t> </w:t>
      </w:r>
      <w:r>
        <w:rPr>
          <w:rFonts w:ascii="Calibri"/>
          <w:color w:val="9DD3AF"/>
          <w:spacing w:val="-2"/>
          <w:w w:val="115"/>
          <w:sz w:val="26"/>
        </w:rPr>
        <w:t>ARTICLE</w:t>
      </w:r>
    </w:p>
    <w:p>
      <w:pPr>
        <w:pStyle w:val="BodyText"/>
        <w:ind w:left="106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522pt;height:61.45pt;mso-position-horizontal-relative:char;mso-position-vertical-relative:line" id="docshapegroup18" coordorigin="0,0" coordsize="10440,1229">
            <v:shape style="position:absolute;left:37;top:0;width:10403;height:1229" id="docshape19" coordorigin="38,0" coordsize="10403,1229" path="m10311,0l38,0,1227,0,1227,1228,697,1228,10311,1228,10361,1218,10402,1191,10430,1150,10440,1099,10440,129,10430,79,10402,38,10361,10,10311,0xe" filled="true" fillcolor="#9dd3af" stroked="false">
              <v:path arrowok="t"/>
              <v:fill type="solid"/>
            </v:shape>
            <v:shape style="position:absolute;left:0;top:0;width:1252;height:1228" id="docshape20" coordorigin="0,0" coordsize="1252,1228" path="m1251,0l1052,0,1052,196,1052,1032,199,1032,199,196,1052,196,1052,0,0,0,0,196,0,1032,0,1228,1251,1228,1251,1033,1251,1032,1251,196,1251,196,1251,0xe" filled="true" fillcolor="#76c04e" stroked="false">
              <v:path arrowok="t"/>
              <v:fill type="solid"/>
            </v:shape>
            <v:shape style="position:absolute;left:0;top:0;width:10440;height:1229" type="#_x0000_t202" id="docshape21" filled="false" stroked="false">
              <v:textbox inset="0,0,0,0">
                <w:txbxContent>
                  <w:p>
                    <w:pPr>
                      <w:spacing w:line="254" w:lineRule="auto" w:before="133"/>
                      <w:ind w:left="1453" w:right="971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373435"/>
                        <w:w w:val="95"/>
                        <w:sz w:val="29"/>
                      </w:rPr>
                      <w:t>ASSESSMENT OF THE FREQUENCY AND LEVEL OF SUICIDE RISK IN PATIENTS</w:t>
                    </w:r>
                    <w:r>
                      <w:rPr>
                        <w:color w:val="373435"/>
                        <w:spacing w:val="-33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WITH</w:t>
                    </w:r>
                    <w:r>
                      <w:rPr>
                        <w:color w:val="373435"/>
                        <w:spacing w:val="-22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SCHIZOPHRENIA</w:t>
                    </w:r>
                    <w:r>
                      <w:rPr>
                        <w:color w:val="373435"/>
                        <w:spacing w:val="-21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PRESENTING</w:t>
                    </w:r>
                    <w:r>
                      <w:rPr>
                        <w:color w:val="373435"/>
                        <w:spacing w:val="-22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AT</w:t>
                    </w:r>
                    <w:r>
                      <w:rPr>
                        <w:color w:val="373435"/>
                        <w:spacing w:val="-22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A</w:t>
                    </w:r>
                    <w:r>
                      <w:rPr>
                        <w:color w:val="373435"/>
                        <w:spacing w:val="-33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TERTIARY</w:t>
                    </w:r>
                    <w:r>
                      <w:rPr>
                        <w:color w:val="373435"/>
                        <w:spacing w:val="-22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CARE </w:t>
                    </w:r>
                    <w:r>
                      <w:rPr>
                        <w:color w:val="373435"/>
                        <w:spacing w:val="-2"/>
                        <w:sz w:val="29"/>
                      </w:rPr>
                      <w:t>HOSPITAL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spacing w:before="16"/>
        <w:ind w:left="118" w:right="0" w:firstLine="0"/>
        <w:jc w:val="left"/>
        <w:rPr>
          <w:rFonts w:ascii="Gill Sans MT"/>
          <w:b/>
          <w:sz w:val="21"/>
        </w:rPr>
      </w:pPr>
      <w:r>
        <w:rPr>
          <w:rFonts w:ascii="Gill Sans MT"/>
          <w:b/>
          <w:color w:val="373435"/>
          <w:w w:val="85"/>
          <w:sz w:val="21"/>
        </w:rPr>
        <w:t>AMMARAH</w:t>
      </w:r>
      <w:r>
        <w:rPr>
          <w:rFonts w:ascii="Gill Sans MT"/>
          <w:b/>
          <w:color w:val="373435"/>
          <w:spacing w:val="17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BADAR,</w:t>
      </w:r>
      <w:r>
        <w:rPr>
          <w:rFonts w:ascii="Gill Sans MT"/>
          <w:b/>
          <w:color w:val="373435"/>
          <w:spacing w:val="18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FATIMA</w:t>
      </w:r>
      <w:r>
        <w:rPr>
          <w:rFonts w:ascii="Gill Sans MT"/>
          <w:b/>
          <w:color w:val="373435"/>
          <w:spacing w:val="8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TAUFIQUE,</w:t>
      </w:r>
      <w:r>
        <w:rPr>
          <w:rFonts w:ascii="Gill Sans MT"/>
          <w:b/>
          <w:color w:val="373435"/>
          <w:spacing w:val="17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CHOONI</w:t>
      </w:r>
      <w:r>
        <w:rPr>
          <w:rFonts w:ascii="Gill Sans MT"/>
          <w:b/>
          <w:color w:val="373435"/>
          <w:spacing w:val="18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LAL,</w:t>
      </w:r>
      <w:r>
        <w:rPr>
          <w:rFonts w:ascii="Gill Sans MT"/>
          <w:b/>
          <w:color w:val="373435"/>
          <w:spacing w:val="18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ILYAAS</w:t>
      </w:r>
      <w:r>
        <w:rPr>
          <w:rFonts w:ascii="Gill Sans MT"/>
          <w:b/>
          <w:color w:val="373435"/>
          <w:spacing w:val="17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JAT,</w:t>
      </w:r>
      <w:r>
        <w:rPr>
          <w:rFonts w:ascii="Gill Sans MT"/>
          <w:b/>
          <w:color w:val="373435"/>
          <w:spacing w:val="18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FAWAD</w:t>
      </w:r>
      <w:r>
        <w:rPr>
          <w:rFonts w:ascii="Gill Sans MT"/>
          <w:b/>
          <w:color w:val="373435"/>
          <w:spacing w:val="17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SULEMAN,</w:t>
      </w:r>
      <w:r>
        <w:rPr>
          <w:rFonts w:ascii="Gill Sans MT"/>
          <w:b/>
          <w:color w:val="373435"/>
          <w:spacing w:val="18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ANIL</w:t>
      </w:r>
      <w:r>
        <w:rPr>
          <w:rFonts w:ascii="Gill Sans MT"/>
          <w:b/>
          <w:color w:val="373435"/>
          <w:spacing w:val="17"/>
          <w:sz w:val="21"/>
        </w:rPr>
        <w:t> </w:t>
      </w:r>
      <w:r>
        <w:rPr>
          <w:rFonts w:ascii="Gill Sans MT"/>
          <w:b/>
          <w:color w:val="373435"/>
          <w:spacing w:val="-2"/>
          <w:w w:val="85"/>
          <w:sz w:val="21"/>
        </w:rPr>
        <w:t>KUMAR</w:t>
      </w:r>
    </w:p>
    <w:p>
      <w:pPr>
        <w:spacing w:before="33"/>
        <w:ind w:left="110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sz w:val="17"/>
        </w:rPr>
        <w:t>Jinnah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Post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Graduate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Medical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Center,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Karachi,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Pakistan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0"/>
        <w:rPr>
          <w:rFonts w:ascii="Tahoma"/>
          <w:sz w:val="26"/>
        </w:rPr>
      </w:pPr>
    </w:p>
    <w:p>
      <w:pPr>
        <w:spacing w:before="91"/>
        <w:ind w:left="108" w:right="0" w:firstLine="0"/>
        <w:jc w:val="left"/>
        <w:rPr>
          <w:rFonts w:ascii="Tahoma"/>
          <w:sz w:val="16"/>
        </w:rPr>
      </w:pPr>
      <w:r>
        <w:rPr/>
        <w:pict>
          <v:shape style="position:absolute;margin-left:436.503113pt;margin-top:-1.866804pt;width:125.85pt;height:37.35pt;mso-position-horizontal-relative:page;mso-position-vertical-relative:paragraph;z-index:15730176" type="#_x0000_t202" id="docshape22" filled="false" stroked="true" strokeweight="1.0001pt" strokecolor="#76c04e">
            <v:textbox inset="0,0,0,0">
              <w:txbxContent>
                <w:p>
                  <w:pPr>
                    <w:spacing w:line="314" w:lineRule="auto" w:before="109"/>
                    <w:ind w:left="103" w:right="0" w:firstLine="0"/>
                    <w:jc w:val="left"/>
                    <w:rPr>
                      <w:rFonts w:ascii="Calibri"/>
                      <w:sz w:val="17"/>
                    </w:rPr>
                  </w:pP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Submitted:</w:t>
                  </w:r>
                  <w:r>
                    <w:rPr>
                      <w:rFonts w:ascii="Calibri"/>
                      <w:color w:val="373435"/>
                      <w:spacing w:val="9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March</w:t>
                  </w:r>
                  <w:r>
                    <w:rPr>
                      <w:rFonts w:ascii="Calibri"/>
                      <w:color w:val="373435"/>
                      <w:spacing w:val="-7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04,</w:t>
                  </w:r>
                  <w:r>
                    <w:rPr>
                      <w:rFonts w:ascii="Calibri"/>
                      <w:color w:val="373435"/>
                      <w:spacing w:val="-7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2021 </w:t>
                  </w:r>
                  <w:r>
                    <w:rPr>
                      <w:rFonts w:ascii="Calibri"/>
                      <w:color w:val="373435"/>
                      <w:w w:val="110"/>
                      <w:sz w:val="17"/>
                    </w:rPr>
                    <w:t>Accepted:</w:t>
                  </w:r>
                  <w:r>
                    <w:rPr>
                      <w:rFonts w:ascii="Calibri"/>
                      <w:color w:val="373435"/>
                      <w:spacing w:val="80"/>
                      <w:w w:val="110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10"/>
                      <w:sz w:val="17"/>
                    </w:rPr>
                    <w:t>June 05, 2021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Gill Sans MT"/>
          <w:b/>
          <w:color w:val="373435"/>
          <w:w w:val="90"/>
          <w:sz w:val="21"/>
        </w:rPr>
        <w:t>CORRESPONDENCE:</w:t>
      </w:r>
      <w:r>
        <w:rPr>
          <w:rFonts w:ascii="Gill Sans MT"/>
          <w:b/>
          <w:color w:val="373435"/>
          <w:spacing w:val="19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DR.</w:t>
      </w:r>
      <w:r>
        <w:rPr>
          <w:rFonts w:ascii="Gill Sans MT"/>
          <w:b/>
          <w:color w:val="373435"/>
          <w:spacing w:val="19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AMMARAH</w:t>
      </w:r>
      <w:r>
        <w:rPr>
          <w:rFonts w:ascii="Gill Sans MT"/>
          <w:b/>
          <w:color w:val="373435"/>
          <w:spacing w:val="19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BADAR</w:t>
      </w:r>
      <w:r>
        <w:rPr>
          <w:rFonts w:ascii="Gill Sans MT"/>
          <w:b/>
          <w:color w:val="373435"/>
          <w:spacing w:val="73"/>
          <w:sz w:val="21"/>
        </w:rPr>
        <w:t> </w:t>
      </w:r>
      <w:r>
        <w:rPr>
          <w:rFonts w:ascii="Tahoma"/>
          <w:color w:val="373435"/>
          <w:w w:val="90"/>
          <w:position w:val="1"/>
          <w:sz w:val="16"/>
        </w:rPr>
        <w:t>E-mail:</w:t>
      </w:r>
      <w:r>
        <w:rPr>
          <w:rFonts w:ascii="Tahoma"/>
          <w:color w:val="373435"/>
          <w:spacing w:val="13"/>
          <w:position w:val="1"/>
          <w:sz w:val="16"/>
        </w:rPr>
        <w:t> </w:t>
      </w:r>
      <w:hyperlink r:id="rId9">
        <w:r>
          <w:rPr>
            <w:rFonts w:ascii="Tahoma"/>
            <w:color w:val="373435"/>
            <w:spacing w:val="-2"/>
            <w:w w:val="90"/>
            <w:position w:val="1"/>
            <w:sz w:val="16"/>
          </w:rPr>
          <w:t>ammarahbadar@yahoo.co.in</w:t>
        </w:r>
      </w:hyperlink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spacing w:after="0"/>
        <w:rPr>
          <w:rFonts w:ascii="Tahoma"/>
          <w:sz w:val="20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2060" w:h="15840"/>
          <w:pgMar w:header="0" w:footer="626" w:top="520" w:bottom="820" w:left="700" w:right="680"/>
          <w:pgNumType w:start="1"/>
        </w:sectPr>
      </w:pPr>
    </w:p>
    <w:p>
      <w:pPr>
        <w:pStyle w:val="Heading1"/>
        <w:spacing w:line="470" w:lineRule="atLeast" w:before="4"/>
        <w:ind w:right="2290"/>
      </w:pPr>
      <w:r>
        <w:rPr>
          <w:color w:val="76C04E"/>
          <w:spacing w:val="-2"/>
          <w:w w:val="85"/>
        </w:rPr>
        <w:t>ABSTRACT OBJECTIVE</w:t>
      </w:r>
    </w:p>
    <w:p>
      <w:pPr>
        <w:pStyle w:val="BodyText"/>
        <w:spacing w:line="247" w:lineRule="auto" w:before="6"/>
        <w:ind w:left="103" w:right="39"/>
        <w:jc w:val="both"/>
      </w:pPr>
      <w:r>
        <w:rPr>
          <w:color w:val="373435"/>
          <w:w w:val="95"/>
        </w:rPr>
        <w:t>Objective: To determine the frequency and level of </w:t>
      </w:r>
      <w:r>
        <w:rPr>
          <w:color w:val="373435"/>
          <w:w w:val="90"/>
        </w:rPr>
        <w:t>suicide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risk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patients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schizophrenia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presenting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 </w:t>
      </w:r>
      <w:r>
        <w:rPr>
          <w:color w:val="373435"/>
        </w:rPr>
        <w:t>tertiary</w:t>
      </w:r>
      <w:r>
        <w:rPr>
          <w:color w:val="373435"/>
          <w:spacing w:val="-32"/>
        </w:rPr>
        <w:t> </w:t>
      </w:r>
      <w:r>
        <w:rPr>
          <w:color w:val="373435"/>
        </w:rPr>
        <w:t>care</w:t>
      </w:r>
      <w:r>
        <w:rPr>
          <w:color w:val="373435"/>
          <w:spacing w:val="-32"/>
        </w:rPr>
        <w:t> </w:t>
      </w:r>
      <w:r>
        <w:rPr>
          <w:color w:val="373435"/>
        </w:rPr>
        <w:t>hospital.</w:t>
      </w:r>
    </w:p>
    <w:p>
      <w:pPr>
        <w:pStyle w:val="BodyText"/>
        <w:spacing w:before="5"/>
        <w:rPr>
          <w:sz w:val="22"/>
        </w:rPr>
      </w:pPr>
    </w:p>
    <w:p>
      <w:pPr>
        <w:pStyle w:val="Heading1"/>
      </w:pPr>
      <w:r>
        <w:rPr>
          <w:color w:val="76C04E"/>
          <w:spacing w:val="-4"/>
          <w:w w:val="90"/>
        </w:rPr>
        <w:t>STUDY</w:t>
      </w:r>
      <w:r>
        <w:rPr>
          <w:color w:val="76C04E"/>
          <w:spacing w:val="-5"/>
        </w:rPr>
        <w:t> </w:t>
      </w:r>
      <w:r>
        <w:rPr>
          <w:color w:val="76C04E"/>
          <w:spacing w:val="-2"/>
        </w:rPr>
        <w:t>DESIGN</w:t>
      </w:r>
    </w:p>
    <w:p>
      <w:pPr>
        <w:pStyle w:val="BodyText"/>
        <w:spacing w:before="21"/>
        <w:ind w:left="103"/>
        <w:jc w:val="both"/>
      </w:pPr>
      <w:r>
        <w:rPr>
          <w:color w:val="373435"/>
          <w:w w:val="90"/>
        </w:rPr>
        <w:t>Cross</w:t>
      </w:r>
      <w:r>
        <w:rPr>
          <w:color w:val="373435"/>
          <w:spacing w:val="1"/>
        </w:rPr>
        <w:t> </w:t>
      </w:r>
      <w:r>
        <w:rPr>
          <w:color w:val="373435"/>
          <w:w w:val="90"/>
        </w:rPr>
        <w:t>sectional</w:t>
      </w:r>
      <w:r>
        <w:rPr>
          <w:color w:val="373435"/>
          <w:spacing w:val="1"/>
        </w:rPr>
        <w:t> </w:t>
      </w:r>
      <w:r>
        <w:rPr>
          <w:color w:val="373435"/>
          <w:w w:val="90"/>
        </w:rPr>
        <w:t>descriptive</w:t>
      </w:r>
      <w:r>
        <w:rPr>
          <w:color w:val="373435"/>
          <w:spacing w:val="1"/>
        </w:rPr>
        <w:t> </w:t>
      </w:r>
      <w:r>
        <w:rPr>
          <w:color w:val="373435"/>
          <w:spacing w:val="-2"/>
          <w:w w:val="90"/>
        </w:rPr>
        <w:t>study.</w:t>
      </w:r>
    </w:p>
    <w:p>
      <w:pPr>
        <w:pStyle w:val="BodyText"/>
        <w:spacing w:before="2"/>
        <w:rPr>
          <w:sz w:val="26"/>
        </w:rPr>
      </w:pPr>
    </w:p>
    <w:p>
      <w:pPr>
        <w:pStyle w:val="Heading1"/>
      </w:pPr>
      <w:r>
        <w:rPr>
          <w:color w:val="76C04E"/>
          <w:w w:val="90"/>
        </w:rPr>
        <w:t>PLACE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AND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DURATION</w:t>
      </w:r>
      <w:r>
        <w:rPr>
          <w:color w:val="76C04E"/>
          <w:spacing w:val="-1"/>
          <w:w w:val="90"/>
        </w:rPr>
        <w:t> </w:t>
      </w:r>
      <w:r>
        <w:rPr>
          <w:color w:val="76C04E"/>
          <w:w w:val="90"/>
        </w:rPr>
        <w:t>OF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THE</w:t>
      </w:r>
      <w:r>
        <w:rPr>
          <w:color w:val="76C04E"/>
          <w:spacing w:val="-2"/>
          <w:w w:val="90"/>
        </w:rPr>
        <w:t> STUDY</w:t>
      </w:r>
    </w:p>
    <w:p>
      <w:pPr>
        <w:pStyle w:val="BodyText"/>
        <w:spacing w:line="249" w:lineRule="auto" w:before="21"/>
        <w:ind w:left="103" w:right="39"/>
        <w:jc w:val="both"/>
      </w:pPr>
      <w:r>
        <w:rPr>
          <w:color w:val="373435"/>
          <w:w w:val="95"/>
        </w:rPr>
        <w:t>Department</w:t>
      </w:r>
      <w:r>
        <w:rPr>
          <w:color w:val="373435"/>
          <w:w w:val="95"/>
        </w:rPr>
        <w:t> of</w:t>
      </w:r>
      <w:r>
        <w:rPr>
          <w:color w:val="373435"/>
          <w:w w:val="95"/>
        </w:rPr>
        <w:t> Psychiatry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Behavioral</w:t>
      </w:r>
      <w:r>
        <w:rPr>
          <w:color w:val="373435"/>
          <w:w w:val="95"/>
        </w:rPr>
        <w:t> Sciences, </w:t>
      </w:r>
      <w:r>
        <w:rPr>
          <w:color w:val="373435"/>
          <w:spacing w:val="-2"/>
        </w:rPr>
        <w:t>JPMC,</w:t>
      </w:r>
      <w:r>
        <w:rPr>
          <w:color w:val="373435"/>
          <w:spacing w:val="-31"/>
        </w:rPr>
        <w:t> </w:t>
      </w:r>
      <w:r>
        <w:rPr>
          <w:color w:val="373435"/>
          <w:spacing w:val="-2"/>
        </w:rPr>
        <w:t>Karachi,</w:t>
      </w:r>
      <w:r>
        <w:rPr>
          <w:color w:val="373435"/>
          <w:spacing w:val="-32"/>
        </w:rPr>
        <w:t> </w:t>
      </w:r>
      <w:r>
        <w:rPr>
          <w:color w:val="373435"/>
          <w:spacing w:val="-2"/>
        </w:rPr>
        <w:t>Pakistan.</w:t>
      </w:r>
    </w:p>
    <w:p>
      <w:pPr>
        <w:pStyle w:val="BodyText"/>
        <w:spacing w:before="11"/>
        <w:rPr>
          <w:sz w:val="26"/>
        </w:rPr>
      </w:pPr>
    </w:p>
    <w:p>
      <w:pPr>
        <w:pStyle w:val="Heading1"/>
      </w:pPr>
      <w:r>
        <w:rPr>
          <w:color w:val="76C04E"/>
          <w:spacing w:val="-2"/>
          <w:w w:val="90"/>
        </w:rPr>
        <w:t>SUBJECTS</w:t>
      </w:r>
      <w:r>
        <w:rPr>
          <w:color w:val="76C04E"/>
          <w:spacing w:val="-8"/>
        </w:rPr>
        <w:t> </w:t>
      </w:r>
      <w:r>
        <w:rPr>
          <w:color w:val="76C04E"/>
          <w:spacing w:val="-2"/>
          <w:w w:val="90"/>
        </w:rPr>
        <w:t>AND</w:t>
      </w:r>
      <w:r>
        <w:rPr>
          <w:color w:val="76C04E"/>
          <w:spacing w:val="-7"/>
        </w:rPr>
        <w:t> </w:t>
      </w:r>
      <w:r>
        <w:rPr>
          <w:color w:val="76C04E"/>
          <w:spacing w:val="-2"/>
          <w:w w:val="90"/>
        </w:rPr>
        <w:t>METHODS</w:t>
      </w:r>
    </w:p>
    <w:p>
      <w:pPr>
        <w:pStyle w:val="BodyText"/>
        <w:spacing w:line="247" w:lineRule="auto" w:before="51"/>
        <w:ind w:left="102" w:right="38"/>
        <w:jc w:val="both"/>
      </w:pPr>
      <w:r>
        <w:rPr>
          <w:color w:val="373435"/>
          <w:spacing w:val="9"/>
        </w:rPr>
        <w:t>Two</w:t>
      </w:r>
      <w:r>
        <w:rPr>
          <w:color w:val="373435"/>
          <w:spacing w:val="9"/>
        </w:rPr>
        <w:t> </w:t>
      </w:r>
      <w:r>
        <w:rPr>
          <w:color w:val="373435"/>
          <w:spacing w:val="16"/>
        </w:rPr>
        <w:t>hundred</w:t>
      </w:r>
      <w:r>
        <w:rPr>
          <w:color w:val="373435"/>
          <w:spacing w:val="16"/>
        </w:rPr>
        <w:t> previously</w:t>
      </w:r>
      <w:r>
        <w:rPr>
          <w:color w:val="373435"/>
          <w:spacing w:val="16"/>
        </w:rPr>
        <w:t> diagnosed</w:t>
      </w:r>
      <w:r>
        <w:rPr>
          <w:color w:val="373435"/>
          <w:spacing w:val="16"/>
        </w:rPr>
        <w:t> </w:t>
      </w:r>
      <w:r>
        <w:rPr>
          <w:color w:val="373435"/>
          <w:spacing w:val="15"/>
        </w:rPr>
        <w:t>cases</w:t>
      </w:r>
      <w:r>
        <w:rPr>
          <w:color w:val="373435"/>
          <w:spacing w:val="15"/>
        </w:rPr>
        <w:t> </w:t>
      </w:r>
      <w:r>
        <w:rPr>
          <w:color w:val="373435"/>
          <w:spacing w:val="9"/>
        </w:rPr>
        <w:t>of </w:t>
      </w:r>
      <w:r>
        <w:rPr>
          <w:color w:val="373435"/>
          <w:w w:val="95"/>
        </w:rPr>
        <w:t>Schizophrenia, including males and females, 18 </w:t>
      </w:r>
      <w:r>
        <w:rPr>
          <w:color w:val="373435"/>
          <w:w w:val="95"/>
        </w:rPr>
        <w:t>years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above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by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age,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were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enrolled.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Patients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with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mental </w:t>
      </w:r>
      <w:r>
        <w:rPr>
          <w:color w:val="373435"/>
          <w:w w:val="95"/>
        </w:rPr>
        <w:t>retardation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post-schizophrenic</w:t>
      </w:r>
      <w:r>
        <w:rPr>
          <w:color w:val="373435"/>
          <w:w w:val="95"/>
        </w:rPr>
        <w:t> depression</w:t>
      </w:r>
      <w:r>
        <w:rPr>
          <w:color w:val="373435"/>
          <w:w w:val="95"/>
        </w:rPr>
        <w:t> were excluded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control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confounding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factors.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Patients </w:t>
      </w:r>
      <w:r>
        <w:rPr>
          <w:color w:val="373435"/>
          <w:w w:val="90"/>
        </w:rPr>
        <w:t>were enrolled through consecutive purposive sampling. “California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Risk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Estimator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Suicide”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used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assess the outcome variable. Data were analyzed through SPSS </w:t>
      </w:r>
      <w:r>
        <w:rPr>
          <w:color w:val="373435"/>
          <w:spacing w:val="-2"/>
          <w:w w:val="90"/>
        </w:rPr>
        <w:t>version 17. P-value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&lt;0.05 was taken as significant.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Ethical </w:t>
      </w:r>
      <w:r>
        <w:rPr>
          <w:color w:val="373435"/>
        </w:rPr>
        <w:t>issues were addressed according to the IRB of the </w:t>
      </w:r>
      <w:r>
        <w:rPr>
          <w:color w:val="373435"/>
          <w:spacing w:val="-2"/>
        </w:rPr>
        <w:t>institute.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</w:pPr>
      <w:r>
        <w:rPr>
          <w:color w:val="76C04E"/>
          <w:spacing w:val="-2"/>
          <w:w w:val="95"/>
        </w:rPr>
        <w:t>RESULTS</w:t>
      </w:r>
    </w:p>
    <w:p>
      <w:pPr>
        <w:pStyle w:val="BodyText"/>
        <w:spacing w:line="247" w:lineRule="auto" w:before="5"/>
        <w:ind w:left="102" w:right="38"/>
        <w:jc w:val="both"/>
      </w:pPr>
      <w:r>
        <w:rPr>
          <w:color w:val="373435"/>
          <w:w w:val="85"/>
        </w:rPr>
        <w:t>Majority of patients were males, 18 to 29 years old, single, matriculate, having schizophrenia for less than five years. </w:t>
      </w:r>
      <w:r>
        <w:rPr>
          <w:color w:val="373435"/>
          <w:spacing w:val="9"/>
        </w:rPr>
        <w:t>Almost</w:t>
      </w:r>
      <w:r>
        <w:rPr>
          <w:color w:val="373435"/>
          <w:spacing w:val="1"/>
        </w:rPr>
        <w:t> </w:t>
      </w:r>
      <w:r>
        <w:rPr>
          <w:color w:val="373435"/>
          <w:spacing w:val="9"/>
        </w:rPr>
        <w:t>equal</w:t>
      </w:r>
      <w:r>
        <w:rPr>
          <w:color w:val="373435"/>
          <w:spacing w:val="1"/>
        </w:rPr>
        <w:t> </w:t>
      </w:r>
      <w:r>
        <w:rPr>
          <w:color w:val="373435"/>
          <w:spacing w:val="11"/>
        </w:rPr>
        <w:t>proportion</w:t>
      </w:r>
      <w:r>
        <w:rPr>
          <w:color w:val="373435"/>
          <w:spacing w:val="1"/>
        </w:rPr>
        <w:t> </w:t>
      </w:r>
      <w:r>
        <w:rPr>
          <w:color w:val="373435"/>
        </w:rPr>
        <w:t>of </w:t>
      </w:r>
      <w:r>
        <w:rPr>
          <w:color w:val="373435"/>
          <w:spacing w:val="10"/>
        </w:rPr>
        <w:t>patients</w:t>
      </w:r>
      <w:r>
        <w:rPr>
          <w:color w:val="373435"/>
          <w:spacing w:val="1"/>
        </w:rPr>
        <w:t> </w:t>
      </w:r>
      <w:r>
        <w:rPr>
          <w:color w:val="373435"/>
        </w:rPr>
        <w:t>had</w:t>
      </w:r>
      <w:r>
        <w:rPr>
          <w:color w:val="373435"/>
          <w:spacing w:val="-8"/>
        </w:rPr>
        <w:t> </w:t>
      </w:r>
      <w:r>
        <w:rPr>
          <w:color w:val="373435"/>
        </w:rPr>
        <w:t>“low”, </w:t>
      </w:r>
      <w:r>
        <w:rPr>
          <w:color w:val="373435"/>
          <w:w w:val="85"/>
        </w:rPr>
        <w:t>“moderate”</w:t>
      </w:r>
      <w:r>
        <w:rPr>
          <w:color w:val="373435"/>
          <w:spacing w:val="-6"/>
          <w:w w:val="85"/>
        </w:rPr>
        <w:t> </w:t>
      </w:r>
      <w:r>
        <w:rPr>
          <w:color w:val="373435"/>
          <w:w w:val="85"/>
        </w:rPr>
        <w:t>and“high”</w:t>
      </w:r>
      <w:r>
        <w:rPr>
          <w:color w:val="373435"/>
          <w:spacing w:val="-5"/>
          <w:w w:val="85"/>
        </w:rPr>
        <w:t> </w:t>
      </w:r>
      <w:r>
        <w:rPr>
          <w:color w:val="373435"/>
          <w:w w:val="85"/>
        </w:rPr>
        <w:t>severity</w:t>
      </w:r>
      <w:r>
        <w:rPr>
          <w:color w:val="373435"/>
          <w:spacing w:val="-1"/>
        </w:rPr>
        <w:t> </w:t>
      </w:r>
      <w:r>
        <w:rPr>
          <w:color w:val="373435"/>
          <w:w w:val="85"/>
        </w:rPr>
        <w:t>of</w:t>
      </w:r>
      <w:r>
        <w:rPr>
          <w:color w:val="373435"/>
        </w:rPr>
        <w:t> </w:t>
      </w:r>
      <w:r>
        <w:rPr>
          <w:color w:val="373435"/>
          <w:w w:val="85"/>
        </w:rPr>
        <w:t>suicide</w:t>
      </w:r>
      <w:r>
        <w:rPr>
          <w:color w:val="373435"/>
        </w:rPr>
        <w:t> </w:t>
      </w:r>
      <w:r>
        <w:rPr>
          <w:color w:val="373435"/>
          <w:w w:val="85"/>
        </w:rPr>
        <w:t>risk,</w:t>
      </w:r>
      <w:r>
        <w:rPr>
          <w:color w:val="373435"/>
        </w:rPr>
        <w:t> </w:t>
      </w:r>
      <w:r>
        <w:rPr>
          <w:color w:val="373435"/>
          <w:w w:val="85"/>
        </w:rPr>
        <w:t>signifying</w:t>
      </w:r>
      <w:r>
        <w:rPr>
          <w:color w:val="373435"/>
        </w:rPr>
        <w:t> </w:t>
      </w:r>
      <w:r>
        <w:rPr>
          <w:color w:val="373435"/>
          <w:w w:val="85"/>
        </w:rPr>
        <w:t>a </w:t>
      </w:r>
      <w:r>
        <w:rPr>
          <w:color w:val="373435"/>
          <w:w w:val="95"/>
        </w:rPr>
        <w:t>huge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amount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suicide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risk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compared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general </w:t>
      </w:r>
      <w:r>
        <w:rPr>
          <w:color w:val="373435"/>
          <w:spacing w:val="-2"/>
        </w:rPr>
        <w:t>population.</w:t>
      </w:r>
    </w:p>
    <w:p>
      <w:pPr>
        <w:pStyle w:val="BodyText"/>
        <w:spacing w:before="11"/>
        <w:rPr>
          <w:sz w:val="19"/>
        </w:rPr>
      </w:pPr>
    </w:p>
    <w:p>
      <w:pPr>
        <w:pStyle w:val="Heading1"/>
      </w:pPr>
      <w:r>
        <w:rPr>
          <w:color w:val="76C04E"/>
          <w:spacing w:val="-2"/>
        </w:rPr>
        <w:t>CONCLUSION</w:t>
      </w:r>
    </w:p>
    <w:p>
      <w:pPr>
        <w:pStyle w:val="BodyText"/>
        <w:spacing w:line="247" w:lineRule="auto" w:before="11"/>
        <w:ind w:left="102" w:right="39"/>
        <w:jc w:val="both"/>
      </w:pPr>
      <w:r>
        <w:rPr>
          <w:color w:val="373435"/>
        </w:rPr>
        <w:t>Patients with schizophrenia have significant risk of </w:t>
      </w:r>
      <w:r>
        <w:rPr>
          <w:color w:val="373435"/>
          <w:spacing w:val="9"/>
        </w:rPr>
        <w:t>suicide.</w:t>
      </w:r>
      <w:r>
        <w:rPr>
          <w:color w:val="373435"/>
          <w:spacing w:val="6"/>
        </w:rPr>
        <w:t> </w:t>
      </w:r>
      <w:r>
        <w:rPr>
          <w:color w:val="373435"/>
        </w:rPr>
        <w:t>Hence, </w:t>
      </w:r>
      <w:r>
        <w:rPr>
          <w:color w:val="373435"/>
          <w:spacing w:val="9"/>
        </w:rPr>
        <w:t>every</w:t>
      </w:r>
      <w:r>
        <w:rPr>
          <w:color w:val="373435"/>
          <w:spacing w:val="6"/>
        </w:rPr>
        <w:t> </w:t>
      </w:r>
      <w:r>
        <w:rPr>
          <w:color w:val="373435"/>
          <w:spacing w:val="9"/>
        </w:rPr>
        <w:t>patient</w:t>
      </w:r>
      <w:r>
        <w:rPr>
          <w:color w:val="373435"/>
          <w:spacing w:val="6"/>
        </w:rPr>
        <w:t> </w:t>
      </w:r>
      <w:r>
        <w:rPr>
          <w:color w:val="373435"/>
        </w:rPr>
        <w:t>must be </w:t>
      </w:r>
      <w:r>
        <w:rPr>
          <w:color w:val="373435"/>
          <w:spacing w:val="9"/>
        </w:rPr>
        <w:t>assessed </w:t>
      </w:r>
      <w:r>
        <w:rPr>
          <w:color w:val="373435"/>
          <w:w w:val="90"/>
        </w:rPr>
        <w:t>thoroughly for suicide risk.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 bio-psycho-social model </w:t>
      </w:r>
      <w:r>
        <w:rPr>
          <w:color w:val="373435"/>
        </w:rPr>
        <w:t>of health care is the key to manage patients with </w:t>
      </w:r>
      <w:r>
        <w:rPr>
          <w:color w:val="373435"/>
          <w:spacing w:val="-2"/>
        </w:rPr>
        <w:t>schizophrenia.</w:t>
      </w:r>
    </w:p>
    <w:p>
      <w:pPr>
        <w:pStyle w:val="BodyText"/>
        <w:spacing w:before="4"/>
        <w:rPr>
          <w:sz w:val="19"/>
        </w:rPr>
      </w:pPr>
    </w:p>
    <w:p>
      <w:pPr>
        <w:pStyle w:val="Heading1"/>
      </w:pPr>
      <w:r>
        <w:rPr>
          <w:color w:val="76C04E"/>
          <w:w w:val="85"/>
        </w:rPr>
        <w:t>KEY</w:t>
      </w:r>
      <w:r>
        <w:rPr>
          <w:color w:val="76C04E"/>
          <w:spacing w:val="-5"/>
          <w:w w:val="95"/>
        </w:rPr>
        <w:t> </w:t>
      </w:r>
      <w:r>
        <w:rPr>
          <w:color w:val="76C04E"/>
          <w:spacing w:val="-2"/>
          <w:w w:val="95"/>
        </w:rPr>
        <w:t>WORDS</w:t>
      </w:r>
    </w:p>
    <w:p>
      <w:pPr>
        <w:pStyle w:val="BodyText"/>
        <w:spacing w:before="46"/>
        <w:ind w:left="103"/>
        <w:jc w:val="both"/>
      </w:pPr>
      <w:r>
        <w:rPr>
          <w:color w:val="373435"/>
          <w:w w:val="90"/>
        </w:rPr>
        <w:t>Suicide,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Suicide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risk,</w:t>
      </w:r>
      <w:r>
        <w:rPr>
          <w:color w:val="373435"/>
          <w:spacing w:val="-11"/>
          <w:w w:val="90"/>
        </w:rPr>
        <w:t> </w:t>
      </w:r>
      <w:r>
        <w:rPr>
          <w:color w:val="373435"/>
          <w:spacing w:val="-2"/>
          <w:w w:val="90"/>
        </w:rPr>
        <w:t>Schizophrenia.</w:t>
      </w:r>
    </w:p>
    <w:p>
      <w:pPr>
        <w:spacing w:line="240" w:lineRule="auto" w:before="1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1"/>
        <w:ind w:left="105"/>
      </w:pPr>
      <w:r>
        <w:rPr>
          <w:color w:val="76C04E"/>
          <w:spacing w:val="-2"/>
        </w:rPr>
        <w:t>INTRODUCTION</w:t>
      </w:r>
    </w:p>
    <w:p>
      <w:pPr>
        <w:pStyle w:val="BodyText"/>
        <w:spacing w:before="1"/>
        <w:rPr>
          <w:rFonts w:ascii="Gill Sans MT"/>
          <w:b/>
          <w:sz w:val="21"/>
        </w:rPr>
      </w:pPr>
    </w:p>
    <w:p>
      <w:pPr>
        <w:pStyle w:val="BodyText"/>
        <w:spacing w:line="249" w:lineRule="auto"/>
        <w:ind w:left="103" w:right="124"/>
        <w:jc w:val="both"/>
      </w:pPr>
      <w:r>
        <w:rPr/>
        <w:pict>
          <v:line style="position:absolute;mso-position-horizontal-relative:page;mso-position-vertical-relative:paragraph;z-index:15729152" from="265.859711pt,-23.805029pt" to="265.859711pt,490.277771pt" stroked="true" strokeweight="2.74990pt" strokecolor="#76c04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260.159210pt,-23.805029pt" to="260.159210pt,490.277771pt" stroked="true" strokeweight="1.0001pt" strokecolor="#76c04e">
            <v:stroke dashstyle="solid"/>
            <w10:wrap type="none"/>
          </v:line>
        </w:pict>
      </w:r>
      <w:r>
        <w:rPr>
          <w:color w:val="373435"/>
          <w:spacing w:val="-2"/>
          <w:w w:val="95"/>
        </w:rPr>
        <w:t>Suicide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is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defined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as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an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act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that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a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person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willingly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purposefully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does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to </w:t>
      </w:r>
      <w:r>
        <w:rPr>
          <w:color w:val="373435"/>
          <w:w w:val="95"/>
        </w:rPr>
        <w:t>end his or her life. According to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WHO, approximately one million people </w:t>
      </w:r>
      <w:r>
        <w:rPr>
          <w:color w:val="373435"/>
        </w:rPr>
        <w:t>commit</w:t>
      </w:r>
      <w:r>
        <w:rPr>
          <w:color w:val="373435"/>
          <w:spacing w:val="-10"/>
        </w:rPr>
        <w:t> </w:t>
      </w:r>
      <w:r>
        <w:rPr>
          <w:color w:val="373435"/>
        </w:rPr>
        <w:t>suicide</w:t>
      </w:r>
      <w:r>
        <w:rPr>
          <w:color w:val="373435"/>
          <w:spacing w:val="-10"/>
        </w:rPr>
        <w:t> </w:t>
      </w:r>
      <w:r>
        <w:rPr>
          <w:color w:val="373435"/>
        </w:rPr>
        <w:t>each</w:t>
      </w:r>
      <w:r>
        <w:rPr>
          <w:color w:val="373435"/>
          <w:spacing w:val="-10"/>
        </w:rPr>
        <w:t> </w:t>
      </w:r>
      <w:r>
        <w:rPr>
          <w:color w:val="373435"/>
        </w:rPr>
        <w:t>year</w:t>
      </w:r>
      <w:r>
        <w:rPr>
          <w:color w:val="373435"/>
          <w:spacing w:val="-10"/>
        </w:rPr>
        <w:t> </w:t>
      </w:r>
      <w:r>
        <w:rPr>
          <w:color w:val="373435"/>
        </w:rPr>
        <w:t>worldwide,</w:t>
      </w:r>
      <w:r>
        <w:rPr>
          <w:color w:val="373435"/>
          <w:spacing w:val="-10"/>
        </w:rPr>
        <w:t> </w:t>
      </w:r>
      <w:r>
        <w:rPr>
          <w:color w:val="373435"/>
        </w:rPr>
        <w:t>that</w:t>
      </w:r>
      <w:r>
        <w:rPr>
          <w:color w:val="373435"/>
          <w:spacing w:val="-10"/>
        </w:rPr>
        <w:t> </w:t>
      </w:r>
      <w:r>
        <w:rPr>
          <w:color w:val="373435"/>
        </w:rPr>
        <w:t>is</w:t>
      </w:r>
      <w:r>
        <w:rPr>
          <w:color w:val="373435"/>
          <w:spacing w:val="-10"/>
        </w:rPr>
        <w:t> </w:t>
      </w:r>
      <w:r>
        <w:rPr>
          <w:color w:val="373435"/>
        </w:rPr>
        <w:t>about</w:t>
      </w:r>
      <w:r>
        <w:rPr>
          <w:color w:val="373435"/>
          <w:spacing w:val="-10"/>
        </w:rPr>
        <w:t> </w:t>
      </w:r>
      <w:r>
        <w:rPr>
          <w:color w:val="373435"/>
        </w:rPr>
        <w:t>one</w:t>
      </w:r>
      <w:r>
        <w:rPr>
          <w:color w:val="373435"/>
          <w:spacing w:val="-10"/>
        </w:rPr>
        <w:t> </w:t>
      </w:r>
      <w:r>
        <w:rPr>
          <w:color w:val="373435"/>
        </w:rPr>
        <w:t>death</w:t>
      </w:r>
      <w:r>
        <w:rPr>
          <w:color w:val="373435"/>
          <w:spacing w:val="-10"/>
        </w:rPr>
        <w:t> </w:t>
      </w:r>
      <w:r>
        <w:rPr>
          <w:color w:val="373435"/>
        </w:rPr>
        <w:t>every</w:t>
      </w:r>
      <w:r>
        <w:rPr>
          <w:color w:val="373435"/>
          <w:spacing w:val="-10"/>
        </w:rPr>
        <w:t> </w:t>
      </w:r>
      <w:r>
        <w:rPr>
          <w:color w:val="373435"/>
        </w:rPr>
        <w:t>40 seconds</w:t>
      </w:r>
      <w:r>
        <w:rPr>
          <w:color w:val="373435"/>
          <w:spacing w:val="-25"/>
        </w:rPr>
        <w:t> </w:t>
      </w:r>
      <w:r>
        <w:rPr>
          <w:color w:val="373435"/>
        </w:rPr>
        <w:t>or</w:t>
      </w:r>
      <w:r>
        <w:rPr>
          <w:color w:val="373435"/>
          <w:spacing w:val="-25"/>
        </w:rPr>
        <w:t> </w:t>
      </w:r>
      <w:r>
        <w:rPr>
          <w:color w:val="373435"/>
        </w:rPr>
        <w:t>3,000</w:t>
      </w:r>
      <w:r>
        <w:rPr>
          <w:color w:val="373435"/>
          <w:spacing w:val="-25"/>
        </w:rPr>
        <w:t> </w:t>
      </w:r>
      <w:r>
        <w:rPr>
          <w:color w:val="373435"/>
        </w:rPr>
        <w:t>per</w:t>
      </w:r>
      <w:r>
        <w:rPr>
          <w:color w:val="373435"/>
          <w:spacing w:val="-25"/>
        </w:rPr>
        <w:t> </w:t>
      </w:r>
      <w:r>
        <w:rPr>
          <w:color w:val="373435"/>
        </w:rPr>
        <w:t>day.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3" w:right="124"/>
        <w:jc w:val="both"/>
      </w:pPr>
      <w:r>
        <w:rPr>
          <w:color w:val="373435"/>
          <w:w w:val="95"/>
        </w:rPr>
        <w:t>Established risk factors for suicide include hopelessness</w:t>
      </w:r>
      <w:r>
        <w:rPr>
          <w:color w:val="373435"/>
          <w:w w:val="95"/>
          <w:position w:val="9"/>
          <w:sz w:val="9"/>
        </w:rPr>
        <w:t>1</w:t>
      </w:r>
      <w:r>
        <w:rPr>
          <w:color w:val="373435"/>
          <w:w w:val="95"/>
        </w:rPr>
        <w:t>, history of prior </w:t>
      </w:r>
      <w:r>
        <w:rPr>
          <w:color w:val="373435"/>
          <w:w w:val="90"/>
        </w:rPr>
        <w:t>attempt</w:t>
      </w:r>
      <w:r>
        <w:rPr>
          <w:color w:val="373435"/>
          <w:w w:val="90"/>
          <w:position w:val="9"/>
          <w:sz w:val="9"/>
        </w:rPr>
        <w:t>2</w:t>
      </w:r>
      <w:r>
        <w:rPr>
          <w:color w:val="373435"/>
          <w:w w:val="90"/>
        </w:rPr>
        <w:t>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isolation</w:t>
      </w:r>
      <w:r>
        <w:rPr>
          <w:color w:val="373435"/>
          <w:w w:val="90"/>
          <w:position w:val="9"/>
          <w:sz w:val="9"/>
        </w:rPr>
        <w:t>3</w:t>
      </w:r>
      <w:r>
        <w:rPr>
          <w:color w:val="373435"/>
          <w:w w:val="90"/>
        </w:rPr>
        <w:t>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family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conflict</w:t>
      </w:r>
      <w:r>
        <w:rPr>
          <w:color w:val="373435"/>
          <w:w w:val="90"/>
          <w:position w:val="9"/>
          <w:sz w:val="9"/>
        </w:rPr>
        <w:t>4</w:t>
      </w:r>
      <w:r>
        <w:rPr>
          <w:color w:val="373435"/>
          <w:w w:val="90"/>
        </w:rPr>
        <w:t>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marital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disharmony,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unemployment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and above all, psychiatric illnesses</w:t>
      </w:r>
      <w:r>
        <w:rPr>
          <w:color w:val="373435"/>
          <w:w w:val="90"/>
          <w:position w:val="9"/>
          <w:sz w:val="9"/>
        </w:rPr>
        <w:t>5</w:t>
      </w:r>
      <w:r>
        <w:rPr>
          <w:color w:val="373435"/>
          <w:w w:val="90"/>
        </w:rPr>
        <w:t>. Psychiatric illnesses account for around 90% </w:t>
      </w:r>
      <w:r>
        <w:rPr>
          <w:color w:val="373435"/>
        </w:rPr>
        <w:t>of</w:t>
      </w:r>
      <w:r>
        <w:rPr>
          <w:color w:val="373435"/>
          <w:spacing w:val="-30"/>
        </w:rPr>
        <w:t> </w:t>
      </w:r>
      <w:r>
        <w:rPr>
          <w:color w:val="373435"/>
        </w:rPr>
        <w:t>suicide</w:t>
      </w:r>
      <w:r>
        <w:rPr>
          <w:color w:val="373435"/>
          <w:spacing w:val="-30"/>
        </w:rPr>
        <w:t> </w:t>
      </w:r>
      <w:r>
        <w:rPr>
          <w:color w:val="373435"/>
        </w:rPr>
        <w:t>cases</w:t>
      </w:r>
      <w:r>
        <w:rPr>
          <w:color w:val="373435"/>
          <w:position w:val="9"/>
          <w:sz w:val="9"/>
        </w:rPr>
        <w:t>6</w:t>
      </w:r>
      <w:r>
        <w:rPr>
          <w:color w:val="373435"/>
        </w:rPr>
        <w:t>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44" w:lineRule="auto" w:before="1"/>
        <w:ind w:left="103" w:right="124"/>
        <w:jc w:val="both"/>
      </w:pPr>
      <w:r>
        <w:rPr>
          <w:color w:val="373435"/>
          <w:w w:val="90"/>
        </w:rPr>
        <w:t>Schizophrenia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major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psychiatric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disorder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carries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high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risk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suicide </w:t>
      </w:r>
      <w:r>
        <w:rPr>
          <w:color w:val="373435"/>
          <w:w w:val="95"/>
        </w:rPr>
        <w:t>(i.e. 4.9%)</w:t>
      </w:r>
      <w:r>
        <w:rPr>
          <w:color w:val="373435"/>
          <w:w w:val="95"/>
          <w:position w:val="9"/>
          <w:sz w:val="9"/>
        </w:rPr>
        <w:t>7</w:t>
      </w:r>
      <w:r>
        <w:rPr>
          <w:color w:val="373435"/>
          <w:w w:val="95"/>
        </w:rPr>
        <w:t>. Reportedly, the prevalence of schizophrenia is around 1% of </w:t>
      </w:r>
      <w:r>
        <w:rPr>
          <w:color w:val="373435"/>
          <w:w w:val="90"/>
        </w:rPr>
        <w:t>general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population,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estimating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20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lac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cases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schizophrenia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Pakistan</w:t>
      </w:r>
      <w:r>
        <w:rPr>
          <w:color w:val="373435"/>
          <w:w w:val="90"/>
          <w:position w:val="9"/>
          <w:sz w:val="9"/>
        </w:rPr>
        <w:t>8</w:t>
      </w:r>
      <w:r>
        <w:rPr>
          <w:color w:val="373435"/>
          <w:w w:val="90"/>
        </w:rPr>
        <w:t>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This </w:t>
      </w:r>
      <w:r>
        <w:rPr>
          <w:color w:val="373435"/>
        </w:rPr>
        <w:t>huge population having significant suicide risk deserves immediate </w:t>
      </w:r>
      <w:r>
        <w:rPr>
          <w:color w:val="373435"/>
          <w:spacing w:val="-2"/>
        </w:rPr>
        <w:t>attention.</w:t>
      </w:r>
    </w:p>
    <w:p>
      <w:pPr>
        <w:pStyle w:val="BodyText"/>
        <w:rPr>
          <w:sz w:val="19"/>
        </w:rPr>
      </w:pPr>
    </w:p>
    <w:p>
      <w:pPr>
        <w:pStyle w:val="BodyText"/>
        <w:spacing w:line="249" w:lineRule="auto"/>
        <w:ind w:left="103" w:right="125"/>
        <w:jc w:val="both"/>
      </w:pPr>
      <w:r>
        <w:rPr>
          <w:color w:val="373435"/>
          <w:w w:val="90"/>
        </w:rPr>
        <w:t>But risk of suicide is not assessed in Pakistan in Patients with </w:t>
      </w:r>
      <w:r>
        <w:rPr>
          <w:color w:val="373435"/>
          <w:w w:val="90"/>
        </w:rPr>
        <w:t>schizophrenia, </w:t>
      </w:r>
      <w:r>
        <w:rPr>
          <w:color w:val="373435"/>
          <w:w w:val="95"/>
        </w:rPr>
        <w:t>current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aims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fill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gap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literature.</w:t>
      </w:r>
    </w:p>
    <w:p>
      <w:pPr>
        <w:pStyle w:val="BodyText"/>
        <w:spacing w:before="5"/>
      </w:pPr>
    </w:p>
    <w:p>
      <w:pPr>
        <w:pStyle w:val="BodyText"/>
        <w:spacing w:line="249" w:lineRule="auto" w:before="1"/>
        <w:ind w:left="103" w:right="125"/>
        <w:jc w:val="both"/>
      </w:pPr>
      <w:r>
        <w:rPr>
          <w:color w:val="373435"/>
          <w:w w:val="90"/>
        </w:rPr>
        <w:t>The gathered data will help in improving the health care quality provided to </w:t>
      </w:r>
      <w:r>
        <w:rPr>
          <w:color w:val="373435"/>
          <w:w w:val="95"/>
        </w:rPr>
        <w:t>these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all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stages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ranging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assessment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treatment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and rehabilitation.</w:t>
      </w:r>
      <w:r>
        <w:rPr>
          <w:color w:val="373435"/>
          <w:spacing w:val="-32"/>
          <w:w w:val="95"/>
        </w:rPr>
        <w:t> </w:t>
      </w:r>
      <w:r>
        <w:rPr>
          <w:color w:val="373435"/>
          <w:w w:val="95"/>
        </w:rPr>
        <w:t>Thus,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huge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number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lives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may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saved.</w:t>
      </w:r>
    </w:p>
    <w:p>
      <w:pPr>
        <w:pStyle w:val="BodyText"/>
        <w:spacing w:before="2"/>
      </w:pPr>
    </w:p>
    <w:p>
      <w:pPr>
        <w:pStyle w:val="Heading1"/>
        <w:ind w:left="103"/>
      </w:pPr>
      <w:r>
        <w:rPr>
          <w:color w:val="76C04E"/>
          <w:w w:val="85"/>
        </w:rPr>
        <w:t>SUBJECTS</w:t>
      </w:r>
      <w:r>
        <w:rPr>
          <w:color w:val="76C04E"/>
          <w:spacing w:val="-3"/>
        </w:rPr>
        <w:t> </w:t>
      </w:r>
      <w:r>
        <w:rPr>
          <w:color w:val="76C04E"/>
          <w:w w:val="85"/>
        </w:rPr>
        <w:t>AND</w:t>
      </w:r>
      <w:r>
        <w:rPr>
          <w:color w:val="76C04E"/>
          <w:spacing w:val="-2"/>
        </w:rPr>
        <w:t> </w:t>
      </w:r>
      <w:r>
        <w:rPr>
          <w:color w:val="76C04E"/>
          <w:spacing w:val="-2"/>
          <w:w w:val="85"/>
        </w:rPr>
        <w:t>METHODS</w:t>
      </w:r>
    </w:p>
    <w:p>
      <w:pPr>
        <w:pStyle w:val="BodyText"/>
        <w:spacing w:before="7"/>
        <w:rPr>
          <w:rFonts w:ascii="Gill Sans MT"/>
          <w:b/>
          <w:sz w:val="19"/>
        </w:rPr>
      </w:pPr>
    </w:p>
    <w:p>
      <w:pPr>
        <w:pStyle w:val="Heading2"/>
        <w:ind w:left="103"/>
      </w:pPr>
      <w:r>
        <w:rPr>
          <w:color w:val="373435"/>
          <w:spacing w:val="-2"/>
        </w:rPr>
        <w:t>Participants</w:t>
      </w:r>
    </w:p>
    <w:p>
      <w:pPr>
        <w:pStyle w:val="BodyText"/>
        <w:spacing w:line="249" w:lineRule="auto" w:before="8"/>
        <w:ind w:left="102" w:right="122"/>
        <w:jc w:val="both"/>
      </w:pPr>
      <w:r>
        <w:rPr>
          <w:color w:val="373435"/>
          <w:w w:val="90"/>
        </w:rPr>
        <w:t>It was a descriptive cross-sectional study, conducted at The Department of Psychiatry and Behavioral Sciences, JPMC, Karachi. The ethical committee's approval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taken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before-hand.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total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200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known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cases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schizophrenia </w:t>
      </w:r>
      <w:r>
        <w:rPr>
          <w:color w:val="373435"/>
          <w:w w:val="95"/>
        </w:rPr>
        <w:t>including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both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genders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aged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18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years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above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enrolled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study </w:t>
      </w:r>
      <w:r>
        <w:rPr>
          <w:color w:val="373435"/>
        </w:rPr>
        <w:t>after taking informed consent. Those having mental retardation, </w:t>
      </w:r>
      <w:r>
        <w:rPr>
          <w:color w:val="373435"/>
          <w:w w:val="90"/>
        </w:rPr>
        <w:t>schizoaffective disorder, or post-schizophrenic depression were excluded to </w:t>
      </w:r>
      <w:r>
        <w:rPr>
          <w:color w:val="373435"/>
        </w:rPr>
        <w:t>control</w:t>
      </w:r>
      <w:r>
        <w:rPr>
          <w:color w:val="373435"/>
          <w:spacing w:val="-32"/>
        </w:rPr>
        <w:t> </w:t>
      </w:r>
      <w:r>
        <w:rPr>
          <w:color w:val="373435"/>
        </w:rPr>
        <w:t>the</w:t>
      </w:r>
      <w:r>
        <w:rPr>
          <w:color w:val="373435"/>
          <w:spacing w:val="-32"/>
        </w:rPr>
        <w:t> </w:t>
      </w:r>
      <w:r>
        <w:rPr>
          <w:color w:val="373435"/>
        </w:rPr>
        <w:t>confounding</w:t>
      </w:r>
      <w:r>
        <w:rPr>
          <w:color w:val="373435"/>
          <w:spacing w:val="-32"/>
        </w:rPr>
        <w:t> </w:t>
      </w:r>
      <w:r>
        <w:rPr>
          <w:color w:val="373435"/>
        </w:rPr>
        <w:t>factors.</w:t>
      </w:r>
    </w:p>
    <w:p>
      <w:pPr>
        <w:pStyle w:val="BodyText"/>
        <w:spacing w:before="2"/>
      </w:pPr>
    </w:p>
    <w:p>
      <w:pPr>
        <w:pStyle w:val="Heading2"/>
      </w:pPr>
      <w:r>
        <w:rPr>
          <w:color w:val="373435"/>
          <w:spacing w:val="-2"/>
        </w:rPr>
        <w:t>Instruments</w:t>
      </w:r>
    </w:p>
    <w:p>
      <w:pPr>
        <w:pStyle w:val="BodyText"/>
        <w:spacing w:line="249" w:lineRule="auto" w:before="7"/>
        <w:ind w:left="102" w:right="125"/>
        <w:jc w:val="both"/>
      </w:pPr>
      <w:r>
        <w:rPr>
          <w:color w:val="373435"/>
          <w:w w:val="90"/>
        </w:rPr>
        <w:t>A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standardized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tool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–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California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Risk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Estimator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Suicide,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used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assess </w:t>
      </w:r>
      <w:r>
        <w:rPr>
          <w:color w:val="373435"/>
          <w:w w:val="85"/>
        </w:rPr>
        <w:t>patient's particulars and the outcome variable i.e. Severity of Suicide Risk.</w:t>
      </w:r>
      <w:r>
        <w:rPr>
          <w:color w:val="373435"/>
          <w:spacing w:val="-3"/>
          <w:w w:val="85"/>
        </w:rPr>
        <w:t> </w:t>
      </w:r>
      <w:r>
        <w:rPr>
          <w:color w:val="373435"/>
          <w:w w:val="85"/>
        </w:rPr>
        <w:t>The </w:t>
      </w:r>
      <w:r>
        <w:rPr>
          <w:color w:val="373435"/>
          <w:w w:val="95"/>
        </w:rPr>
        <w:t>Suicide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risk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categorized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into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five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severity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groups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depending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upon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  <w:w w:val="90"/>
        </w:rPr>
        <w:t>total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score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California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Risk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Estimator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Suicide,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i.e.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very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low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risk,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low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risk, </w:t>
      </w:r>
      <w:r>
        <w:rPr>
          <w:color w:val="373435"/>
          <w:w w:val="95"/>
        </w:rPr>
        <w:t>moderate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risk,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high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risk</w:t>
      </w:r>
      <w:r>
        <w:rPr>
          <w:color w:val="373435"/>
          <w:spacing w:val="-12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very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high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risk.</w:t>
      </w:r>
    </w:p>
    <w:p>
      <w:pPr>
        <w:pStyle w:val="BodyText"/>
        <w:spacing w:before="9"/>
        <w:rPr>
          <w:sz w:val="17"/>
        </w:rPr>
      </w:pPr>
    </w:p>
    <w:p>
      <w:pPr>
        <w:pStyle w:val="Heading2"/>
      </w:pPr>
      <w:r>
        <w:rPr>
          <w:color w:val="373435"/>
          <w:spacing w:val="-2"/>
        </w:rPr>
        <w:t>Procedure</w:t>
      </w:r>
    </w:p>
    <w:p>
      <w:pPr>
        <w:pStyle w:val="BodyText"/>
        <w:spacing w:line="249" w:lineRule="auto" w:before="8"/>
        <w:ind w:left="102" w:right="125"/>
        <w:jc w:val="both"/>
      </w:pP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ethical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issues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dealt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according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IRB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institute.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data collected was analyzed using computer packages SPSS (Statistical Packages</w:t>
      </w:r>
      <w:r>
        <w:rPr>
          <w:color w:val="373435"/>
        </w:rPr>
        <w:t> of</w:t>
      </w:r>
      <w:r>
        <w:rPr>
          <w:color w:val="373435"/>
          <w:spacing w:val="-2"/>
        </w:rPr>
        <w:t> </w:t>
      </w:r>
      <w:r>
        <w:rPr>
          <w:color w:val="373435"/>
        </w:rPr>
        <w:t>Social</w:t>
      </w:r>
      <w:r>
        <w:rPr>
          <w:color w:val="373435"/>
          <w:spacing w:val="-1"/>
        </w:rPr>
        <w:t> </w:t>
      </w:r>
      <w:r>
        <w:rPr>
          <w:color w:val="373435"/>
        </w:rPr>
        <w:t>Sciences)</w:t>
      </w:r>
      <w:r>
        <w:rPr>
          <w:color w:val="373435"/>
          <w:spacing w:val="-1"/>
        </w:rPr>
        <w:t> </w:t>
      </w:r>
      <w:r>
        <w:rPr>
          <w:color w:val="373435"/>
        </w:rPr>
        <w:t>version</w:t>
      </w:r>
      <w:r>
        <w:rPr>
          <w:color w:val="373435"/>
          <w:spacing w:val="-1"/>
        </w:rPr>
        <w:t> </w:t>
      </w:r>
      <w:r>
        <w:rPr>
          <w:color w:val="373435"/>
        </w:rPr>
        <w:t>17.</w:t>
      </w:r>
      <w:r>
        <w:rPr>
          <w:color w:val="373435"/>
          <w:spacing w:val="-1"/>
        </w:rPr>
        <w:t> </w:t>
      </w:r>
      <w:r>
        <w:rPr>
          <w:color w:val="373435"/>
        </w:rPr>
        <w:t>Mean</w:t>
      </w:r>
      <w:r>
        <w:rPr>
          <w:color w:val="373435"/>
          <w:spacing w:val="-2"/>
        </w:rPr>
        <w:t> </w:t>
      </w:r>
      <w:r>
        <w:rPr>
          <w:color w:val="373435"/>
        </w:rPr>
        <w:t>and</w:t>
      </w:r>
      <w:r>
        <w:rPr>
          <w:color w:val="373435"/>
          <w:spacing w:val="-2"/>
        </w:rPr>
        <w:t> </w:t>
      </w:r>
      <w:r>
        <w:rPr>
          <w:color w:val="373435"/>
        </w:rPr>
        <w:t>standard</w:t>
      </w:r>
      <w:r>
        <w:rPr>
          <w:color w:val="373435"/>
          <w:spacing w:val="-1"/>
        </w:rPr>
        <w:t> </w:t>
      </w:r>
      <w:r>
        <w:rPr>
          <w:color w:val="373435"/>
        </w:rPr>
        <w:t>deviation</w:t>
      </w:r>
      <w:r>
        <w:rPr>
          <w:color w:val="373435"/>
          <w:spacing w:val="-1"/>
        </w:rPr>
        <w:t> </w:t>
      </w:r>
      <w:r>
        <w:rPr>
          <w:color w:val="373435"/>
        </w:rPr>
        <w:t>(SD)</w:t>
      </w:r>
      <w:r>
        <w:rPr>
          <w:color w:val="373435"/>
          <w:spacing w:val="-2"/>
        </w:rPr>
        <w:t> </w:t>
      </w:r>
      <w:r>
        <w:rPr>
          <w:color w:val="373435"/>
          <w:spacing w:val="-4"/>
        </w:rPr>
        <w:t>were</w:t>
      </w:r>
    </w:p>
    <w:p>
      <w:pPr>
        <w:spacing w:after="0" w:line="249" w:lineRule="auto"/>
        <w:jc w:val="both"/>
        <w:sectPr>
          <w:type w:val="continuous"/>
          <w:pgSz w:w="12060" w:h="15840"/>
          <w:pgMar w:header="0" w:footer="626" w:top="520" w:bottom="820" w:left="700" w:right="680"/>
          <w:cols w:num="2" w:equalWidth="0">
            <w:col w:w="4295" w:space="515"/>
            <w:col w:w="5870"/>
          </w:cols>
        </w:sectPr>
      </w:pPr>
    </w:p>
    <w:p>
      <w:pPr>
        <w:pStyle w:val="BodyText"/>
        <w:spacing w:line="249" w:lineRule="auto" w:before="137"/>
        <w:ind w:left="120" w:right="38"/>
        <w:jc w:val="both"/>
      </w:pPr>
      <w:r>
        <w:rPr>
          <w:color w:val="373435"/>
          <w:w w:val="90"/>
        </w:rPr>
        <w:t>computed for all the quantitative variables (e.g. age). Categorical variables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(such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gender,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education)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outcome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variable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(i.e. </w:t>
      </w:r>
      <w:r>
        <w:rPr>
          <w:color w:val="373435"/>
        </w:rPr>
        <w:t>stratified</w:t>
      </w:r>
      <w:r>
        <w:rPr>
          <w:color w:val="373435"/>
          <w:spacing w:val="-6"/>
        </w:rPr>
        <w:t> </w:t>
      </w:r>
      <w:r>
        <w:rPr>
          <w:color w:val="373435"/>
        </w:rPr>
        <w:t>groups</w:t>
      </w:r>
      <w:r>
        <w:rPr>
          <w:color w:val="373435"/>
          <w:spacing w:val="-6"/>
        </w:rPr>
        <w:t> </w:t>
      </w:r>
      <w:r>
        <w:rPr>
          <w:color w:val="373435"/>
        </w:rPr>
        <w:t>of</w:t>
      </w:r>
      <w:r>
        <w:rPr>
          <w:color w:val="373435"/>
          <w:spacing w:val="-6"/>
        </w:rPr>
        <w:t> </w:t>
      </w:r>
      <w:r>
        <w:rPr>
          <w:color w:val="373435"/>
        </w:rPr>
        <w:t>severity</w:t>
      </w:r>
      <w:r>
        <w:rPr>
          <w:color w:val="373435"/>
          <w:spacing w:val="-6"/>
        </w:rPr>
        <w:t> </w:t>
      </w:r>
      <w:r>
        <w:rPr>
          <w:color w:val="373435"/>
        </w:rPr>
        <w:t>of</w:t>
      </w:r>
      <w:r>
        <w:rPr>
          <w:color w:val="373435"/>
          <w:spacing w:val="-6"/>
        </w:rPr>
        <w:t> </w:t>
      </w:r>
      <w:r>
        <w:rPr>
          <w:color w:val="373435"/>
        </w:rPr>
        <w:t>suicide</w:t>
      </w:r>
      <w:r>
        <w:rPr>
          <w:color w:val="373435"/>
          <w:spacing w:val="-6"/>
        </w:rPr>
        <w:t> </w:t>
      </w:r>
      <w:r>
        <w:rPr>
          <w:color w:val="373435"/>
        </w:rPr>
        <w:t>risk)</w:t>
      </w:r>
      <w:r>
        <w:rPr>
          <w:color w:val="373435"/>
          <w:spacing w:val="-6"/>
        </w:rPr>
        <w:t> </w:t>
      </w:r>
      <w:r>
        <w:rPr>
          <w:color w:val="373435"/>
        </w:rPr>
        <w:t>were</w:t>
      </w:r>
      <w:r>
        <w:rPr>
          <w:color w:val="373435"/>
          <w:spacing w:val="-6"/>
        </w:rPr>
        <w:t> </w:t>
      </w:r>
      <w:r>
        <w:rPr>
          <w:color w:val="373435"/>
        </w:rPr>
        <w:t>measured</w:t>
      </w:r>
      <w:r>
        <w:rPr>
          <w:color w:val="373435"/>
          <w:spacing w:val="-6"/>
        </w:rPr>
        <w:t> </w:t>
      </w:r>
      <w:r>
        <w:rPr>
          <w:color w:val="373435"/>
        </w:rPr>
        <w:t>in </w:t>
      </w:r>
      <w:r>
        <w:rPr>
          <w:color w:val="373435"/>
          <w:w w:val="90"/>
        </w:rPr>
        <w:t>frequencies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percentages.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Stratification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done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regard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to </w:t>
      </w:r>
      <w:r>
        <w:rPr>
          <w:color w:val="373435"/>
          <w:spacing w:val="-2"/>
          <w:w w:val="90"/>
        </w:rPr>
        <w:t>demographic</w:t>
      </w:r>
      <w:r>
        <w:rPr>
          <w:color w:val="373435"/>
          <w:spacing w:val="-7"/>
          <w:w w:val="90"/>
        </w:rPr>
        <w:t> </w:t>
      </w:r>
      <w:r>
        <w:rPr>
          <w:color w:val="373435"/>
          <w:spacing w:val="-2"/>
          <w:w w:val="90"/>
        </w:rPr>
        <w:t>factors, for the outcome variables.</w:t>
      </w:r>
      <w:r>
        <w:rPr>
          <w:color w:val="373435"/>
          <w:spacing w:val="-7"/>
          <w:w w:val="90"/>
        </w:rPr>
        <w:t> </w:t>
      </w:r>
      <w:r>
        <w:rPr>
          <w:color w:val="373435"/>
          <w:spacing w:val="-2"/>
          <w:w w:val="90"/>
        </w:rPr>
        <w:t>The impact of these </w:t>
      </w:r>
      <w:r>
        <w:rPr>
          <w:color w:val="373435"/>
          <w:w w:val="90"/>
        </w:rPr>
        <w:t>factors on the outcome variables was assessed by using chi-square </w:t>
      </w:r>
      <w:r>
        <w:rPr>
          <w:color w:val="373435"/>
          <w:w w:val="95"/>
        </w:rPr>
        <w:t>test.,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p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value</w:t>
      </w:r>
      <w:r>
        <w:rPr>
          <w:color w:val="373435"/>
          <w:spacing w:val="-30"/>
          <w:w w:val="95"/>
        </w:rPr>
        <w:t> </w:t>
      </w:r>
      <w:r>
        <w:rPr>
          <w:color w:val="373435"/>
          <w:w w:val="95"/>
        </w:rPr>
        <w:t>less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than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0.05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considered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significant.</w:t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spacing w:before="1"/>
        <w:ind w:left="120"/>
        <w:rPr>
          <w:rFonts w:ascii="Trebuchet MS"/>
        </w:rPr>
      </w:pPr>
      <w:r>
        <w:rPr>
          <w:rFonts w:ascii="Trebuchet MS"/>
          <w:color w:val="76C04E"/>
          <w:spacing w:val="-2"/>
        </w:rPr>
        <w:t>RESULTS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line="249" w:lineRule="auto"/>
        <w:ind w:left="119" w:right="39"/>
        <w:jc w:val="both"/>
      </w:pPr>
      <w:r>
        <w:rPr>
          <w:color w:val="373435"/>
          <w:w w:val="90"/>
        </w:rPr>
        <w:t>This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200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patients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showed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majority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patients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were males (60%), 18 to 29 years of age (47%), single (63%), matriculate </w:t>
      </w:r>
      <w:r>
        <w:rPr>
          <w:color w:val="373435"/>
          <w:w w:val="95"/>
        </w:rPr>
        <w:t>(26%),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having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illness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less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than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five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years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(39%).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19" w:right="38"/>
        <w:jc w:val="both"/>
      </w:pPr>
      <w:r>
        <w:rPr>
          <w:color w:val="373435"/>
          <w:w w:val="95"/>
        </w:rPr>
        <w:t>33%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very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low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low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risk,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37%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moderate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risk,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 </w:t>
      </w:r>
      <w:r>
        <w:rPr>
          <w:color w:val="373435"/>
          <w:w w:val="90"/>
        </w:rPr>
        <w:t>30%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had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high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very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high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risk.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Keeping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view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1%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risk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suicide in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general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population,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we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find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here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huge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majority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patients </w:t>
      </w:r>
      <w:r>
        <w:rPr>
          <w:color w:val="373435"/>
          <w:spacing w:val="-2"/>
          <w:w w:val="95"/>
        </w:rPr>
        <w:t>with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schizophrenia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have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remarkably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high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or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very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high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suicide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risk. </w:t>
      </w:r>
      <w:r>
        <w:rPr>
          <w:color w:val="373435"/>
          <w:w w:val="95"/>
        </w:rPr>
        <w:t>Thus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has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unveiled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an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alarming</w:t>
      </w:r>
      <w:r>
        <w:rPr>
          <w:color w:val="373435"/>
          <w:spacing w:val="-12"/>
          <w:w w:val="95"/>
        </w:rPr>
        <w:t> </w:t>
      </w:r>
      <w:r>
        <w:rPr>
          <w:color w:val="373435"/>
          <w:w w:val="95"/>
        </w:rPr>
        <w:t>situation.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19" w:right="39"/>
        <w:jc w:val="both"/>
      </w:pPr>
      <w:r>
        <w:rPr>
          <w:color w:val="373435"/>
        </w:rPr>
        <w:t>The study analyzed the effect modification of frequency and </w:t>
      </w:r>
      <w:r>
        <w:rPr>
          <w:color w:val="373435"/>
          <w:w w:val="90"/>
        </w:rPr>
        <w:t>severity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suicide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risk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by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stratifying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data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by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age,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duration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illness, </w:t>
      </w:r>
      <w:r>
        <w:rPr>
          <w:color w:val="373435"/>
          <w:w w:val="95"/>
        </w:rPr>
        <w:t>gender,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education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marital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status.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19" w:right="39"/>
        <w:jc w:val="both"/>
      </w:pPr>
      <w:r>
        <w:rPr>
          <w:color w:val="373435"/>
        </w:rPr>
        <w:t>When</w:t>
      </w:r>
      <w:r>
        <w:rPr>
          <w:color w:val="373435"/>
          <w:spacing w:val="-6"/>
        </w:rPr>
        <w:t> </w:t>
      </w:r>
      <w:r>
        <w:rPr>
          <w:color w:val="373435"/>
        </w:rPr>
        <w:t>data</w:t>
      </w:r>
      <w:r>
        <w:rPr>
          <w:color w:val="373435"/>
          <w:spacing w:val="-6"/>
        </w:rPr>
        <w:t> </w:t>
      </w:r>
      <w:r>
        <w:rPr>
          <w:color w:val="373435"/>
        </w:rPr>
        <w:t>was</w:t>
      </w:r>
      <w:r>
        <w:rPr>
          <w:color w:val="373435"/>
          <w:spacing w:val="-6"/>
        </w:rPr>
        <w:t> </w:t>
      </w:r>
      <w:r>
        <w:rPr>
          <w:color w:val="373435"/>
        </w:rPr>
        <w:t>stratified</w:t>
      </w:r>
      <w:r>
        <w:rPr>
          <w:color w:val="373435"/>
          <w:spacing w:val="-7"/>
        </w:rPr>
        <w:t> </w:t>
      </w:r>
      <w:r>
        <w:rPr>
          <w:color w:val="373435"/>
        </w:rPr>
        <w:t>according</w:t>
      </w:r>
      <w:r>
        <w:rPr>
          <w:color w:val="373435"/>
          <w:spacing w:val="-6"/>
        </w:rPr>
        <w:t> </w:t>
      </w:r>
      <w:r>
        <w:rPr>
          <w:color w:val="373435"/>
        </w:rPr>
        <w:t>to</w:t>
      </w:r>
      <w:r>
        <w:rPr>
          <w:color w:val="373435"/>
          <w:spacing w:val="-6"/>
        </w:rPr>
        <w:t> </w:t>
      </w:r>
      <w:r>
        <w:rPr>
          <w:color w:val="373435"/>
        </w:rPr>
        <w:t>age</w:t>
      </w:r>
      <w:r>
        <w:rPr>
          <w:color w:val="373435"/>
          <w:spacing w:val="-6"/>
        </w:rPr>
        <w:t> </w:t>
      </w:r>
      <w:r>
        <w:rPr>
          <w:color w:val="373435"/>
        </w:rPr>
        <w:t>through</w:t>
      </w:r>
      <w:r>
        <w:rPr>
          <w:color w:val="373435"/>
          <w:spacing w:val="-6"/>
        </w:rPr>
        <w:t> </w:t>
      </w:r>
      <w:r>
        <w:rPr>
          <w:color w:val="373435"/>
        </w:rPr>
        <w:t>chi</w:t>
      </w:r>
      <w:r>
        <w:rPr>
          <w:color w:val="373435"/>
          <w:spacing w:val="-6"/>
        </w:rPr>
        <w:t> </w:t>
      </w:r>
      <w:r>
        <w:rPr>
          <w:color w:val="373435"/>
        </w:rPr>
        <w:t>square </w:t>
      </w:r>
      <w:r>
        <w:rPr>
          <w:color w:val="373435"/>
          <w:w w:val="85"/>
        </w:rPr>
        <w:t>statistics, it was seen that around one third of the patients who fell </w:t>
      </w:r>
      <w:r>
        <w:rPr>
          <w:color w:val="373435"/>
          <w:w w:val="85"/>
        </w:rPr>
        <w:t>in </w:t>
      </w:r>
      <w:r>
        <w:rPr>
          <w:color w:val="373435"/>
          <w:w w:val="90"/>
        </w:rPr>
        <w:t>the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age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bracket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18-29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years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had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moderate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risk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suicide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(36.2%, </w:t>
      </w:r>
      <w:r>
        <w:rPr>
          <w:color w:val="373435"/>
          <w:w w:val="95"/>
        </w:rPr>
        <w:t>n=34).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High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very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high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risk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seen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least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number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these </w:t>
      </w:r>
      <w:r>
        <w:rPr>
          <w:color w:val="373435"/>
          <w:w w:val="90"/>
        </w:rPr>
        <w:t>patients,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12.8%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(n=12)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each.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36.4%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(n=24)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patients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who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fell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 age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bracket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30-39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years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had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moderate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risk.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Least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number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these </w:t>
      </w:r>
      <w:r>
        <w:rPr>
          <w:color w:val="373435"/>
          <w:spacing w:val="-2"/>
          <w:w w:val="90"/>
        </w:rPr>
        <w:t>patients</w:t>
      </w:r>
      <w:r>
        <w:rPr>
          <w:color w:val="373435"/>
          <w:spacing w:val="-6"/>
          <w:w w:val="90"/>
        </w:rPr>
        <w:t> </w:t>
      </w:r>
      <w:r>
        <w:rPr>
          <w:color w:val="373435"/>
          <w:spacing w:val="-2"/>
          <w:w w:val="90"/>
        </w:rPr>
        <w:t>fell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in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category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low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risk that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is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only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12.1%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(n=8)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the </w:t>
      </w:r>
      <w:r>
        <w:rPr>
          <w:color w:val="373435"/>
          <w:w w:val="95"/>
        </w:rPr>
        <w:t>total.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None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aged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40-49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years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very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high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risk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for </w:t>
      </w:r>
      <w:r>
        <w:rPr>
          <w:color w:val="373435"/>
          <w:spacing w:val="-2"/>
          <w:w w:val="90"/>
        </w:rPr>
        <w:t>suicide,</w:t>
      </w:r>
      <w:r>
        <w:rPr>
          <w:color w:val="373435"/>
          <w:spacing w:val="-7"/>
          <w:w w:val="90"/>
        </w:rPr>
        <w:t> </w:t>
      </w:r>
      <w:r>
        <w:rPr>
          <w:color w:val="373435"/>
          <w:spacing w:val="-2"/>
          <w:w w:val="90"/>
        </w:rPr>
        <w:t>most of them had moderate risk, 46.2% (n=12).</w:t>
      </w:r>
      <w:r>
        <w:rPr>
          <w:color w:val="373435"/>
          <w:spacing w:val="-7"/>
          <w:w w:val="90"/>
        </w:rPr>
        <w:t> </w:t>
      </w:r>
      <w:r>
        <w:rPr>
          <w:color w:val="373435"/>
          <w:spacing w:val="-2"/>
          <w:w w:val="90"/>
        </w:rPr>
        <w:t>These results </w:t>
      </w:r>
      <w:r>
        <w:rPr>
          <w:color w:val="373435"/>
          <w:w w:val="95"/>
        </w:rPr>
        <w:t>were</w:t>
      </w:r>
      <w:r>
        <w:rPr>
          <w:color w:val="373435"/>
          <w:spacing w:val="-30"/>
          <w:w w:val="95"/>
        </w:rPr>
        <w:t> </w:t>
      </w:r>
      <w:r>
        <w:rPr>
          <w:color w:val="373435"/>
          <w:w w:val="95"/>
        </w:rPr>
        <w:t>significant</w:t>
      </w:r>
      <w:r>
        <w:rPr>
          <w:color w:val="373435"/>
          <w:spacing w:val="-30"/>
          <w:w w:val="95"/>
        </w:rPr>
        <w:t> </w:t>
      </w:r>
      <w:r>
        <w:rPr>
          <w:color w:val="373435"/>
          <w:w w:val="95"/>
        </w:rPr>
        <w:t>at</w:t>
      </w:r>
      <w:r>
        <w:rPr>
          <w:color w:val="373435"/>
          <w:spacing w:val="-30"/>
          <w:w w:val="95"/>
        </w:rPr>
        <w:t> </w:t>
      </w:r>
      <w:r>
        <w:rPr>
          <w:color w:val="373435"/>
          <w:w w:val="95"/>
        </w:rPr>
        <w:t>á</w:t>
      </w:r>
      <w:r>
        <w:rPr>
          <w:color w:val="373435"/>
          <w:spacing w:val="-30"/>
          <w:w w:val="95"/>
        </w:rPr>
        <w:t> </w:t>
      </w:r>
      <w:r>
        <w:rPr>
          <w:color w:val="373435"/>
          <w:w w:val="95"/>
        </w:rPr>
        <w:t>=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0.05,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p</w:t>
      </w:r>
      <w:r>
        <w:rPr>
          <w:color w:val="373435"/>
          <w:spacing w:val="-30"/>
          <w:w w:val="95"/>
        </w:rPr>
        <w:t> </w:t>
      </w:r>
      <w:r>
        <w:rPr>
          <w:color w:val="373435"/>
          <w:w w:val="95"/>
        </w:rPr>
        <w:t>=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0.047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(see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table</w:t>
      </w:r>
      <w:r>
        <w:rPr>
          <w:color w:val="373435"/>
          <w:spacing w:val="-30"/>
          <w:w w:val="95"/>
        </w:rPr>
        <w:t> </w:t>
      </w:r>
      <w:r>
        <w:rPr>
          <w:color w:val="373435"/>
          <w:w w:val="95"/>
        </w:rPr>
        <w:t>3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details).</w:t>
      </w:r>
    </w:p>
    <w:p>
      <w:pPr>
        <w:pStyle w:val="BodyText"/>
        <w:spacing w:line="249" w:lineRule="auto" w:before="137"/>
        <w:ind w:left="119" w:right="125"/>
        <w:jc w:val="both"/>
      </w:pPr>
      <w:r>
        <w:rPr/>
        <w:br w:type="column"/>
      </w:r>
      <w:r>
        <w:rPr>
          <w:color w:val="373435"/>
          <w:w w:val="95"/>
        </w:rPr>
        <w:t>When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data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stratified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according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gender,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marital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status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and </w:t>
      </w:r>
      <w:r>
        <w:rPr>
          <w:color w:val="373435"/>
          <w:w w:val="90"/>
        </w:rPr>
        <w:t>education,</w:t>
      </w:r>
      <w:r>
        <w:rPr>
          <w:color w:val="373435"/>
        </w:rPr>
        <w:t> </w:t>
      </w:r>
      <w:r>
        <w:rPr>
          <w:color w:val="373435"/>
          <w:w w:val="90"/>
        </w:rPr>
        <w:t>findings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1"/>
        </w:rPr>
        <w:t> </w:t>
      </w:r>
      <w:r>
        <w:rPr>
          <w:color w:val="373435"/>
          <w:w w:val="90"/>
        </w:rPr>
        <w:t>not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significant</w:t>
      </w:r>
      <w:r>
        <w:rPr>
          <w:color w:val="373435"/>
        </w:rPr>
        <w:t> </w:t>
      </w:r>
      <w:r>
        <w:rPr>
          <w:color w:val="373435"/>
          <w:w w:val="90"/>
        </w:rPr>
        <w:t>(p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0.099,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p</w:t>
      </w:r>
      <w:r>
        <w:rPr>
          <w:color w:val="373435"/>
          <w:spacing w:val="1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.38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1"/>
        </w:rPr>
        <w:t> </w:t>
      </w:r>
      <w:r>
        <w:rPr>
          <w:color w:val="373435"/>
          <w:spacing w:val="-5"/>
          <w:w w:val="90"/>
        </w:rPr>
        <w:t>p=</w:t>
      </w:r>
    </w:p>
    <w:p>
      <w:pPr>
        <w:pStyle w:val="BodyText"/>
        <w:spacing w:line="207" w:lineRule="exact"/>
        <w:ind w:left="119"/>
        <w:jc w:val="both"/>
      </w:pPr>
      <w:r>
        <w:rPr>
          <w:color w:val="373435"/>
          <w:spacing w:val="-2"/>
          <w:w w:val="90"/>
        </w:rPr>
        <w:t>.18</w:t>
      </w:r>
      <w:r>
        <w:rPr>
          <w:color w:val="373435"/>
          <w:spacing w:val="-19"/>
          <w:w w:val="90"/>
        </w:rPr>
        <w:t> </w:t>
      </w:r>
      <w:r>
        <w:rPr>
          <w:color w:val="373435"/>
          <w:spacing w:val="-2"/>
          <w:w w:val="90"/>
        </w:rPr>
        <w:t>respectively,</w:t>
      </w:r>
      <w:r>
        <w:rPr>
          <w:color w:val="373435"/>
          <w:spacing w:val="-19"/>
          <w:w w:val="90"/>
        </w:rPr>
        <w:t> </w:t>
      </w:r>
      <w:r>
        <w:rPr>
          <w:color w:val="373435"/>
          <w:spacing w:val="-2"/>
          <w:w w:val="90"/>
        </w:rPr>
        <w:t>á</w:t>
      </w:r>
      <w:r>
        <w:rPr>
          <w:color w:val="373435"/>
          <w:spacing w:val="-19"/>
          <w:w w:val="90"/>
        </w:rPr>
        <w:t> </w:t>
      </w:r>
      <w:r>
        <w:rPr>
          <w:color w:val="373435"/>
          <w:spacing w:val="-2"/>
          <w:w w:val="90"/>
        </w:rPr>
        <w:t>=</w:t>
      </w:r>
      <w:r>
        <w:rPr>
          <w:color w:val="373435"/>
          <w:spacing w:val="-19"/>
          <w:w w:val="90"/>
        </w:rPr>
        <w:t> </w:t>
      </w:r>
      <w:r>
        <w:rPr>
          <w:color w:val="373435"/>
          <w:spacing w:val="-2"/>
          <w:w w:val="90"/>
        </w:rPr>
        <w:t>0.05).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49" w:lineRule="auto"/>
        <w:ind w:left="119" w:right="124"/>
        <w:jc w:val="both"/>
      </w:pPr>
      <w:r>
        <w:rPr>
          <w:color w:val="373435"/>
          <w:w w:val="90"/>
        </w:rPr>
        <w:t>When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duration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illness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analyzed,</w:t>
      </w:r>
      <w:r>
        <w:rPr>
          <w:color w:val="373435"/>
          <w:spacing w:val="23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seen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amongst </w:t>
      </w:r>
      <w:r>
        <w:rPr>
          <w:color w:val="373435"/>
          <w:w w:val="95"/>
        </w:rPr>
        <w:t>all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those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who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been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suffering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schizophrenia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less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than </w:t>
      </w:r>
      <w:r>
        <w:rPr>
          <w:color w:val="373435"/>
        </w:rPr>
        <w:t>five years, about one third patients had moderate risk for </w:t>
      </w:r>
      <w:r>
        <w:rPr>
          <w:color w:val="373435"/>
          <w:w w:val="90"/>
        </w:rPr>
        <w:t>suicide,33.3%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(n=26).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those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patients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who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had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been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suffering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from </w:t>
      </w:r>
      <w:r>
        <w:rPr>
          <w:color w:val="373435"/>
          <w:w w:val="95"/>
        </w:rPr>
        <w:t>5-10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years,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41.7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%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(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n=30)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moderate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risk.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Among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patients whose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duration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illness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11-19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years,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33.3%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(n=10)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has </w:t>
      </w:r>
      <w:r>
        <w:rPr>
          <w:color w:val="373435"/>
          <w:w w:val="85"/>
        </w:rPr>
        <w:t>high</w:t>
      </w:r>
      <w:r>
        <w:rPr>
          <w:color w:val="373435"/>
          <w:spacing w:val="-3"/>
          <w:w w:val="85"/>
        </w:rPr>
        <w:t> </w:t>
      </w:r>
      <w:r>
        <w:rPr>
          <w:color w:val="373435"/>
          <w:w w:val="85"/>
        </w:rPr>
        <w:t>risk.</w:t>
      </w:r>
      <w:r>
        <w:rPr>
          <w:color w:val="373435"/>
          <w:spacing w:val="-6"/>
          <w:w w:val="85"/>
        </w:rPr>
        <w:t> </w:t>
      </w:r>
      <w:r>
        <w:rPr>
          <w:color w:val="373435"/>
          <w:w w:val="85"/>
        </w:rPr>
        <w:t>These results were significant at á = 0.05, p = 0.00 (see table </w:t>
      </w:r>
      <w:r>
        <w:rPr>
          <w:color w:val="373435"/>
        </w:rPr>
        <w:t>4</w:t>
      </w:r>
      <w:r>
        <w:rPr>
          <w:color w:val="373435"/>
          <w:spacing w:val="-30"/>
        </w:rPr>
        <w:t> </w:t>
      </w:r>
      <w:r>
        <w:rPr>
          <w:color w:val="373435"/>
        </w:rPr>
        <w:t>for</w:t>
      </w:r>
      <w:r>
        <w:rPr>
          <w:color w:val="373435"/>
          <w:spacing w:val="-30"/>
        </w:rPr>
        <w:t> </w:t>
      </w:r>
      <w:r>
        <w:rPr>
          <w:color w:val="373435"/>
        </w:rPr>
        <w:t>details).</w:t>
      </w:r>
    </w:p>
    <w:p>
      <w:pPr>
        <w:pStyle w:val="Heading2"/>
        <w:spacing w:before="168"/>
        <w:ind w:left="123"/>
      </w:pPr>
      <w:r>
        <w:rPr>
          <w:color w:val="373435"/>
          <w:w w:val="90"/>
        </w:rPr>
        <w:t>Table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10"/>
        </w:rPr>
        <w:t>1</w:t>
      </w:r>
    </w:p>
    <w:p>
      <w:pPr>
        <w:pStyle w:val="BodyText"/>
        <w:spacing w:before="68"/>
        <w:ind w:left="123"/>
      </w:pPr>
      <w:r>
        <w:rPr>
          <w:color w:val="373435"/>
          <w:w w:val="95"/>
        </w:rPr>
        <w:t>Age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2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2"/>
          <w:w w:val="95"/>
        </w:rPr>
        <w:t> </w:t>
      </w:r>
      <w:r>
        <w:rPr>
          <w:color w:val="373435"/>
          <w:spacing w:val="-2"/>
          <w:w w:val="95"/>
        </w:rPr>
        <w:t>patients.</w:t>
      </w: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140" w:type="dxa"/>
        <w:tblBorders>
          <w:top w:val="single" w:sz="6" w:space="0" w:color="96989A"/>
          <w:left w:val="single" w:sz="6" w:space="0" w:color="96989A"/>
          <w:bottom w:val="single" w:sz="6" w:space="0" w:color="96989A"/>
          <w:right w:val="single" w:sz="6" w:space="0" w:color="96989A"/>
          <w:insideH w:val="single" w:sz="6" w:space="0" w:color="96989A"/>
          <w:insideV w:val="single" w:sz="6" w:space="0" w:color="96989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0"/>
        <w:gridCol w:w="1445"/>
        <w:gridCol w:w="948"/>
      </w:tblGrid>
      <w:tr>
        <w:trPr>
          <w:trHeight w:val="209" w:hRule="atLeast"/>
        </w:trPr>
        <w:tc>
          <w:tcPr>
            <w:tcW w:w="2550" w:type="dxa"/>
            <w:tcBorders>
              <w:left w:val="single" w:sz="8" w:space="0" w:color="96989A"/>
              <w:right w:val="single" w:sz="8" w:space="0" w:color="96989A"/>
            </w:tcBorders>
            <w:shd w:val="clear" w:color="auto" w:fill="9DD3AF"/>
          </w:tcPr>
          <w:p>
            <w:pPr>
              <w:pStyle w:val="TableParagraph"/>
              <w:spacing w:line="186" w:lineRule="exact" w:before="3"/>
              <w:ind w:left="50"/>
              <w:rPr>
                <w:rFonts w:ascii="Arial"/>
                <w:sz w:val="17"/>
              </w:rPr>
            </w:pPr>
            <w:r>
              <w:rPr>
                <w:rFonts w:ascii="Arial"/>
                <w:color w:val="373435"/>
                <w:sz w:val="17"/>
              </w:rPr>
              <w:t>Age</w:t>
            </w:r>
            <w:r>
              <w:rPr>
                <w:rFonts w:ascii="Arial"/>
                <w:color w:val="373435"/>
                <w:spacing w:val="-9"/>
                <w:sz w:val="17"/>
              </w:rPr>
              <w:t> </w:t>
            </w:r>
            <w:r>
              <w:rPr>
                <w:rFonts w:ascii="Arial"/>
                <w:color w:val="373435"/>
                <w:sz w:val="17"/>
              </w:rPr>
              <w:t>of</w:t>
            </w:r>
            <w:r>
              <w:rPr>
                <w:rFonts w:ascii="Arial"/>
                <w:color w:val="373435"/>
                <w:spacing w:val="-9"/>
                <w:sz w:val="17"/>
              </w:rPr>
              <w:t> </w:t>
            </w:r>
            <w:r>
              <w:rPr>
                <w:rFonts w:ascii="Arial"/>
                <w:color w:val="373435"/>
                <w:spacing w:val="-2"/>
                <w:sz w:val="17"/>
              </w:rPr>
              <w:t>patients</w:t>
            </w:r>
          </w:p>
        </w:tc>
        <w:tc>
          <w:tcPr>
            <w:tcW w:w="1445" w:type="dxa"/>
            <w:tcBorders>
              <w:left w:val="single" w:sz="8" w:space="0" w:color="96989A"/>
              <w:right w:val="single" w:sz="8" w:space="0" w:color="96989A"/>
            </w:tcBorders>
            <w:shd w:val="clear" w:color="auto" w:fill="9DD3AF"/>
          </w:tcPr>
          <w:p>
            <w:pPr>
              <w:pStyle w:val="TableParagraph"/>
              <w:spacing w:line="186" w:lineRule="exact" w:before="3"/>
              <w:ind w:left="397"/>
              <w:rPr>
                <w:rFonts w:ascii="Arial"/>
                <w:sz w:val="17"/>
              </w:rPr>
            </w:pPr>
            <w:r>
              <w:rPr>
                <w:rFonts w:ascii="Arial"/>
                <w:color w:val="373435"/>
                <w:spacing w:val="-2"/>
                <w:sz w:val="17"/>
              </w:rPr>
              <w:t>Frequency</w:t>
            </w:r>
          </w:p>
        </w:tc>
        <w:tc>
          <w:tcPr>
            <w:tcW w:w="948" w:type="dxa"/>
            <w:tcBorders>
              <w:left w:val="single" w:sz="8" w:space="0" w:color="96989A"/>
              <w:right w:val="single" w:sz="8" w:space="0" w:color="96989A"/>
            </w:tcBorders>
            <w:shd w:val="clear" w:color="auto" w:fill="9DD3AF"/>
          </w:tcPr>
          <w:p>
            <w:pPr>
              <w:pStyle w:val="TableParagraph"/>
              <w:spacing w:line="186" w:lineRule="exact" w:before="3"/>
              <w:ind w:left="238"/>
              <w:rPr>
                <w:rFonts w:ascii="Arial"/>
                <w:sz w:val="17"/>
              </w:rPr>
            </w:pPr>
            <w:r>
              <w:rPr>
                <w:rFonts w:ascii="Arial"/>
                <w:color w:val="373435"/>
                <w:spacing w:val="-2"/>
                <w:sz w:val="17"/>
              </w:rPr>
              <w:t>Percent</w:t>
            </w:r>
          </w:p>
        </w:tc>
      </w:tr>
      <w:tr>
        <w:trPr>
          <w:trHeight w:val="207" w:hRule="atLeast"/>
        </w:trPr>
        <w:tc>
          <w:tcPr>
            <w:tcW w:w="2550" w:type="dxa"/>
            <w:tcBorders>
              <w:left w:val="single" w:sz="8" w:space="0" w:color="96989A"/>
              <w:right w:val="single" w:sz="8" w:space="0" w:color="96989A"/>
            </w:tcBorders>
          </w:tcPr>
          <w:p>
            <w:pPr>
              <w:pStyle w:val="TableParagraph"/>
              <w:spacing w:line="185" w:lineRule="exact" w:before="3"/>
              <w:ind w:left="50"/>
              <w:rPr>
                <w:rFonts w:ascii="Arial"/>
                <w:sz w:val="17"/>
              </w:rPr>
            </w:pPr>
            <w:r>
              <w:rPr>
                <w:rFonts w:ascii="Arial"/>
                <w:color w:val="373435"/>
                <w:w w:val="95"/>
                <w:sz w:val="17"/>
              </w:rPr>
              <w:t>18-29</w:t>
            </w:r>
            <w:r>
              <w:rPr>
                <w:rFonts w:ascii="Arial"/>
                <w:color w:val="373435"/>
                <w:spacing w:val="6"/>
                <w:sz w:val="17"/>
              </w:rPr>
              <w:t> </w:t>
            </w:r>
            <w:r>
              <w:rPr>
                <w:rFonts w:ascii="Arial"/>
                <w:color w:val="373435"/>
                <w:spacing w:val="-4"/>
                <w:w w:val="95"/>
                <w:sz w:val="17"/>
              </w:rPr>
              <w:t>years</w:t>
            </w:r>
          </w:p>
        </w:tc>
        <w:tc>
          <w:tcPr>
            <w:tcW w:w="1445" w:type="dxa"/>
            <w:tcBorders>
              <w:left w:val="single" w:sz="8" w:space="0" w:color="96989A"/>
              <w:right w:val="single" w:sz="8" w:space="0" w:color="96989A"/>
            </w:tcBorders>
          </w:tcPr>
          <w:p>
            <w:pPr>
              <w:pStyle w:val="TableParagraph"/>
              <w:spacing w:line="185" w:lineRule="exact" w:before="3"/>
              <w:ind w:left="718" w:right="486"/>
              <w:jc w:val="center"/>
              <w:rPr>
                <w:rFonts w:ascii="Arial"/>
                <w:sz w:val="17"/>
              </w:rPr>
            </w:pPr>
            <w:r>
              <w:rPr>
                <w:rFonts w:ascii="Arial"/>
                <w:color w:val="373435"/>
                <w:spacing w:val="-5"/>
                <w:sz w:val="17"/>
              </w:rPr>
              <w:t>94</w:t>
            </w:r>
          </w:p>
        </w:tc>
        <w:tc>
          <w:tcPr>
            <w:tcW w:w="948" w:type="dxa"/>
            <w:tcBorders>
              <w:left w:val="single" w:sz="8" w:space="0" w:color="96989A"/>
              <w:right w:val="single" w:sz="8" w:space="0" w:color="96989A"/>
            </w:tcBorders>
          </w:tcPr>
          <w:p>
            <w:pPr>
              <w:pStyle w:val="TableParagraph"/>
              <w:spacing w:line="185" w:lineRule="exact" w:before="3"/>
              <w:ind w:left="394" w:right="313"/>
              <w:jc w:val="center"/>
              <w:rPr>
                <w:rFonts w:ascii="Arial"/>
                <w:sz w:val="17"/>
              </w:rPr>
            </w:pPr>
            <w:r>
              <w:rPr>
                <w:rFonts w:ascii="Arial"/>
                <w:color w:val="373435"/>
                <w:spacing w:val="-5"/>
                <w:sz w:val="17"/>
              </w:rPr>
              <w:t>47</w:t>
            </w:r>
          </w:p>
        </w:tc>
      </w:tr>
      <w:tr>
        <w:trPr>
          <w:trHeight w:val="209" w:hRule="atLeast"/>
        </w:trPr>
        <w:tc>
          <w:tcPr>
            <w:tcW w:w="2550" w:type="dxa"/>
            <w:tcBorders>
              <w:left w:val="single" w:sz="8" w:space="0" w:color="96989A"/>
              <w:right w:val="single" w:sz="8" w:space="0" w:color="96989A"/>
            </w:tcBorders>
          </w:tcPr>
          <w:p>
            <w:pPr>
              <w:pStyle w:val="TableParagraph"/>
              <w:spacing w:line="186" w:lineRule="exact" w:before="3"/>
              <w:ind w:left="50"/>
              <w:rPr>
                <w:rFonts w:ascii="Arial"/>
                <w:sz w:val="17"/>
              </w:rPr>
            </w:pPr>
            <w:r>
              <w:rPr>
                <w:rFonts w:ascii="Arial"/>
                <w:color w:val="373435"/>
                <w:w w:val="95"/>
                <w:sz w:val="17"/>
              </w:rPr>
              <w:t>30-39</w:t>
            </w:r>
            <w:r>
              <w:rPr>
                <w:rFonts w:ascii="Arial"/>
                <w:color w:val="373435"/>
                <w:spacing w:val="6"/>
                <w:sz w:val="17"/>
              </w:rPr>
              <w:t> </w:t>
            </w:r>
            <w:r>
              <w:rPr>
                <w:rFonts w:ascii="Arial"/>
                <w:color w:val="373435"/>
                <w:spacing w:val="-4"/>
                <w:w w:val="95"/>
                <w:sz w:val="17"/>
              </w:rPr>
              <w:t>years</w:t>
            </w:r>
          </w:p>
        </w:tc>
        <w:tc>
          <w:tcPr>
            <w:tcW w:w="1445" w:type="dxa"/>
            <w:tcBorders>
              <w:left w:val="single" w:sz="8" w:space="0" w:color="96989A"/>
              <w:right w:val="single" w:sz="8" w:space="0" w:color="96989A"/>
            </w:tcBorders>
          </w:tcPr>
          <w:p>
            <w:pPr>
              <w:pStyle w:val="TableParagraph"/>
              <w:spacing w:line="186" w:lineRule="exact" w:before="3"/>
              <w:ind w:left="718" w:right="486"/>
              <w:jc w:val="center"/>
              <w:rPr>
                <w:rFonts w:ascii="Arial"/>
                <w:sz w:val="17"/>
              </w:rPr>
            </w:pPr>
            <w:r>
              <w:rPr>
                <w:rFonts w:ascii="Arial"/>
                <w:color w:val="373435"/>
                <w:spacing w:val="-5"/>
                <w:sz w:val="17"/>
              </w:rPr>
              <w:t>66</w:t>
            </w:r>
          </w:p>
        </w:tc>
        <w:tc>
          <w:tcPr>
            <w:tcW w:w="948" w:type="dxa"/>
            <w:tcBorders>
              <w:left w:val="single" w:sz="8" w:space="0" w:color="96989A"/>
              <w:right w:val="single" w:sz="8" w:space="0" w:color="96989A"/>
            </w:tcBorders>
          </w:tcPr>
          <w:p>
            <w:pPr>
              <w:pStyle w:val="TableParagraph"/>
              <w:spacing w:line="186" w:lineRule="exact" w:before="3"/>
              <w:ind w:left="394" w:right="313"/>
              <w:jc w:val="center"/>
              <w:rPr>
                <w:rFonts w:ascii="Arial"/>
                <w:sz w:val="17"/>
              </w:rPr>
            </w:pPr>
            <w:r>
              <w:rPr>
                <w:rFonts w:ascii="Arial"/>
                <w:color w:val="373435"/>
                <w:spacing w:val="-5"/>
                <w:sz w:val="17"/>
              </w:rPr>
              <w:t>33</w:t>
            </w:r>
          </w:p>
        </w:tc>
      </w:tr>
      <w:tr>
        <w:trPr>
          <w:trHeight w:val="209" w:hRule="atLeast"/>
        </w:trPr>
        <w:tc>
          <w:tcPr>
            <w:tcW w:w="2550" w:type="dxa"/>
            <w:tcBorders>
              <w:left w:val="single" w:sz="8" w:space="0" w:color="96989A"/>
              <w:right w:val="single" w:sz="8" w:space="0" w:color="96989A"/>
            </w:tcBorders>
          </w:tcPr>
          <w:p>
            <w:pPr>
              <w:pStyle w:val="TableParagraph"/>
              <w:spacing w:line="186" w:lineRule="exact" w:before="3"/>
              <w:ind w:left="50"/>
              <w:rPr>
                <w:rFonts w:ascii="Arial"/>
                <w:sz w:val="17"/>
              </w:rPr>
            </w:pPr>
            <w:r>
              <w:rPr>
                <w:rFonts w:ascii="Arial"/>
                <w:color w:val="373435"/>
                <w:sz w:val="17"/>
              </w:rPr>
              <w:t>40</w:t>
            </w:r>
            <w:r>
              <w:rPr>
                <w:rFonts w:ascii="Arial"/>
                <w:color w:val="373435"/>
                <w:spacing w:val="-9"/>
                <w:sz w:val="17"/>
              </w:rPr>
              <w:t> </w:t>
            </w:r>
            <w:r>
              <w:rPr>
                <w:rFonts w:ascii="Arial"/>
                <w:color w:val="373435"/>
                <w:sz w:val="17"/>
              </w:rPr>
              <w:t>-49</w:t>
            </w:r>
            <w:r>
              <w:rPr>
                <w:rFonts w:ascii="Arial"/>
                <w:color w:val="373435"/>
                <w:spacing w:val="-9"/>
                <w:sz w:val="17"/>
              </w:rPr>
              <w:t> </w:t>
            </w:r>
            <w:r>
              <w:rPr>
                <w:rFonts w:ascii="Arial"/>
                <w:color w:val="373435"/>
                <w:spacing w:val="-2"/>
                <w:sz w:val="17"/>
              </w:rPr>
              <w:t>years</w:t>
            </w:r>
          </w:p>
        </w:tc>
        <w:tc>
          <w:tcPr>
            <w:tcW w:w="1445" w:type="dxa"/>
            <w:tcBorders>
              <w:left w:val="single" w:sz="8" w:space="0" w:color="96989A"/>
              <w:right w:val="single" w:sz="8" w:space="0" w:color="96989A"/>
            </w:tcBorders>
          </w:tcPr>
          <w:p>
            <w:pPr>
              <w:pStyle w:val="TableParagraph"/>
              <w:spacing w:line="186" w:lineRule="exact" w:before="3"/>
              <w:ind w:left="718" w:right="486"/>
              <w:jc w:val="center"/>
              <w:rPr>
                <w:rFonts w:ascii="Arial"/>
                <w:sz w:val="17"/>
              </w:rPr>
            </w:pPr>
            <w:r>
              <w:rPr>
                <w:rFonts w:ascii="Arial"/>
                <w:color w:val="373435"/>
                <w:spacing w:val="-5"/>
                <w:sz w:val="17"/>
              </w:rPr>
              <w:t>26</w:t>
            </w:r>
          </w:p>
        </w:tc>
        <w:tc>
          <w:tcPr>
            <w:tcW w:w="948" w:type="dxa"/>
            <w:tcBorders>
              <w:left w:val="single" w:sz="8" w:space="0" w:color="96989A"/>
              <w:right w:val="single" w:sz="8" w:space="0" w:color="96989A"/>
            </w:tcBorders>
          </w:tcPr>
          <w:p>
            <w:pPr>
              <w:pStyle w:val="TableParagraph"/>
              <w:spacing w:line="186" w:lineRule="exact" w:before="3"/>
              <w:ind w:left="394" w:right="313"/>
              <w:jc w:val="center"/>
              <w:rPr>
                <w:rFonts w:ascii="Arial"/>
                <w:sz w:val="17"/>
              </w:rPr>
            </w:pPr>
            <w:r>
              <w:rPr>
                <w:rFonts w:ascii="Arial"/>
                <w:color w:val="373435"/>
                <w:spacing w:val="-5"/>
                <w:sz w:val="17"/>
              </w:rPr>
              <w:t>13</w:t>
            </w:r>
          </w:p>
        </w:tc>
      </w:tr>
      <w:tr>
        <w:trPr>
          <w:trHeight w:val="209" w:hRule="atLeast"/>
        </w:trPr>
        <w:tc>
          <w:tcPr>
            <w:tcW w:w="2550" w:type="dxa"/>
            <w:tcBorders>
              <w:left w:val="single" w:sz="8" w:space="0" w:color="96989A"/>
              <w:right w:val="single" w:sz="8" w:space="0" w:color="96989A"/>
            </w:tcBorders>
          </w:tcPr>
          <w:p>
            <w:pPr>
              <w:pStyle w:val="TableParagraph"/>
              <w:spacing w:line="186" w:lineRule="exact" w:before="3"/>
              <w:ind w:left="50"/>
              <w:rPr>
                <w:rFonts w:ascii="Arial"/>
                <w:sz w:val="17"/>
              </w:rPr>
            </w:pPr>
            <w:r>
              <w:rPr>
                <w:rFonts w:ascii="Arial"/>
                <w:color w:val="373435"/>
                <w:sz w:val="17"/>
              </w:rPr>
              <w:t>50-</w:t>
            </w:r>
            <w:r>
              <w:rPr>
                <w:rFonts w:ascii="Arial"/>
                <w:color w:val="373435"/>
                <w:spacing w:val="-9"/>
                <w:sz w:val="17"/>
              </w:rPr>
              <w:t> </w:t>
            </w:r>
            <w:r>
              <w:rPr>
                <w:rFonts w:ascii="Arial"/>
                <w:color w:val="373435"/>
                <w:sz w:val="17"/>
              </w:rPr>
              <w:t>59</w:t>
            </w:r>
            <w:r>
              <w:rPr>
                <w:rFonts w:ascii="Arial"/>
                <w:color w:val="373435"/>
                <w:spacing w:val="-9"/>
                <w:sz w:val="17"/>
              </w:rPr>
              <w:t> </w:t>
            </w:r>
            <w:r>
              <w:rPr>
                <w:rFonts w:ascii="Arial"/>
                <w:color w:val="373435"/>
                <w:spacing w:val="-2"/>
                <w:sz w:val="17"/>
              </w:rPr>
              <w:t>years</w:t>
            </w:r>
          </w:p>
        </w:tc>
        <w:tc>
          <w:tcPr>
            <w:tcW w:w="1445" w:type="dxa"/>
            <w:tcBorders>
              <w:left w:val="single" w:sz="8" w:space="0" w:color="96989A"/>
              <w:right w:val="single" w:sz="8" w:space="0" w:color="96989A"/>
            </w:tcBorders>
          </w:tcPr>
          <w:p>
            <w:pPr>
              <w:pStyle w:val="TableParagraph"/>
              <w:spacing w:line="186" w:lineRule="exact" w:before="3"/>
              <w:ind w:left="718" w:right="486"/>
              <w:jc w:val="center"/>
              <w:rPr>
                <w:rFonts w:ascii="Arial"/>
                <w:sz w:val="17"/>
              </w:rPr>
            </w:pPr>
            <w:r>
              <w:rPr>
                <w:rFonts w:ascii="Arial"/>
                <w:color w:val="373435"/>
                <w:spacing w:val="-5"/>
                <w:sz w:val="17"/>
              </w:rPr>
              <w:t>10</w:t>
            </w:r>
          </w:p>
        </w:tc>
        <w:tc>
          <w:tcPr>
            <w:tcW w:w="948" w:type="dxa"/>
            <w:tcBorders>
              <w:left w:val="single" w:sz="8" w:space="0" w:color="96989A"/>
              <w:right w:val="single" w:sz="8" w:space="0" w:color="96989A"/>
            </w:tcBorders>
          </w:tcPr>
          <w:p>
            <w:pPr>
              <w:pStyle w:val="TableParagraph"/>
              <w:spacing w:line="186" w:lineRule="exact" w:before="3"/>
              <w:ind w:left="545"/>
              <w:rPr>
                <w:rFonts w:ascii="Arial"/>
                <w:sz w:val="17"/>
              </w:rPr>
            </w:pPr>
            <w:r>
              <w:rPr>
                <w:rFonts w:ascii="Arial"/>
                <w:color w:val="373435"/>
                <w:w w:val="97"/>
                <w:sz w:val="17"/>
              </w:rPr>
              <w:t>5</w:t>
            </w:r>
          </w:p>
        </w:tc>
      </w:tr>
      <w:tr>
        <w:trPr>
          <w:trHeight w:val="207" w:hRule="atLeast"/>
        </w:trPr>
        <w:tc>
          <w:tcPr>
            <w:tcW w:w="2550" w:type="dxa"/>
            <w:tcBorders>
              <w:left w:val="single" w:sz="8" w:space="0" w:color="96989A"/>
              <w:right w:val="single" w:sz="8" w:space="0" w:color="96989A"/>
            </w:tcBorders>
          </w:tcPr>
          <w:p>
            <w:pPr>
              <w:pStyle w:val="TableParagraph"/>
              <w:spacing w:line="185" w:lineRule="exact" w:before="3"/>
              <w:ind w:left="50"/>
              <w:rPr>
                <w:rFonts w:ascii="Arial"/>
                <w:sz w:val="17"/>
              </w:rPr>
            </w:pPr>
            <w:r>
              <w:rPr>
                <w:rFonts w:ascii="Arial"/>
                <w:color w:val="373435"/>
                <w:sz w:val="17"/>
              </w:rPr>
              <w:t>60</w:t>
            </w:r>
            <w:r>
              <w:rPr>
                <w:rFonts w:ascii="Arial"/>
                <w:color w:val="373435"/>
                <w:spacing w:val="-11"/>
                <w:sz w:val="17"/>
              </w:rPr>
              <w:t> </w:t>
            </w:r>
            <w:r>
              <w:rPr>
                <w:rFonts w:ascii="Arial"/>
                <w:color w:val="373435"/>
                <w:sz w:val="17"/>
              </w:rPr>
              <w:t>years</w:t>
            </w:r>
            <w:r>
              <w:rPr>
                <w:rFonts w:ascii="Arial"/>
                <w:color w:val="373435"/>
                <w:spacing w:val="-11"/>
                <w:sz w:val="17"/>
              </w:rPr>
              <w:t> </w:t>
            </w:r>
            <w:r>
              <w:rPr>
                <w:rFonts w:ascii="Arial"/>
                <w:color w:val="373435"/>
                <w:sz w:val="17"/>
              </w:rPr>
              <w:t>and</w:t>
            </w:r>
            <w:r>
              <w:rPr>
                <w:rFonts w:ascii="Arial"/>
                <w:color w:val="373435"/>
                <w:spacing w:val="-11"/>
                <w:sz w:val="17"/>
              </w:rPr>
              <w:t> </w:t>
            </w:r>
            <w:r>
              <w:rPr>
                <w:rFonts w:ascii="Arial"/>
                <w:color w:val="373435"/>
                <w:spacing w:val="-2"/>
                <w:sz w:val="17"/>
              </w:rPr>
              <w:t>above</w:t>
            </w:r>
          </w:p>
        </w:tc>
        <w:tc>
          <w:tcPr>
            <w:tcW w:w="1445" w:type="dxa"/>
            <w:tcBorders>
              <w:left w:val="single" w:sz="8" w:space="0" w:color="96989A"/>
              <w:right w:val="single" w:sz="8" w:space="0" w:color="96989A"/>
            </w:tcBorders>
          </w:tcPr>
          <w:p>
            <w:pPr>
              <w:pStyle w:val="TableParagraph"/>
              <w:spacing w:line="185" w:lineRule="exact" w:before="3"/>
              <w:ind w:left="869"/>
              <w:rPr>
                <w:rFonts w:ascii="Arial"/>
                <w:sz w:val="17"/>
              </w:rPr>
            </w:pPr>
            <w:r>
              <w:rPr>
                <w:rFonts w:ascii="Arial"/>
                <w:color w:val="373435"/>
                <w:w w:val="97"/>
                <w:sz w:val="17"/>
              </w:rPr>
              <w:t>4</w:t>
            </w:r>
          </w:p>
        </w:tc>
        <w:tc>
          <w:tcPr>
            <w:tcW w:w="948" w:type="dxa"/>
            <w:tcBorders>
              <w:left w:val="single" w:sz="8" w:space="0" w:color="96989A"/>
              <w:right w:val="single" w:sz="8" w:space="0" w:color="96989A"/>
            </w:tcBorders>
          </w:tcPr>
          <w:p>
            <w:pPr>
              <w:pStyle w:val="TableParagraph"/>
              <w:spacing w:line="185" w:lineRule="exact" w:before="3"/>
              <w:ind w:left="545"/>
              <w:rPr>
                <w:rFonts w:ascii="Arial"/>
                <w:sz w:val="17"/>
              </w:rPr>
            </w:pPr>
            <w:r>
              <w:rPr>
                <w:rFonts w:ascii="Arial"/>
                <w:color w:val="373435"/>
                <w:w w:val="97"/>
                <w:sz w:val="17"/>
              </w:rPr>
              <w:t>2</w:t>
            </w:r>
          </w:p>
        </w:tc>
      </w:tr>
      <w:tr>
        <w:trPr>
          <w:trHeight w:val="209" w:hRule="atLeast"/>
        </w:trPr>
        <w:tc>
          <w:tcPr>
            <w:tcW w:w="2550" w:type="dxa"/>
            <w:tcBorders>
              <w:left w:val="single" w:sz="8" w:space="0" w:color="96989A"/>
              <w:right w:val="single" w:sz="8" w:space="0" w:color="96989A"/>
            </w:tcBorders>
          </w:tcPr>
          <w:p>
            <w:pPr>
              <w:pStyle w:val="TableParagraph"/>
              <w:spacing w:line="186" w:lineRule="exact" w:before="3"/>
              <w:ind w:left="50"/>
              <w:rPr>
                <w:rFonts w:ascii="Arial"/>
                <w:sz w:val="17"/>
              </w:rPr>
            </w:pPr>
            <w:r>
              <w:rPr>
                <w:rFonts w:ascii="Arial"/>
                <w:color w:val="373435"/>
                <w:spacing w:val="-2"/>
                <w:sz w:val="17"/>
              </w:rPr>
              <w:t>Total</w:t>
            </w:r>
          </w:p>
        </w:tc>
        <w:tc>
          <w:tcPr>
            <w:tcW w:w="1445" w:type="dxa"/>
            <w:tcBorders>
              <w:left w:val="single" w:sz="8" w:space="0" w:color="96989A"/>
              <w:right w:val="single" w:sz="8" w:space="0" w:color="96989A"/>
            </w:tcBorders>
          </w:tcPr>
          <w:p>
            <w:pPr>
              <w:pStyle w:val="TableParagraph"/>
              <w:spacing w:line="186" w:lineRule="exact" w:before="3"/>
              <w:ind w:left="703"/>
              <w:rPr>
                <w:rFonts w:ascii="Arial"/>
                <w:sz w:val="17"/>
              </w:rPr>
            </w:pPr>
            <w:r>
              <w:rPr>
                <w:rFonts w:ascii="Arial"/>
                <w:color w:val="373435"/>
                <w:spacing w:val="-5"/>
                <w:sz w:val="17"/>
              </w:rPr>
              <w:t>200</w:t>
            </w:r>
          </w:p>
        </w:tc>
        <w:tc>
          <w:tcPr>
            <w:tcW w:w="948" w:type="dxa"/>
            <w:tcBorders>
              <w:left w:val="single" w:sz="8" w:space="0" w:color="96989A"/>
              <w:right w:val="single" w:sz="8" w:space="0" w:color="96989A"/>
            </w:tcBorders>
          </w:tcPr>
          <w:p>
            <w:pPr>
              <w:pStyle w:val="TableParagraph"/>
              <w:spacing w:line="186" w:lineRule="exact" w:before="3"/>
              <w:ind w:left="407"/>
              <w:rPr>
                <w:rFonts w:ascii="Arial"/>
                <w:sz w:val="17"/>
              </w:rPr>
            </w:pPr>
            <w:r>
              <w:rPr>
                <w:rFonts w:ascii="Arial"/>
                <w:color w:val="373435"/>
                <w:spacing w:val="-5"/>
                <w:sz w:val="17"/>
              </w:rPr>
              <w:t>100</w:t>
            </w:r>
          </w:p>
        </w:tc>
      </w:tr>
    </w:tbl>
    <w:p>
      <w:pPr>
        <w:pStyle w:val="BodyText"/>
        <w:spacing w:before="29"/>
        <w:ind w:left="123"/>
      </w:pPr>
      <w:r>
        <w:rPr>
          <w:color w:val="373435"/>
          <w:w w:val="95"/>
        </w:rPr>
        <w:t>M=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31.5,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=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5"/>
          <w:w w:val="95"/>
        </w:rPr>
        <w:t>9.4</w:t>
      </w:r>
    </w:p>
    <w:p>
      <w:pPr>
        <w:pStyle w:val="BodyText"/>
        <w:spacing w:before="6"/>
        <w:rPr>
          <w:sz w:val="28"/>
        </w:rPr>
      </w:pPr>
    </w:p>
    <w:p>
      <w:pPr>
        <w:pStyle w:val="Heading2"/>
        <w:ind w:left="123"/>
      </w:pPr>
      <w:r>
        <w:rPr>
          <w:color w:val="373435"/>
          <w:w w:val="90"/>
        </w:rPr>
        <w:t>Table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10"/>
        </w:rPr>
        <w:t>2</w:t>
      </w:r>
    </w:p>
    <w:p>
      <w:pPr>
        <w:pStyle w:val="BodyText"/>
        <w:spacing w:before="67"/>
        <w:ind w:left="123"/>
      </w:pPr>
      <w:r>
        <w:rPr>
          <w:color w:val="373435"/>
          <w:w w:val="95"/>
        </w:rPr>
        <w:t>Duration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3"/>
          <w:w w:val="95"/>
        </w:rPr>
        <w:t> </w:t>
      </w:r>
      <w:r>
        <w:rPr>
          <w:color w:val="373435"/>
          <w:spacing w:val="-2"/>
          <w:w w:val="95"/>
        </w:rPr>
        <w:t>illness.</w:t>
      </w: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136" w:type="dxa"/>
        <w:tblBorders>
          <w:top w:val="single" w:sz="6" w:space="0" w:color="96989A"/>
          <w:left w:val="single" w:sz="6" w:space="0" w:color="96989A"/>
          <w:bottom w:val="single" w:sz="6" w:space="0" w:color="96989A"/>
          <w:right w:val="single" w:sz="6" w:space="0" w:color="96989A"/>
          <w:insideH w:val="single" w:sz="6" w:space="0" w:color="96989A"/>
          <w:insideV w:val="single" w:sz="6" w:space="0" w:color="96989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  <w:gridCol w:w="1459"/>
        <w:gridCol w:w="960"/>
      </w:tblGrid>
      <w:tr>
        <w:trPr>
          <w:trHeight w:val="199" w:hRule="atLeast"/>
        </w:trPr>
        <w:tc>
          <w:tcPr>
            <w:tcW w:w="2520" w:type="dxa"/>
            <w:shd w:val="clear" w:color="auto" w:fill="9DD3AF"/>
          </w:tcPr>
          <w:p>
            <w:pPr>
              <w:pStyle w:val="TableParagraph"/>
              <w:spacing w:line="175" w:lineRule="exact" w:before="5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color w:val="373435"/>
                <w:w w:val="105"/>
                <w:sz w:val="16"/>
              </w:rPr>
              <w:t>duration</w:t>
            </w:r>
            <w:r>
              <w:rPr>
                <w:rFonts w:ascii="Arial"/>
                <w:color w:val="373435"/>
                <w:spacing w:val="-9"/>
                <w:w w:val="105"/>
                <w:sz w:val="16"/>
              </w:rPr>
              <w:t> </w:t>
            </w:r>
            <w:r>
              <w:rPr>
                <w:rFonts w:ascii="Arial"/>
                <w:color w:val="373435"/>
                <w:w w:val="105"/>
                <w:sz w:val="16"/>
              </w:rPr>
              <w:t>of</w:t>
            </w:r>
            <w:r>
              <w:rPr>
                <w:rFonts w:ascii="Arial"/>
                <w:color w:val="373435"/>
                <w:spacing w:val="-8"/>
                <w:w w:val="105"/>
                <w:sz w:val="16"/>
              </w:rPr>
              <w:t> </w:t>
            </w:r>
            <w:r>
              <w:rPr>
                <w:rFonts w:ascii="Arial"/>
                <w:color w:val="373435"/>
                <w:spacing w:val="-2"/>
                <w:w w:val="105"/>
                <w:sz w:val="16"/>
              </w:rPr>
              <w:t>illness</w:t>
            </w:r>
          </w:p>
        </w:tc>
        <w:tc>
          <w:tcPr>
            <w:tcW w:w="1459" w:type="dxa"/>
            <w:shd w:val="clear" w:color="auto" w:fill="9DD3AF"/>
          </w:tcPr>
          <w:p>
            <w:pPr>
              <w:pStyle w:val="TableParagraph"/>
              <w:spacing w:line="175" w:lineRule="exact" w:before="5"/>
              <w:ind w:left="256"/>
              <w:rPr>
                <w:rFonts w:ascii="Arial"/>
                <w:sz w:val="16"/>
              </w:rPr>
            </w:pPr>
            <w:r>
              <w:rPr>
                <w:rFonts w:ascii="Arial"/>
                <w:color w:val="373435"/>
                <w:spacing w:val="-2"/>
                <w:w w:val="105"/>
                <w:sz w:val="16"/>
              </w:rPr>
              <w:t>frequency</w:t>
            </w:r>
          </w:p>
        </w:tc>
        <w:tc>
          <w:tcPr>
            <w:tcW w:w="960" w:type="dxa"/>
            <w:shd w:val="clear" w:color="auto" w:fill="9DD3AF"/>
          </w:tcPr>
          <w:p>
            <w:pPr>
              <w:pStyle w:val="TableParagraph"/>
              <w:spacing w:line="175" w:lineRule="exact" w:before="5"/>
              <w:ind w:left="0" w:right="163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color w:val="373435"/>
                <w:spacing w:val="-2"/>
                <w:w w:val="105"/>
                <w:sz w:val="16"/>
              </w:rPr>
              <w:t>percent</w:t>
            </w:r>
          </w:p>
        </w:tc>
      </w:tr>
      <w:tr>
        <w:trPr>
          <w:trHeight w:val="198" w:hRule="atLeast"/>
        </w:trPr>
        <w:tc>
          <w:tcPr>
            <w:tcW w:w="2520" w:type="dxa"/>
          </w:tcPr>
          <w:p>
            <w:pPr>
              <w:pStyle w:val="TableParagraph"/>
              <w:spacing w:line="173" w:lineRule="exact" w:before="5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color w:val="373435"/>
                <w:w w:val="105"/>
                <w:sz w:val="16"/>
              </w:rPr>
              <w:t>&lt;</w:t>
            </w:r>
            <w:r>
              <w:rPr>
                <w:rFonts w:ascii="Arial"/>
                <w:color w:val="373435"/>
                <w:spacing w:val="-4"/>
                <w:w w:val="105"/>
                <w:sz w:val="16"/>
              </w:rPr>
              <w:t> </w:t>
            </w:r>
            <w:r>
              <w:rPr>
                <w:rFonts w:ascii="Arial"/>
                <w:color w:val="373435"/>
                <w:w w:val="105"/>
                <w:sz w:val="16"/>
              </w:rPr>
              <w:t>5</w:t>
            </w:r>
            <w:r>
              <w:rPr>
                <w:rFonts w:ascii="Arial"/>
                <w:color w:val="373435"/>
                <w:spacing w:val="-3"/>
                <w:w w:val="105"/>
                <w:sz w:val="16"/>
              </w:rPr>
              <w:t> </w:t>
            </w:r>
            <w:r>
              <w:rPr>
                <w:rFonts w:ascii="Arial"/>
                <w:color w:val="373435"/>
                <w:spacing w:val="-4"/>
                <w:w w:val="105"/>
                <w:sz w:val="16"/>
              </w:rPr>
              <w:t>years</w:t>
            </w:r>
          </w:p>
        </w:tc>
        <w:tc>
          <w:tcPr>
            <w:tcW w:w="1459" w:type="dxa"/>
          </w:tcPr>
          <w:p>
            <w:pPr>
              <w:pStyle w:val="TableParagraph"/>
              <w:spacing w:line="173" w:lineRule="exact" w:before="5"/>
              <w:ind w:left="558" w:right="669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color w:val="373435"/>
                <w:spacing w:val="-5"/>
                <w:w w:val="105"/>
                <w:sz w:val="16"/>
              </w:rPr>
              <w:t>78</w:t>
            </w:r>
          </w:p>
        </w:tc>
        <w:tc>
          <w:tcPr>
            <w:tcW w:w="960" w:type="dxa"/>
          </w:tcPr>
          <w:p>
            <w:pPr>
              <w:pStyle w:val="TableParagraph"/>
              <w:spacing w:line="173" w:lineRule="exact" w:before="5"/>
              <w:ind w:left="480"/>
              <w:rPr>
                <w:rFonts w:ascii="Arial"/>
                <w:sz w:val="16"/>
              </w:rPr>
            </w:pPr>
            <w:r>
              <w:rPr>
                <w:rFonts w:ascii="Arial"/>
                <w:color w:val="373435"/>
                <w:spacing w:val="-5"/>
                <w:w w:val="105"/>
                <w:sz w:val="16"/>
              </w:rPr>
              <w:t>39</w:t>
            </w:r>
          </w:p>
        </w:tc>
      </w:tr>
      <w:tr>
        <w:trPr>
          <w:trHeight w:val="199" w:hRule="atLeast"/>
        </w:trPr>
        <w:tc>
          <w:tcPr>
            <w:tcW w:w="2520" w:type="dxa"/>
          </w:tcPr>
          <w:p>
            <w:pPr>
              <w:pStyle w:val="TableParagraph"/>
              <w:spacing w:line="175" w:lineRule="exact" w:before="5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color w:val="373435"/>
                <w:w w:val="105"/>
                <w:sz w:val="16"/>
              </w:rPr>
              <w:t>5-10</w:t>
            </w:r>
            <w:r>
              <w:rPr>
                <w:rFonts w:ascii="Arial"/>
                <w:color w:val="373435"/>
                <w:spacing w:val="-8"/>
                <w:w w:val="105"/>
                <w:sz w:val="16"/>
              </w:rPr>
              <w:t> </w:t>
            </w:r>
            <w:r>
              <w:rPr>
                <w:rFonts w:ascii="Arial"/>
                <w:color w:val="373435"/>
                <w:spacing w:val="-2"/>
                <w:w w:val="105"/>
                <w:sz w:val="16"/>
              </w:rPr>
              <w:t>years</w:t>
            </w:r>
          </w:p>
        </w:tc>
        <w:tc>
          <w:tcPr>
            <w:tcW w:w="1459" w:type="dxa"/>
          </w:tcPr>
          <w:p>
            <w:pPr>
              <w:pStyle w:val="TableParagraph"/>
              <w:spacing w:line="175" w:lineRule="exact" w:before="5"/>
              <w:ind w:left="558" w:right="669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color w:val="373435"/>
                <w:spacing w:val="-5"/>
                <w:w w:val="105"/>
                <w:sz w:val="16"/>
              </w:rPr>
              <w:t>72</w:t>
            </w:r>
          </w:p>
        </w:tc>
        <w:tc>
          <w:tcPr>
            <w:tcW w:w="960" w:type="dxa"/>
          </w:tcPr>
          <w:p>
            <w:pPr>
              <w:pStyle w:val="TableParagraph"/>
              <w:spacing w:line="175" w:lineRule="exact" w:before="5"/>
              <w:ind w:left="480"/>
              <w:rPr>
                <w:rFonts w:ascii="Arial"/>
                <w:sz w:val="16"/>
              </w:rPr>
            </w:pPr>
            <w:r>
              <w:rPr>
                <w:rFonts w:ascii="Arial"/>
                <w:color w:val="373435"/>
                <w:spacing w:val="-5"/>
                <w:w w:val="105"/>
                <w:sz w:val="16"/>
              </w:rPr>
              <w:t>36</w:t>
            </w:r>
          </w:p>
        </w:tc>
      </w:tr>
      <w:tr>
        <w:trPr>
          <w:trHeight w:val="199" w:hRule="atLeast"/>
        </w:trPr>
        <w:tc>
          <w:tcPr>
            <w:tcW w:w="2520" w:type="dxa"/>
          </w:tcPr>
          <w:p>
            <w:pPr>
              <w:pStyle w:val="TableParagraph"/>
              <w:spacing w:line="175" w:lineRule="exact" w:before="5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color w:val="373435"/>
                <w:spacing w:val="-4"/>
                <w:w w:val="105"/>
                <w:sz w:val="16"/>
              </w:rPr>
              <w:t>11-19</w:t>
            </w:r>
            <w:r>
              <w:rPr>
                <w:rFonts w:ascii="Arial"/>
                <w:color w:val="373435"/>
                <w:spacing w:val="-1"/>
                <w:sz w:val="16"/>
              </w:rPr>
              <w:t> </w:t>
            </w:r>
            <w:r>
              <w:rPr>
                <w:rFonts w:ascii="Arial"/>
                <w:color w:val="373435"/>
                <w:spacing w:val="-4"/>
                <w:w w:val="105"/>
                <w:sz w:val="16"/>
              </w:rPr>
              <w:t>years</w:t>
            </w:r>
          </w:p>
        </w:tc>
        <w:tc>
          <w:tcPr>
            <w:tcW w:w="1459" w:type="dxa"/>
          </w:tcPr>
          <w:p>
            <w:pPr>
              <w:pStyle w:val="TableParagraph"/>
              <w:spacing w:line="175" w:lineRule="exact" w:before="5"/>
              <w:ind w:left="558" w:right="669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color w:val="373435"/>
                <w:spacing w:val="-5"/>
                <w:w w:val="105"/>
                <w:sz w:val="16"/>
              </w:rPr>
              <w:t>30</w:t>
            </w:r>
          </w:p>
        </w:tc>
        <w:tc>
          <w:tcPr>
            <w:tcW w:w="960" w:type="dxa"/>
          </w:tcPr>
          <w:p>
            <w:pPr>
              <w:pStyle w:val="TableParagraph"/>
              <w:spacing w:line="175" w:lineRule="exact" w:before="5"/>
              <w:ind w:left="480"/>
              <w:rPr>
                <w:rFonts w:ascii="Arial"/>
                <w:sz w:val="16"/>
              </w:rPr>
            </w:pPr>
            <w:r>
              <w:rPr>
                <w:rFonts w:ascii="Arial"/>
                <w:color w:val="373435"/>
                <w:spacing w:val="-5"/>
                <w:w w:val="105"/>
                <w:sz w:val="16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2520" w:type="dxa"/>
          </w:tcPr>
          <w:p>
            <w:pPr>
              <w:pStyle w:val="TableParagraph"/>
              <w:spacing w:line="175" w:lineRule="exact" w:before="5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color w:val="373435"/>
                <w:w w:val="105"/>
                <w:sz w:val="16"/>
              </w:rPr>
              <w:t>20-29</w:t>
            </w:r>
            <w:r>
              <w:rPr>
                <w:rFonts w:ascii="Arial"/>
                <w:color w:val="373435"/>
                <w:spacing w:val="-10"/>
                <w:w w:val="105"/>
                <w:sz w:val="16"/>
              </w:rPr>
              <w:t> </w:t>
            </w:r>
            <w:r>
              <w:rPr>
                <w:rFonts w:ascii="Arial"/>
                <w:color w:val="373435"/>
                <w:spacing w:val="-2"/>
                <w:w w:val="105"/>
                <w:sz w:val="16"/>
              </w:rPr>
              <w:t>years</w:t>
            </w:r>
          </w:p>
        </w:tc>
        <w:tc>
          <w:tcPr>
            <w:tcW w:w="1459" w:type="dxa"/>
          </w:tcPr>
          <w:p>
            <w:pPr>
              <w:pStyle w:val="TableParagraph"/>
              <w:spacing w:line="175" w:lineRule="exact" w:before="5"/>
              <w:ind w:left="558" w:right="669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color w:val="373435"/>
                <w:spacing w:val="-5"/>
                <w:w w:val="105"/>
                <w:sz w:val="16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spacing w:line="175" w:lineRule="exact" w:before="5"/>
              <w:ind w:left="0" w:right="268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color w:val="373435"/>
                <w:w w:val="103"/>
                <w:sz w:val="16"/>
              </w:rPr>
              <w:t>9</w:t>
            </w:r>
          </w:p>
        </w:tc>
      </w:tr>
      <w:tr>
        <w:trPr>
          <w:trHeight w:val="198" w:hRule="atLeast"/>
        </w:trPr>
        <w:tc>
          <w:tcPr>
            <w:tcW w:w="2520" w:type="dxa"/>
          </w:tcPr>
          <w:p>
            <w:pPr>
              <w:pStyle w:val="TableParagraph"/>
              <w:spacing w:line="173" w:lineRule="exact" w:before="5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color w:val="373435"/>
                <w:w w:val="105"/>
                <w:sz w:val="16"/>
              </w:rPr>
              <w:t>&gt;</w:t>
            </w:r>
            <w:r>
              <w:rPr>
                <w:rFonts w:ascii="Arial"/>
                <w:color w:val="373435"/>
                <w:spacing w:val="-4"/>
                <w:w w:val="105"/>
                <w:sz w:val="16"/>
              </w:rPr>
              <w:t> </w:t>
            </w:r>
            <w:r>
              <w:rPr>
                <w:rFonts w:ascii="Arial"/>
                <w:color w:val="373435"/>
                <w:w w:val="105"/>
                <w:sz w:val="16"/>
              </w:rPr>
              <w:t>30</w:t>
            </w:r>
            <w:r>
              <w:rPr>
                <w:rFonts w:ascii="Arial"/>
                <w:color w:val="373435"/>
                <w:spacing w:val="-4"/>
                <w:w w:val="105"/>
                <w:sz w:val="16"/>
              </w:rPr>
              <w:t> </w:t>
            </w:r>
            <w:r>
              <w:rPr>
                <w:rFonts w:ascii="Arial"/>
                <w:color w:val="373435"/>
                <w:spacing w:val="-2"/>
                <w:w w:val="105"/>
                <w:sz w:val="16"/>
              </w:rPr>
              <w:t>years</w:t>
            </w:r>
          </w:p>
        </w:tc>
        <w:tc>
          <w:tcPr>
            <w:tcW w:w="1459" w:type="dxa"/>
          </w:tcPr>
          <w:p>
            <w:pPr>
              <w:pStyle w:val="TableParagraph"/>
              <w:spacing w:line="173" w:lineRule="exact" w:before="5"/>
              <w:ind w:left="0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color w:val="373435"/>
                <w:w w:val="103"/>
                <w:sz w:val="16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spacing w:line="173" w:lineRule="exact" w:before="5"/>
              <w:ind w:left="0" w:right="268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color w:val="373435"/>
                <w:w w:val="103"/>
                <w:sz w:val="16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2520" w:type="dxa"/>
          </w:tcPr>
          <w:p>
            <w:pPr>
              <w:pStyle w:val="TableParagraph"/>
              <w:spacing w:line="175" w:lineRule="exact" w:before="5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color w:val="373435"/>
                <w:spacing w:val="-4"/>
                <w:w w:val="105"/>
                <w:sz w:val="16"/>
              </w:rPr>
              <w:t>total</w:t>
            </w:r>
          </w:p>
        </w:tc>
        <w:tc>
          <w:tcPr>
            <w:tcW w:w="1459" w:type="dxa"/>
          </w:tcPr>
          <w:p>
            <w:pPr>
              <w:pStyle w:val="TableParagraph"/>
              <w:spacing w:line="175" w:lineRule="exact" w:before="5"/>
              <w:ind w:left="471"/>
              <w:rPr>
                <w:rFonts w:ascii="Arial"/>
                <w:sz w:val="16"/>
              </w:rPr>
            </w:pPr>
            <w:r>
              <w:rPr>
                <w:rFonts w:ascii="Arial"/>
                <w:color w:val="373435"/>
                <w:spacing w:val="-5"/>
                <w:w w:val="105"/>
                <w:sz w:val="16"/>
              </w:rPr>
              <w:t>200</w:t>
            </w:r>
          </w:p>
        </w:tc>
        <w:tc>
          <w:tcPr>
            <w:tcW w:w="960" w:type="dxa"/>
          </w:tcPr>
          <w:p>
            <w:pPr>
              <w:pStyle w:val="TableParagraph"/>
              <w:spacing w:line="175" w:lineRule="exact" w:before="5"/>
              <w:ind w:left="379"/>
              <w:rPr>
                <w:rFonts w:ascii="Arial"/>
                <w:sz w:val="16"/>
              </w:rPr>
            </w:pPr>
            <w:r>
              <w:rPr>
                <w:rFonts w:ascii="Arial"/>
                <w:color w:val="373435"/>
                <w:spacing w:val="-5"/>
                <w:w w:val="105"/>
                <w:sz w:val="16"/>
              </w:rPr>
              <w:t>100</w:t>
            </w:r>
          </w:p>
        </w:tc>
      </w:tr>
    </w:tbl>
    <w:p>
      <w:pPr>
        <w:pStyle w:val="BodyText"/>
        <w:spacing w:before="45"/>
        <w:ind w:left="123"/>
      </w:pPr>
      <w:r>
        <w:rPr>
          <w:color w:val="373435"/>
          <w:w w:val="95"/>
        </w:rPr>
        <w:t>M=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7.48,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SD=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5"/>
          <w:w w:val="95"/>
        </w:rPr>
        <w:t>6.3</w:t>
      </w:r>
    </w:p>
    <w:p>
      <w:pPr>
        <w:spacing w:after="0"/>
        <w:sectPr>
          <w:pgSz w:w="12060" w:h="15840"/>
          <w:pgMar w:header="0" w:footer="626" w:top="940" w:bottom="820" w:left="700" w:right="680"/>
          <w:cols w:num="2" w:equalWidth="0">
            <w:col w:w="5123" w:space="342"/>
            <w:col w:w="5215"/>
          </w:cols>
        </w:sectPr>
      </w:pPr>
    </w:p>
    <w:p>
      <w:pPr>
        <w:pStyle w:val="BodyText"/>
        <w:spacing w:before="4"/>
        <w:rPr>
          <w:sz w:val="25"/>
        </w:rPr>
      </w:pPr>
    </w:p>
    <w:p>
      <w:pPr>
        <w:pStyle w:val="Heading2"/>
        <w:spacing w:before="97"/>
        <w:ind w:left="120"/>
      </w:pPr>
      <w:r>
        <w:rPr>
          <w:color w:val="373435"/>
          <w:w w:val="90"/>
        </w:rPr>
        <w:t>Table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10"/>
        </w:rPr>
        <w:t>3</w:t>
      </w:r>
    </w:p>
    <w:p>
      <w:pPr>
        <w:pStyle w:val="BodyText"/>
        <w:spacing w:before="8"/>
        <w:ind w:left="120"/>
      </w:pPr>
      <w:r>
        <w:rPr>
          <w:color w:val="373435"/>
          <w:w w:val="90"/>
        </w:rPr>
        <w:t>Stratification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age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suicide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risk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chi</w:t>
      </w:r>
      <w:r>
        <w:rPr>
          <w:color w:val="373435"/>
          <w:spacing w:val="-2"/>
          <w:w w:val="90"/>
        </w:rPr>
        <w:t> square</w:t>
      </w:r>
    </w:p>
    <w:p>
      <w:pPr>
        <w:pStyle w:val="BodyText"/>
        <w:spacing w:before="5"/>
        <w:rPr>
          <w:sz w:val="11"/>
        </w:rPr>
      </w:pPr>
      <w:r>
        <w:rPr/>
        <w:pict>
          <v:group style="position:absolute;margin-left:40.670898pt;margin-top:7.836865pt;width:521.2pt;height:158.950pt;mso-position-horizontal-relative:page;mso-position-vertical-relative:paragraph;z-index:-15726592;mso-wrap-distance-left:0;mso-wrap-distance-right:0" id="docshapegroup23" coordorigin="813,157" coordsize="10424,3179">
            <v:shape style="position:absolute;left:813;top:156;width:10424;height:3179" type="#_x0000_t75" id="docshape24" stroked="false">
              <v:imagedata r:id="rId10" o:title=""/>
            </v:shape>
            <v:shape style="position:absolute;left:928;top:167;width:811;height:2930" type="#_x0000_t202" id="docshape25" filled="false" stroked="false">
              <v:textbox inset="0,0,0,0">
                <w:txbxContent>
                  <w:p>
                    <w:pPr>
                      <w:spacing w:line="520" w:lineRule="auto" w:before="2"/>
                      <w:ind w:left="0" w:right="1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2"/>
                        <w:w w:val="90"/>
                        <w:sz w:val="18"/>
                      </w:rPr>
                      <w:t>Age(years) </w:t>
                    </w:r>
                    <w:r>
                      <w:rPr>
                        <w:color w:val="373435"/>
                        <w:spacing w:val="-2"/>
                        <w:sz w:val="18"/>
                      </w:rPr>
                      <w:t>18-29</w:t>
                    </w:r>
                  </w:p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w w:val="90"/>
                        <w:sz w:val="18"/>
                      </w:rPr>
                      <w:t>30-</w:t>
                    </w:r>
                    <w:r>
                      <w:rPr>
                        <w:color w:val="373435"/>
                        <w:spacing w:val="-5"/>
                        <w:sz w:val="18"/>
                      </w:rPr>
                      <w:t>39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w w:val="90"/>
                        <w:sz w:val="18"/>
                      </w:rPr>
                      <w:t>40-</w:t>
                    </w:r>
                    <w:r>
                      <w:rPr>
                        <w:color w:val="373435"/>
                        <w:spacing w:val="-5"/>
                        <w:sz w:val="18"/>
                      </w:rPr>
                      <w:t>49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w w:val="90"/>
                        <w:sz w:val="18"/>
                      </w:rPr>
                      <w:t>50-</w:t>
                    </w:r>
                    <w:r>
                      <w:rPr>
                        <w:color w:val="373435"/>
                        <w:spacing w:val="-5"/>
                        <w:sz w:val="18"/>
                      </w:rPr>
                      <w:t>59</w:t>
                    </w:r>
                  </w:p>
                  <w:p>
                    <w:pPr>
                      <w:spacing w:line="240" w:lineRule="auto" w:before="5"/>
                      <w:rPr>
                        <w:sz w:val="20"/>
                      </w:rPr>
                    </w:pPr>
                  </w:p>
                  <w:p>
                    <w:pPr>
                      <w:spacing w:line="259" w:lineRule="auto" w:before="0"/>
                      <w:ind w:left="0" w:right="297" w:firstLine="0"/>
                      <w:jc w:val="both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6"/>
                        <w:sz w:val="18"/>
                      </w:rPr>
                      <w:t>60</w:t>
                    </w:r>
                    <w:r>
                      <w:rPr>
                        <w:color w:val="373435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373435"/>
                        <w:spacing w:val="-6"/>
                        <w:sz w:val="18"/>
                      </w:rPr>
                      <w:t>and</w:t>
                    </w:r>
                    <w:r>
                      <w:rPr>
                        <w:color w:val="373435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373435"/>
                        <w:spacing w:val="-2"/>
                        <w:sz w:val="18"/>
                      </w:rPr>
                      <w:t>Above total</w:t>
                    </w:r>
                  </w:p>
                </w:txbxContent>
              </v:textbox>
              <w10:wrap type="none"/>
            </v:shape>
            <v:shape style="position:absolute;left:2752;top:392;width:663;height:2930" type="#_x0000_t202" id="docshape26" filled="false" stroked="false">
              <v:textbox inset="0,0,0,0">
                <w:txbxContent>
                  <w:p>
                    <w:pPr>
                      <w:spacing w:line="261" w:lineRule="auto" w:before="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4"/>
                        <w:w w:val="95"/>
                        <w:sz w:val="18"/>
                      </w:rPr>
                      <w:t>Very</w:t>
                    </w:r>
                    <w:r>
                      <w:rPr>
                        <w:color w:val="373435"/>
                        <w:spacing w:val="-15"/>
                        <w:w w:val="95"/>
                        <w:sz w:val="18"/>
                      </w:rPr>
                      <w:t> </w:t>
                    </w:r>
                    <w:r>
                      <w:rPr>
                        <w:color w:val="373435"/>
                        <w:spacing w:val="-4"/>
                        <w:w w:val="95"/>
                        <w:sz w:val="18"/>
                      </w:rPr>
                      <w:t>low </w:t>
                    </w:r>
                    <w:r>
                      <w:rPr>
                        <w:color w:val="373435"/>
                        <w:spacing w:val="-6"/>
                        <w:sz w:val="18"/>
                      </w:rPr>
                      <w:t>14</w:t>
                    </w:r>
                  </w:p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2"/>
                        <w:sz w:val="18"/>
                      </w:rPr>
                      <w:t>14.9%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5"/>
                        <w:sz w:val="18"/>
                      </w:rPr>
                      <w:t>10</w:t>
                    </w:r>
                  </w:p>
                  <w:p>
                    <w:pPr>
                      <w:spacing w:before="19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2"/>
                        <w:sz w:val="18"/>
                      </w:rPr>
                      <w:t>15.2%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w w:val="97"/>
                        <w:sz w:val="18"/>
                      </w:rPr>
                      <w:t>2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4"/>
                        <w:sz w:val="18"/>
                      </w:rPr>
                      <w:t>7.7%</w:t>
                    </w:r>
                  </w:p>
                  <w:p>
                    <w:pPr>
                      <w:spacing w:before="19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w w:val="97"/>
                        <w:sz w:val="18"/>
                      </w:rPr>
                      <w:t>0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5"/>
                        <w:w w:val="115"/>
                        <w:sz w:val="18"/>
                      </w:rPr>
                      <w:t>0%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w w:val="97"/>
                        <w:sz w:val="18"/>
                      </w:rPr>
                      <w:t>0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5"/>
                        <w:w w:val="115"/>
                        <w:sz w:val="18"/>
                      </w:rPr>
                      <w:t>0%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5"/>
                        <w:sz w:val="18"/>
                      </w:rPr>
                      <w:t>26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2"/>
                        <w:sz w:val="18"/>
                      </w:rPr>
                      <w:t>13.0%</w:t>
                    </w:r>
                  </w:p>
                </w:txbxContent>
              </v:textbox>
              <w10:wrap type="none"/>
            </v:shape>
            <v:shape style="position:absolute;left:4307;top:392;width:477;height:2930" type="#_x0000_t202" id="docshape27" filled="false" stroked="false">
              <v:textbox inset="0,0,0,0">
                <w:txbxContent>
                  <w:p>
                    <w:pPr>
                      <w:spacing w:line="261" w:lineRule="auto" w:before="2"/>
                      <w:ind w:left="0" w:right="199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4"/>
                        <w:w w:val="95"/>
                        <w:sz w:val="18"/>
                      </w:rPr>
                      <w:t>low </w:t>
                    </w:r>
                    <w:r>
                      <w:rPr>
                        <w:color w:val="373435"/>
                        <w:spacing w:val="-6"/>
                        <w:sz w:val="18"/>
                      </w:rPr>
                      <w:t>22</w:t>
                    </w:r>
                  </w:p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2"/>
                        <w:sz w:val="18"/>
                      </w:rPr>
                      <w:t>23.4%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w w:val="97"/>
                        <w:sz w:val="18"/>
                      </w:rPr>
                      <w:t>8</w:t>
                    </w:r>
                  </w:p>
                  <w:p>
                    <w:pPr>
                      <w:spacing w:before="19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2"/>
                        <w:sz w:val="18"/>
                      </w:rPr>
                      <w:t>12.1%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w w:val="97"/>
                        <w:sz w:val="18"/>
                      </w:rPr>
                      <w:t>6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2"/>
                        <w:sz w:val="18"/>
                      </w:rPr>
                      <w:t>23.1%</w:t>
                    </w:r>
                  </w:p>
                  <w:p>
                    <w:pPr>
                      <w:spacing w:before="19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w w:val="97"/>
                        <w:sz w:val="18"/>
                      </w:rPr>
                      <w:t>2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2"/>
                        <w:sz w:val="18"/>
                      </w:rPr>
                      <w:t>20.0%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w w:val="97"/>
                        <w:sz w:val="18"/>
                      </w:rPr>
                      <w:t>2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5"/>
                        <w:w w:val="110"/>
                        <w:sz w:val="18"/>
                      </w:rPr>
                      <w:t>50%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5"/>
                        <w:sz w:val="18"/>
                      </w:rPr>
                      <w:t>40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2"/>
                        <w:sz w:val="18"/>
                      </w:rPr>
                      <w:t>20.0%</w:t>
                    </w:r>
                  </w:p>
                </w:txbxContent>
              </v:textbox>
              <w10:wrap type="none"/>
            </v:shape>
            <v:shape style="position:absolute;left:5520;top:167;width:2193;height:3155" type="#_x0000_t202" id="docshape28" filled="false" stroked="false">
              <v:textbox inset="0,0,0,0">
                <w:txbxContent>
                  <w:p>
                    <w:pPr>
                      <w:spacing w:before="2"/>
                      <w:ind w:left="99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w w:val="90"/>
                        <w:sz w:val="18"/>
                      </w:rPr>
                      <w:t>Suicide</w:t>
                    </w:r>
                    <w:r>
                      <w:rPr>
                        <w:color w:val="373435"/>
                        <w:spacing w:val="6"/>
                        <w:sz w:val="18"/>
                      </w:rPr>
                      <w:t> </w:t>
                    </w:r>
                    <w:r>
                      <w:rPr>
                        <w:color w:val="373435"/>
                        <w:spacing w:val="-4"/>
                        <w:sz w:val="18"/>
                      </w:rPr>
                      <w:t>risk</w:t>
                    </w:r>
                  </w:p>
                  <w:p>
                    <w:pPr>
                      <w:tabs>
                        <w:tab w:pos="1716" w:val="left" w:leader="none"/>
                      </w:tabs>
                      <w:spacing w:before="1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2"/>
                        <w:sz w:val="18"/>
                      </w:rPr>
                      <w:t>moderate</w:t>
                    </w:r>
                    <w:r>
                      <w:rPr>
                        <w:color w:val="373435"/>
                        <w:sz w:val="18"/>
                      </w:rPr>
                      <w:tab/>
                    </w:r>
                    <w:r>
                      <w:rPr>
                        <w:color w:val="373435"/>
                        <w:spacing w:val="-4"/>
                        <w:sz w:val="18"/>
                      </w:rPr>
                      <w:t>high</w:t>
                    </w:r>
                  </w:p>
                  <w:p>
                    <w:pPr>
                      <w:tabs>
                        <w:tab w:pos="1716" w:val="left" w:leader="none"/>
                      </w:tabs>
                      <w:spacing w:before="19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5"/>
                        <w:sz w:val="18"/>
                      </w:rPr>
                      <w:t>34</w:t>
                    </w:r>
                    <w:r>
                      <w:rPr>
                        <w:color w:val="373435"/>
                        <w:sz w:val="18"/>
                      </w:rPr>
                      <w:tab/>
                    </w:r>
                    <w:r>
                      <w:rPr>
                        <w:color w:val="373435"/>
                        <w:spacing w:val="-5"/>
                        <w:sz w:val="18"/>
                      </w:rPr>
                      <w:t>12</w:t>
                    </w:r>
                  </w:p>
                  <w:p>
                    <w:pPr>
                      <w:tabs>
                        <w:tab w:pos="1716" w:val="left" w:leader="none"/>
                      </w:tabs>
                      <w:spacing w:before="1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2"/>
                        <w:sz w:val="18"/>
                      </w:rPr>
                      <w:t>36.2%</w:t>
                    </w:r>
                    <w:r>
                      <w:rPr>
                        <w:color w:val="373435"/>
                        <w:sz w:val="18"/>
                      </w:rPr>
                      <w:tab/>
                    </w:r>
                    <w:r>
                      <w:rPr>
                        <w:color w:val="373435"/>
                        <w:spacing w:val="-2"/>
                        <w:sz w:val="18"/>
                      </w:rPr>
                      <w:t>12.8%</w:t>
                    </w:r>
                  </w:p>
                  <w:p>
                    <w:pPr>
                      <w:tabs>
                        <w:tab w:pos="1716" w:val="left" w:leader="none"/>
                      </w:tabs>
                      <w:spacing w:before="1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5"/>
                        <w:sz w:val="18"/>
                      </w:rPr>
                      <w:t>24</w:t>
                    </w:r>
                    <w:r>
                      <w:rPr>
                        <w:color w:val="373435"/>
                        <w:sz w:val="18"/>
                      </w:rPr>
                      <w:tab/>
                    </w:r>
                    <w:r>
                      <w:rPr>
                        <w:color w:val="373435"/>
                        <w:spacing w:val="-5"/>
                        <w:sz w:val="18"/>
                      </w:rPr>
                      <w:t>10</w:t>
                    </w:r>
                  </w:p>
                  <w:p>
                    <w:pPr>
                      <w:tabs>
                        <w:tab w:pos="1716" w:val="left" w:leader="none"/>
                      </w:tabs>
                      <w:spacing w:before="19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2"/>
                        <w:sz w:val="18"/>
                      </w:rPr>
                      <w:t>36.4%</w:t>
                    </w:r>
                    <w:r>
                      <w:rPr>
                        <w:color w:val="373435"/>
                        <w:sz w:val="18"/>
                      </w:rPr>
                      <w:tab/>
                    </w:r>
                    <w:r>
                      <w:rPr>
                        <w:color w:val="373435"/>
                        <w:spacing w:val="-2"/>
                        <w:sz w:val="18"/>
                      </w:rPr>
                      <w:t>15.2%</w:t>
                    </w:r>
                  </w:p>
                  <w:p>
                    <w:pPr>
                      <w:tabs>
                        <w:tab w:pos="1716" w:val="left" w:leader="none"/>
                      </w:tabs>
                      <w:spacing w:before="1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5"/>
                        <w:sz w:val="18"/>
                      </w:rPr>
                      <w:t>12</w:t>
                    </w:r>
                    <w:r>
                      <w:rPr>
                        <w:color w:val="373435"/>
                        <w:sz w:val="18"/>
                      </w:rPr>
                      <w:tab/>
                    </w:r>
                    <w:r>
                      <w:rPr>
                        <w:color w:val="373435"/>
                        <w:spacing w:val="-10"/>
                        <w:sz w:val="18"/>
                      </w:rPr>
                      <w:t>6</w:t>
                    </w:r>
                  </w:p>
                  <w:p>
                    <w:pPr>
                      <w:tabs>
                        <w:tab w:pos="1716" w:val="left" w:leader="none"/>
                      </w:tabs>
                      <w:spacing w:before="1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2"/>
                        <w:sz w:val="18"/>
                      </w:rPr>
                      <w:t>46.2%</w:t>
                    </w:r>
                    <w:r>
                      <w:rPr>
                        <w:color w:val="373435"/>
                        <w:sz w:val="18"/>
                      </w:rPr>
                      <w:tab/>
                    </w:r>
                    <w:r>
                      <w:rPr>
                        <w:color w:val="373435"/>
                        <w:spacing w:val="-2"/>
                        <w:sz w:val="18"/>
                      </w:rPr>
                      <w:t>23.1%</w:t>
                    </w:r>
                  </w:p>
                  <w:p>
                    <w:pPr>
                      <w:tabs>
                        <w:tab w:pos="1716" w:val="left" w:leader="none"/>
                      </w:tabs>
                      <w:spacing w:before="18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10"/>
                        <w:sz w:val="18"/>
                      </w:rPr>
                      <w:t>4</w:t>
                    </w:r>
                    <w:r>
                      <w:rPr>
                        <w:color w:val="373435"/>
                        <w:sz w:val="18"/>
                      </w:rPr>
                      <w:tab/>
                    </w:r>
                    <w:r>
                      <w:rPr>
                        <w:color w:val="373435"/>
                        <w:spacing w:val="-10"/>
                        <w:sz w:val="18"/>
                      </w:rPr>
                      <w:t>4</w:t>
                    </w:r>
                  </w:p>
                  <w:p>
                    <w:pPr>
                      <w:tabs>
                        <w:tab w:pos="1716" w:val="left" w:leader="none"/>
                      </w:tabs>
                      <w:spacing w:before="1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2"/>
                        <w:sz w:val="18"/>
                      </w:rPr>
                      <w:t>40.0%</w:t>
                    </w:r>
                    <w:r>
                      <w:rPr>
                        <w:color w:val="373435"/>
                        <w:sz w:val="18"/>
                      </w:rPr>
                      <w:tab/>
                    </w:r>
                    <w:r>
                      <w:rPr>
                        <w:color w:val="373435"/>
                        <w:spacing w:val="-2"/>
                        <w:sz w:val="18"/>
                      </w:rPr>
                      <w:t>40.0%</w:t>
                    </w:r>
                  </w:p>
                  <w:p>
                    <w:pPr>
                      <w:tabs>
                        <w:tab w:pos="1716" w:val="left" w:leader="none"/>
                      </w:tabs>
                      <w:spacing w:before="1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10"/>
                        <w:sz w:val="18"/>
                      </w:rPr>
                      <w:t>0</w:t>
                    </w:r>
                    <w:r>
                      <w:rPr>
                        <w:color w:val="373435"/>
                        <w:sz w:val="18"/>
                      </w:rPr>
                      <w:tab/>
                    </w:r>
                    <w:r>
                      <w:rPr>
                        <w:color w:val="373435"/>
                        <w:spacing w:val="-10"/>
                        <w:sz w:val="18"/>
                      </w:rPr>
                      <w:t>0</w:t>
                    </w:r>
                  </w:p>
                  <w:p>
                    <w:pPr>
                      <w:tabs>
                        <w:tab w:pos="1716" w:val="left" w:leader="none"/>
                      </w:tabs>
                      <w:spacing w:before="19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5"/>
                        <w:w w:val="115"/>
                        <w:sz w:val="18"/>
                      </w:rPr>
                      <w:t>0%</w:t>
                    </w:r>
                    <w:r>
                      <w:rPr>
                        <w:color w:val="373435"/>
                        <w:sz w:val="18"/>
                      </w:rPr>
                      <w:tab/>
                    </w:r>
                    <w:r>
                      <w:rPr>
                        <w:color w:val="373435"/>
                        <w:spacing w:val="-5"/>
                        <w:w w:val="115"/>
                        <w:sz w:val="18"/>
                      </w:rPr>
                      <w:t>0%</w:t>
                    </w:r>
                  </w:p>
                  <w:p>
                    <w:pPr>
                      <w:tabs>
                        <w:tab w:pos="1716" w:val="left" w:leader="none"/>
                      </w:tabs>
                      <w:spacing w:before="1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5"/>
                        <w:sz w:val="18"/>
                      </w:rPr>
                      <w:t>74</w:t>
                    </w:r>
                    <w:r>
                      <w:rPr>
                        <w:color w:val="373435"/>
                        <w:sz w:val="18"/>
                      </w:rPr>
                      <w:tab/>
                    </w:r>
                    <w:r>
                      <w:rPr>
                        <w:color w:val="373435"/>
                        <w:spacing w:val="-5"/>
                        <w:sz w:val="18"/>
                      </w:rPr>
                      <w:t>32</w:t>
                    </w:r>
                  </w:p>
                  <w:p>
                    <w:pPr>
                      <w:tabs>
                        <w:tab w:pos="1716" w:val="left" w:leader="none"/>
                      </w:tabs>
                      <w:spacing w:before="1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2"/>
                        <w:sz w:val="18"/>
                      </w:rPr>
                      <w:t>37.0%</w:t>
                    </w:r>
                    <w:r>
                      <w:rPr>
                        <w:color w:val="373435"/>
                        <w:sz w:val="18"/>
                      </w:rPr>
                      <w:tab/>
                    </w:r>
                    <w:r>
                      <w:rPr>
                        <w:color w:val="373435"/>
                        <w:spacing w:val="-2"/>
                        <w:sz w:val="18"/>
                      </w:rPr>
                      <w:t>16.0%</w:t>
                    </w:r>
                  </w:p>
                </w:txbxContent>
              </v:textbox>
              <w10:wrap type="none"/>
            </v:shape>
            <v:shape style="position:absolute;left:8447;top:392;width:733;height:2930" type="#_x0000_t202" id="docshape29" filled="false" stroked="false">
              <v:textbox inset="0,0,0,0">
                <w:txbxContent>
                  <w:p>
                    <w:pPr>
                      <w:spacing w:line="261" w:lineRule="auto" w:before="2"/>
                      <w:ind w:left="0" w:right="1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w w:val="95"/>
                        <w:sz w:val="18"/>
                      </w:rPr>
                      <w:t>Very</w:t>
                    </w:r>
                    <w:r>
                      <w:rPr>
                        <w:color w:val="373435"/>
                        <w:spacing w:val="-15"/>
                        <w:w w:val="95"/>
                        <w:sz w:val="18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18"/>
                      </w:rPr>
                      <w:t>high </w:t>
                    </w:r>
                    <w:r>
                      <w:rPr>
                        <w:color w:val="373435"/>
                        <w:spacing w:val="-6"/>
                        <w:sz w:val="18"/>
                      </w:rPr>
                      <w:t>12</w:t>
                    </w:r>
                  </w:p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2"/>
                        <w:sz w:val="18"/>
                      </w:rPr>
                      <w:t>12.8%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5"/>
                        <w:sz w:val="18"/>
                      </w:rPr>
                      <w:t>14</w:t>
                    </w:r>
                  </w:p>
                  <w:p>
                    <w:pPr>
                      <w:spacing w:before="19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2"/>
                        <w:sz w:val="18"/>
                      </w:rPr>
                      <w:t>21.2%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w w:val="97"/>
                        <w:sz w:val="18"/>
                      </w:rPr>
                      <w:t>0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5"/>
                        <w:w w:val="115"/>
                        <w:sz w:val="18"/>
                      </w:rPr>
                      <w:t>0%</w:t>
                    </w:r>
                  </w:p>
                  <w:p>
                    <w:pPr>
                      <w:spacing w:before="19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w w:val="97"/>
                        <w:sz w:val="18"/>
                      </w:rPr>
                      <w:t>0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5"/>
                        <w:w w:val="115"/>
                        <w:sz w:val="18"/>
                      </w:rPr>
                      <w:t>0%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w w:val="97"/>
                        <w:sz w:val="18"/>
                      </w:rPr>
                      <w:t>2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5"/>
                        <w:w w:val="110"/>
                        <w:sz w:val="18"/>
                      </w:rPr>
                      <w:t>50%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5"/>
                        <w:sz w:val="18"/>
                      </w:rPr>
                      <w:t>28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2"/>
                        <w:sz w:val="18"/>
                      </w:rPr>
                      <w:t>14.0%</w:t>
                    </w:r>
                  </w:p>
                </w:txbxContent>
              </v:textbox>
              <w10:wrap type="none"/>
            </v:shape>
            <v:shape style="position:absolute;left:10125;top:392;width:478;height:2930" type="#_x0000_t202" id="docshape30" filled="false" stroked="false">
              <v:textbox inset="0,0,0,0">
                <w:txbxContent>
                  <w:p>
                    <w:pPr>
                      <w:spacing w:line="261" w:lineRule="auto" w:before="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4"/>
                        <w:w w:val="90"/>
                        <w:sz w:val="18"/>
                      </w:rPr>
                      <w:t>total </w:t>
                    </w:r>
                    <w:r>
                      <w:rPr>
                        <w:color w:val="373435"/>
                        <w:spacing w:val="-6"/>
                        <w:sz w:val="18"/>
                      </w:rPr>
                      <w:t>94</w:t>
                    </w:r>
                  </w:p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w w:val="95"/>
                        <w:sz w:val="18"/>
                      </w:rPr>
                      <w:t>100</w:t>
                    </w:r>
                    <w:r>
                      <w:rPr>
                        <w:color w:val="373435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373435"/>
                        <w:spacing w:val="-10"/>
                        <w:w w:val="115"/>
                        <w:sz w:val="18"/>
                      </w:rPr>
                      <w:t>%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5"/>
                        <w:sz w:val="18"/>
                      </w:rPr>
                      <w:t>66</w:t>
                    </w:r>
                  </w:p>
                  <w:p>
                    <w:pPr>
                      <w:spacing w:before="19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w w:val="95"/>
                        <w:sz w:val="18"/>
                      </w:rPr>
                      <w:t>100</w:t>
                    </w:r>
                    <w:r>
                      <w:rPr>
                        <w:color w:val="373435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373435"/>
                        <w:spacing w:val="-10"/>
                        <w:w w:val="115"/>
                        <w:sz w:val="18"/>
                      </w:rPr>
                      <w:t>%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5"/>
                        <w:sz w:val="18"/>
                      </w:rPr>
                      <w:t>26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w w:val="95"/>
                        <w:sz w:val="18"/>
                      </w:rPr>
                      <w:t>100</w:t>
                    </w:r>
                    <w:r>
                      <w:rPr>
                        <w:color w:val="373435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373435"/>
                        <w:spacing w:val="-10"/>
                        <w:w w:val="115"/>
                        <w:sz w:val="18"/>
                      </w:rPr>
                      <w:t>%</w:t>
                    </w:r>
                  </w:p>
                  <w:p>
                    <w:pPr>
                      <w:spacing w:before="19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5"/>
                        <w:sz w:val="18"/>
                      </w:rPr>
                      <w:t>10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w w:val="95"/>
                        <w:sz w:val="18"/>
                      </w:rPr>
                      <w:t>100</w:t>
                    </w:r>
                    <w:r>
                      <w:rPr>
                        <w:color w:val="373435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373435"/>
                        <w:spacing w:val="-10"/>
                        <w:w w:val="115"/>
                        <w:sz w:val="18"/>
                      </w:rPr>
                      <w:t>%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w w:val="97"/>
                        <w:sz w:val="18"/>
                      </w:rPr>
                      <w:t>4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w w:val="95"/>
                        <w:sz w:val="18"/>
                      </w:rPr>
                      <w:t>100</w:t>
                    </w:r>
                    <w:r>
                      <w:rPr>
                        <w:color w:val="373435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373435"/>
                        <w:spacing w:val="-10"/>
                        <w:w w:val="115"/>
                        <w:sz w:val="18"/>
                      </w:rPr>
                      <w:t>%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5"/>
                        <w:sz w:val="18"/>
                      </w:rPr>
                      <w:t>200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w w:val="95"/>
                        <w:sz w:val="18"/>
                      </w:rPr>
                      <w:t>100</w:t>
                    </w:r>
                    <w:r>
                      <w:rPr>
                        <w:color w:val="373435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373435"/>
                        <w:spacing w:val="-10"/>
                        <w:w w:val="115"/>
                        <w:sz w:val="18"/>
                      </w:rPr>
                      <w:t>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2"/>
        <w:ind w:left="120"/>
      </w:pPr>
      <w:r>
        <w:rPr>
          <w:color w:val="373435"/>
          <w:w w:val="90"/>
        </w:rPr>
        <w:t>α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0.05,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-5"/>
          <w:w w:val="90"/>
        </w:rPr>
        <w:t> </w:t>
      </w:r>
      <w:r>
        <w:rPr>
          <w:color w:val="373435"/>
          <w:spacing w:val="-2"/>
          <w:w w:val="90"/>
        </w:rPr>
        <w:t>0.047</w:t>
      </w:r>
    </w:p>
    <w:p>
      <w:pPr>
        <w:spacing w:after="0"/>
        <w:sectPr>
          <w:type w:val="continuous"/>
          <w:pgSz w:w="12060" w:h="15840"/>
          <w:pgMar w:header="0" w:footer="626" w:top="520" w:bottom="820" w:left="700" w:right="680"/>
        </w:sectPr>
      </w:pPr>
    </w:p>
    <w:p>
      <w:pPr>
        <w:pStyle w:val="Heading2"/>
        <w:spacing w:before="84"/>
        <w:ind w:left="120"/>
      </w:pPr>
      <w:r>
        <w:rPr>
          <w:color w:val="373435"/>
          <w:w w:val="90"/>
        </w:rPr>
        <w:t>Table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10"/>
        </w:rPr>
        <w:t>4</w:t>
      </w:r>
    </w:p>
    <w:p>
      <w:pPr>
        <w:pStyle w:val="BodyText"/>
        <w:spacing w:before="8"/>
        <w:ind w:left="120"/>
      </w:pPr>
      <w:r>
        <w:rPr>
          <w:color w:val="373435"/>
          <w:w w:val="90"/>
        </w:rPr>
        <w:t>Stratification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duration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illness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suicide</w:t>
      </w:r>
      <w:r>
        <w:rPr>
          <w:color w:val="373435"/>
          <w:spacing w:val="-2"/>
          <w:w w:val="90"/>
        </w:rPr>
        <w:t> risk.</w:t>
      </w: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129" w:type="dxa"/>
        <w:tblBorders>
          <w:top w:val="single" w:sz="6" w:space="0" w:color="373435"/>
          <w:left w:val="single" w:sz="6" w:space="0" w:color="373435"/>
          <w:bottom w:val="single" w:sz="6" w:space="0" w:color="373435"/>
          <w:right w:val="single" w:sz="6" w:space="0" w:color="373435"/>
          <w:insideH w:val="single" w:sz="6" w:space="0" w:color="373435"/>
          <w:insideV w:val="single" w:sz="6" w:space="0" w:color="37343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0"/>
        <w:gridCol w:w="923"/>
        <w:gridCol w:w="2270"/>
        <w:gridCol w:w="3140"/>
        <w:gridCol w:w="722"/>
        <w:gridCol w:w="998"/>
        <w:gridCol w:w="682"/>
      </w:tblGrid>
      <w:tr>
        <w:trPr>
          <w:trHeight w:val="210" w:hRule="atLeast"/>
        </w:trPr>
        <w:tc>
          <w:tcPr>
            <w:tcW w:w="1680" w:type="dxa"/>
            <w:vMerge w:val="restart"/>
            <w:shd w:val="clear" w:color="auto" w:fill="9DD3AF"/>
          </w:tcPr>
          <w:p>
            <w:pPr>
              <w:pStyle w:val="TableParagraph"/>
              <w:spacing w:line="206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color w:val="373435"/>
                <w:w w:val="95"/>
                <w:sz w:val="18"/>
              </w:rPr>
              <w:t>Duration</w:t>
            </w:r>
            <w:r>
              <w:rPr>
                <w:rFonts w:ascii="Century Gothic"/>
                <w:b/>
                <w:color w:val="373435"/>
                <w:spacing w:val="-1"/>
                <w:w w:val="95"/>
                <w:sz w:val="18"/>
              </w:rPr>
              <w:t> </w:t>
            </w:r>
            <w:r>
              <w:rPr>
                <w:rFonts w:ascii="Century Gothic"/>
                <w:b/>
                <w:color w:val="373435"/>
                <w:w w:val="95"/>
                <w:sz w:val="18"/>
              </w:rPr>
              <w:t>of</w:t>
            </w:r>
            <w:r>
              <w:rPr>
                <w:rFonts w:ascii="Century Gothic"/>
                <w:b/>
                <w:color w:val="373435"/>
                <w:spacing w:val="-1"/>
                <w:w w:val="95"/>
                <w:sz w:val="18"/>
              </w:rPr>
              <w:t> </w:t>
            </w:r>
            <w:r>
              <w:rPr>
                <w:rFonts w:ascii="Century Gothic"/>
                <w:b/>
                <w:color w:val="373435"/>
                <w:spacing w:val="-2"/>
                <w:w w:val="95"/>
                <w:sz w:val="18"/>
              </w:rPr>
              <w:t>illness</w:t>
            </w:r>
          </w:p>
          <w:p>
            <w:pPr>
              <w:pStyle w:val="TableParagraph"/>
              <w:spacing w:line="209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color w:val="373435"/>
                <w:spacing w:val="-2"/>
                <w:sz w:val="18"/>
              </w:rPr>
              <w:t>(years)</w:t>
            </w:r>
          </w:p>
        </w:tc>
        <w:tc>
          <w:tcPr>
            <w:tcW w:w="8735" w:type="dxa"/>
            <w:gridSpan w:val="6"/>
            <w:shd w:val="clear" w:color="auto" w:fill="9DD3AF"/>
          </w:tcPr>
          <w:p>
            <w:pPr>
              <w:pStyle w:val="TableParagraph"/>
              <w:ind w:left="3939" w:right="3857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color w:val="373435"/>
                <w:w w:val="90"/>
                <w:sz w:val="18"/>
              </w:rPr>
              <w:t>Suicide</w:t>
            </w:r>
            <w:r>
              <w:rPr>
                <w:rFonts w:ascii="Century Gothic"/>
                <w:b/>
                <w:color w:val="373435"/>
                <w:spacing w:val="-4"/>
                <w:w w:val="90"/>
                <w:sz w:val="18"/>
              </w:rPr>
              <w:t> </w:t>
            </w:r>
            <w:r>
              <w:rPr>
                <w:rFonts w:ascii="Century Gothic"/>
                <w:b/>
                <w:color w:val="373435"/>
                <w:spacing w:val="-4"/>
                <w:sz w:val="18"/>
              </w:rPr>
              <w:t>risk</w:t>
            </w:r>
          </w:p>
        </w:tc>
      </w:tr>
      <w:tr>
        <w:trPr>
          <w:trHeight w:val="208" w:hRule="atLeast"/>
        </w:trPr>
        <w:tc>
          <w:tcPr>
            <w:tcW w:w="1680" w:type="dxa"/>
            <w:vMerge/>
            <w:tcBorders>
              <w:top w:val="nil"/>
            </w:tcBorders>
            <w:shd w:val="clear" w:color="auto" w:fill="9DD3A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3" w:type="dxa"/>
            <w:shd w:val="clear" w:color="auto" w:fill="9DD3AF"/>
          </w:tcPr>
          <w:p>
            <w:pPr>
              <w:pStyle w:val="TableParagraph"/>
              <w:spacing w:line="189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0"/>
                <w:sz w:val="18"/>
              </w:rPr>
              <w:t>Very</w:t>
            </w:r>
            <w:r>
              <w:rPr>
                <w:rFonts w:ascii="Trebuchet MS"/>
                <w:color w:val="373435"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color w:val="373435"/>
                <w:spacing w:val="-5"/>
                <w:sz w:val="18"/>
              </w:rPr>
              <w:t>low</w:t>
            </w:r>
          </w:p>
        </w:tc>
        <w:tc>
          <w:tcPr>
            <w:tcW w:w="2270" w:type="dxa"/>
            <w:shd w:val="clear" w:color="auto" w:fill="9DD3AF"/>
          </w:tcPr>
          <w:p>
            <w:pPr>
              <w:pStyle w:val="TableParagraph"/>
              <w:spacing w:line="189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low</w:t>
            </w:r>
          </w:p>
        </w:tc>
        <w:tc>
          <w:tcPr>
            <w:tcW w:w="3140" w:type="dxa"/>
            <w:shd w:val="clear" w:color="auto" w:fill="9DD3AF"/>
          </w:tcPr>
          <w:p>
            <w:pPr>
              <w:pStyle w:val="TableParagraph"/>
              <w:spacing w:line="189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moderate</w:t>
            </w:r>
          </w:p>
        </w:tc>
        <w:tc>
          <w:tcPr>
            <w:tcW w:w="722" w:type="dxa"/>
            <w:shd w:val="clear" w:color="auto" w:fill="9DD3AF"/>
          </w:tcPr>
          <w:p>
            <w:pPr>
              <w:pStyle w:val="TableParagraph"/>
              <w:spacing w:line="189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high</w:t>
            </w:r>
          </w:p>
        </w:tc>
        <w:tc>
          <w:tcPr>
            <w:tcW w:w="998" w:type="dxa"/>
            <w:shd w:val="clear" w:color="auto" w:fill="9DD3AF"/>
          </w:tcPr>
          <w:p>
            <w:pPr>
              <w:pStyle w:val="TableParagraph"/>
              <w:spacing w:line="189" w:lineRule="exact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0"/>
                <w:sz w:val="18"/>
              </w:rPr>
              <w:t>Very</w:t>
            </w:r>
            <w:r>
              <w:rPr>
                <w:rFonts w:ascii="Trebuchet MS"/>
                <w:color w:val="373435"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color w:val="373435"/>
                <w:spacing w:val="-4"/>
                <w:sz w:val="18"/>
              </w:rPr>
              <w:t>high</w:t>
            </w:r>
          </w:p>
        </w:tc>
        <w:tc>
          <w:tcPr>
            <w:tcW w:w="682" w:type="dxa"/>
            <w:shd w:val="clear" w:color="auto" w:fill="9DD3AF"/>
          </w:tcPr>
          <w:p>
            <w:pPr>
              <w:pStyle w:val="TableParagraph"/>
              <w:spacing w:line="189" w:lineRule="exact"/>
              <w:ind w:left="10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total</w:t>
            </w:r>
          </w:p>
        </w:tc>
      </w:tr>
      <w:tr>
        <w:trPr>
          <w:trHeight w:val="214" w:hRule="atLeast"/>
        </w:trPr>
        <w:tc>
          <w:tcPr>
            <w:tcW w:w="1680" w:type="dxa"/>
            <w:vMerge w:val="restart"/>
          </w:tcPr>
          <w:p>
            <w:pPr>
              <w:pStyle w:val="TableParagraph"/>
              <w:spacing w:line="240" w:lineRule="auto" w:before="3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0"/>
                <w:sz w:val="18"/>
              </w:rPr>
              <w:t>Less</w:t>
            </w:r>
            <w:r>
              <w:rPr>
                <w:rFonts w:ascii="Trebuchet MS"/>
                <w:color w:val="373435"/>
                <w:spacing w:val="-2"/>
                <w:sz w:val="18"/>
              </w:rPr>
              <w:t> </w:t>
            </w:r>
            <w:r>
              <w:rPr>
                <w:rFonts w:ascii="Trebuchet MS"/>
                <w:color w:val="373435"/>
                <w:w w:val="90"/>
                <w:sz w:val="18"/>
              </w:rPr>
              <w:t>than</w:t>
            </w:r>
            <w:r>
              <w:rPr>
                <w:rFonts w:ascii="Trebuchet MS"/>
                <w:color w:val="373435"/>
                <w:spacing w:val="-2"/>
                <w:sz w:val="18"/>
              </w:rPr>
              <w:t> </w:t>
            </w:r>
            <w:r>
              <w:rPr>
                <w:rFonts w:ascii="Trebuchet MS"/>
                <w:color w:val="373435"/>
                <w:spacing w:val="-10"/>
                <w:w w:val="90"/>
                <w:sz w:val="18"/>
              </w:rPr>
              <w:t>5</w:t>
            </w:r>
          </w:p>
        </w:tc>
        <w:tc>
          <w:tcPr>
            <w:tcW w:w="923" w:type="dxa"/>
          </w:tcPr>
          <w:p>
            <w:pPr>
              <w:pStyle w:val="TableParagraph"/>
              <w:spacing w:line="191" w:lineRule="exact" w:before="3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18</w:t>
            </w:r>
          </w:p>
        </w:tc>
        <w:tc>
          <w:tcPr>
            <w:tcW w:w="2270" w:type="dxa"/>
          </w:tcPr>
          <w:p>
            <w:pPr>
              <w:pStyle w:val="TableParagraph"/>
              <w:spacing w:line="191" w:lineRule="exact" w:before="3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22</w:t>
            </w:r>
          </w:p>
        </w:tc>
        <w:tc>
          <w:tcPr>
            <w:tcW w:w="3140" w:type="dxa"/>
          </w:tcPr>
          <w:p>
            <w:pPr>
              <w:pStyle w:val="TableParagraph"/>
              <w:spacing w:line="191" w:lineRule="exact" w:before="3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26</w:t>
            </w:r>
          </w:p>
        </w:tc>
        <w:tc>
          <w:tcPr>
            <w:tcW w:w="722" w:type="dxa"/>
          </w:tcPr>
          <w:p>
            <w:pPr>
              <w:pStyle w:val="TableParagraph"/>
              <w:spacing w:line="191" w:lineRule="exact" w:before="3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10</w:t>
            </w:r>
          </w:p>
        </w:tc>
        <w:tc>
          <w:tcPr>
            <w:tcW w:w="998" w:type="dxa"/>
          </w:tcPr>
          <w:p>
            <w:pPr>
              <w:pStyle w:val="TableParagraph"/>
              <w:spacing w:line="191" w:lineRule="exact" w:before="3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2</w:t>
            </w:r>
          </w:p>
        </w:tc>
        <w:tc>
          <w:tcPr>
            <w:tcW w:w="682" w:type="dxa"/>
          </w:tcPr>
          <w:p>
            <w:pPr>
              <w:pStyle w:val="TableParagraph"/>
              <w:spacing w:line="191" w:lineRule="exact" w:before="3"/>
              <w:ind w:left="10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78</w:t>
            </w:r>
          </w:p>
        </w:tc>
      </w:tr>
      <w:tr>
        <w:trPr>
          <w:trHeight w:val="210" w:hRule="atLeast"/>
        </w:trPr>
        <w:tc>
          <w:tcPr>
            <w:tcW w:w="16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3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23.1%</w:t>
            </w:r>
          </w:p>
        </w:tc>
        <w:tc>
          <w:tcPr>
            <w:tcW w:w="2270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28.2%</w:t>
            </w:r>
          </w:p>
        </w:tc>
        <w:tc>
          <w:tcPr>
            <w:tcW w:w="3140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33.3%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12.8%</w:t>
            </w:r>
          </w:p>
        </w:tc>
        <w:tc>
          <w:tcPr>
            <w:tcW w:w="998" w:type="dxa"/>
          </w:tcPr>
          <w:p>
            <w:pPr>
              <w:pStyle w:val="TableParagraph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2.6%</w:t>
            </w:r>
          </w:p>
        </w:tc>
        <w:tc>
          <w:tcPr>
            <w:tcW w:w="682" w:type="dxa"/>
          </w:tcPr>
          <w:p>
            <w:pPr>
              <w:pStyle w:val="TableParagraph"/>
              <w:ind w:left="10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w w:val="105"/>
                <w:sz w:val="18"/>
              </w:rPr>
              <w:t>100%</w:t>
            </w:r>
          </w:p>
        </w:tc>
      </w:tr>
      <w:tr>
        <w:trPr>
          <w:trHeight w:val="212" w:hRule="atLeast"/>
        </w:trPr>
        <w:tc>
          <w:tcPr>
            <w:tcW w:w="1680" w:type="dxa"/>
            <w:vMerge w:val="restart"/>
          </w:tcPr>
          <w:p>
            <w:pPr>
              <w:pStyle w:val="TableParagraph"/>
              <w:spacing w:line="209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w w:val="90"/>
                <w:sz w:val="18"/>
              </w:rPr>
              <w:t>5-</w:t>
            </w:r>
            <w:r>
              <w:rPr>
                <w:rFonts w:ascii="Trebuchet MS"/>
                <w:color w:val="373435"/>
                <w:spacing w:val="-5"/>
                <w:sz w:val="18"/>
              </w:rPr>
              <w:t>10</w:t>
            </w:r>
          </w:p>
        </w:tc>
        <w:tc>
          <w:tcPr>
            <w:tcW w:w="923" w:type="dxa"/>
          </w:tcPr>
          <w:p>
            <w:pPr>
              <w:pStyle w:val="TableParagraph"/>
              <w:spacing w:line="193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6</w:t>
            </w:r>
          </w:p>
        </w:tc>
        <w:tc>
          <w:tcPr>
            <w:tcW w:w="2270" w:type="dxa"/>
          </w:tcPr>
          <w:p>
            <w:pPr>
              <w:pStyle w:val="TableParagraph"/>
              <w:spacing w:line="193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8</w:t>
            </w:r>
          </w:p>
        </w:tc>
        <w:tc>
          <w:tcPr>
            <w:tcW w:w="3140" w:type="dxa"/>
          </w:tcPr>
          <w:p>
            <w:pPr>
              <w:pStyle w:val="TableParagraph"/>
              <w:spacing w:line="193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30</w:t>
            </w:r>
          </w:p>
        </w:tc>
        <w:tc>
          <w:tcPr>
            <w:tcW w:w="722" w:type="dxa"/>
          </w:tcPr>
          <w:p>
            <w:pPr>
              <w:pStyle w:val="TableParagraph"/>
              <w:spacing w:line="193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10</w:t>
            </w:r>
          </w:p>
        </w:tc>
        <w:tc>
          <w:tcPr>
            <w:tcW w:w="998" w:type="dxa"/>
          </w:tcPr>
          <w:p>
            <w:pPr>
              <w:pStyle w:val="TableParagraph"/>
              <w:spacing w:line="193" w:lineRule="exact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18</w:t>
            </w:r>
          </w:p>
        </w:tc>
        <w:tc>
          <w:tcPr>
            <w:tcW w:w="682" w:type="dxa"/>
          </w:tcPr>
          <w:p>
            <w:pPr>
              <w:pStyle w:val="TableParagraph"/>
              <w:spacing w:line="193" w:lineRule="exact"/>
              <w:ind w:left="10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72</w:t>
            </w:r>
          </w:p>
        </w:tc>
      </w:tr>
      <w:tr>
        <w:trPr>
          <w:trHeight w:val="210" w:hRule="atLeast"/>
        </w:trPr>
        <w:tc>
          <w:tcPr>
            <w:tcW w:w="16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3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8.3%</w:t>
            </w:r>
          </w:p>
        </w:tc>
        <w:tc>
          <w:tcPr>
            <w:tcW w:w="2270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11.1%</w:t>
            </w:r>
          </w:p>
        </w:tc>
        <w:tc>
          <w:tcPr>
            <w:tcW w:w="3140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41.7%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13.9%</w:t>
            </w:r>
          </w:p>
        </w:tc>
        <w:tc>
          <w:tcPr>
            <w:tcW w:w="998" w:type="dxa"/>
          </w:tcPr>
          <w:p>
            <w:pPr>
              <w:pStyle w:val="TableParagraph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110"/>
                <w:sz w:val="18"/>
              </w:rPr>
              <w:t>25%</w:t>
            </w:r>
          </w:p>
        </w:tc>
        <w:tc>
          <w:tcPr>
            <w:tcW w:w="682" w:type="dxa"/>
          </w:tcPr>
          <w:p>
            <w:pPr>
              <w:pStyle w:val="TableParagraph"/>
              <w:ind w:left="10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w w:val="105"/>
                <w:sz w:val="18"/>
              </w:rPr>
              <w:t>100%</w:t>
            </w:r>
          </w:p>
        </w:tc>
      </w:tr>
      <w:tr>
        <w:trPr>
          <w:trHeight w:val="210" w:hRule="atLeast"/>
        </w:trPr>
        <w:tc>
          <w:tcPr>
            <w:tcW w:w="1680" w:type="dxa"/>
            <w:vMerge w:val="restart"/>
          </w:tcPr>
          <w:p>
            <w:pPr>
              <w:pStyle w:val="TableParagraph"/>
              <w:spacing w:line="209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0"/>
                <w:sz w:val="18"/>
              </w:rPr>
              <w:t>11-</w:t>
            </w:r>
            <w:r>
              <w:rPr>
                <w:rFonts w:ascii="Trebuchet MS"/>
                <w:color w:val="373435"/>
                <w:spacing w:val="-5"/>
                <w:sz w:val="18"/>
              </w:rPr>
              <w:t>19</w:t>
            </w:r>
          </w:p>
        </w:tc>
        <w:tc>
          <w:tcPr>
            <w:tcW w:w="923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2</w:t>
            </w:r>
          </w:p>
        </w:tc>
        <w:tc>
          <w:tcPr>
            <w:tcW w:w="2270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4</w:t>
            </w:r>
          </w:p>
        </w:tc>
        <w:tc>
          <w:tcPr>
            <w:tcW w:w="3140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8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10</w:t>
            </w:r>
          </w:p>
        </w:tc>
        <w:tc>
          <w:tcPr>
            <w:tcW w:w="998" w:type="dxa"/>
          </w:tcPr>
          <w:p>
            <w:pPr>
              <w:pStyle w:val="TableParagraph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6</w:t>
            </w:r>
          </w:p>
        </w:tc>
        <w:tc>
          <w:tcPr>
            <w:tcW w:w="682" w:type="dxa"/>
          </w:tcPr>
          <w:p>
            <w:pPr>
              <w:pStyle w:val="TableParagraph"/>
              <w:ind w:left="10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30</w:t>
            </w:r>
          </w:p>
        </w:tc>
      </w:tr>
      <w:tr>
        <w:trPr>
          <w:trHeight w:val="212" w:hRule="atLeast"/>
        </w:trPr>
        <w:tc>
          <w:tcPr>
            <w:tcW w:w="16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3" w:type="dxa"/>
          </w:tcPr>
          <w:p>
            <w:pPr>
              <w:pStyle w:val="TableParagraph"/>
              <w:spacing w:line="193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6.7%</w:t>
            </w:r>
          </w:p>
        </w:tc>
        <w:tc>
          <w:tcPr>
            <w:tcW w:w="2270" w:type="dxa"/>
          </w:tcPr>
          <w:p>
            <w:pPr>
              <w:pStyle w:val="TableParagraph"/>
              <w:spacing w:line="193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13.3%</w:t>
            </w:r>
          </w:p>
        </w:tc>
        <w:tc>
          <w:tcPr>
            <w:tcW w:w="3140" w:type="dxa"/>
          </w:tcPr>
          <w:p>
            <w:pPr>
              <w:pStyle w:val="TableParagraph"/>
              <w:spacing w:line="193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26.7%</w:t>
            </w:r>
          </w:p>
        </w:tc>
        <w:tc>
          <w:tcPr>
            <w:tcW w:w="722" w:type="dxa"/>
          </w:tcPr>
          <w:p>
            <w:pPr>
              <w:pStyle w:val="TableParagraph"/>
              <w:spacing w:line="193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33.3%</w:t>
            </w:r>
          </w:p>
        </w:tc>
        <w:tc>
          <w:tcPr>
            <w:tcW w:w="998" w:type="dxa"/>
          </w:tcPr>
          <w:p>
            <w:pPr>
              <w:pStyle w:val="TableParagraph"/>
              <w:spacing w:line="193" w:lineRule="exact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110"/>
                <w:sz w:val="18"/>
              </w:rPr>
              <w:t>20%</w:t>
            </w:r>
          </w:p>
        </w:tc>
        <w:tc>
          <w:tcPr>
            <w:tcW w:w="682" w:type="dxa"/>
          </w:tcPr>
          <w:p>
            <w:pPr>
              <w:pStyle w:val="TableParagraph"/>
              <w:spacing w:line="193" w:lineRule="exact"/>
              <w:ind w:left="10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w w:val="105"/>
                <w:sz w:val="18"/>
              </w:rPr>
              <w:t>100%</w:t>
            </w:r>
          </w:p>
        </w:tc>
      </w:tr>
      <w:tr>
        <w:trPr>
          <w:trHeight w:val="210" w:hRule="atLeast"/>
        </w:trPr>
        <w:tc>
          <w:tcPr>
            <w:tcW w:w="1680" w:type="dxa"/>
            <w:vMerge w:val="restart"/>
          </w:tcPr>
          <w:p>
            <w:pPr>
              <w:pStyle w:val="TableParagraph"/>
              <w:spacing w:line="209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0"/>
                <w:sz w:val="18"/>
              </w:rPr>
              <w:t>20-</w:t>
            </w:r>
            <w:r>
              <w:rPr>
                <w:rFonts w:ascii="Trebuchet MS"/>
                <w:color w:val="373435"/>
                <w:spacing w:val="-5"/>
                <w:sz w:val="18"/>
              </w:rPr>
              <w:t>29</w:t>
            </w:r>
          </w:p>
        </w:tc>
        <w:tc>
          <w:tcPr>
            <w:tcW w:w="923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0</w:t>
            </w:r>
          </w:p>
        </w:tc>
        <w:tc>
          <w:tcPr>
            <w:tcW w:w="2270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6</w:t>
            </w:r>
          </w:p>
        </w:tc>
        <w:tc>
          <w:tcPr>
            <w:tcW w:w="3140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8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2</w:t>
            </w:r>
          </w:p>
        </w:tc>
        <w:tc>
          <w:tcPr>
            <w:tcW w:w="998" w:type="dxa"/>
          </w:tcPr>
          <w:p>
            <w:pPr>
              <w:pStyle w:val="TableParagraph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2</w:t>
            </w:r>
          </w:p>
        </w:tc>
        <w:tc>
          <w:tcPr>
            <w:tcW w:w="682" w:type="dxa"/>
          </w:tcPr>
          <w:p>
            <w:pPr>
              <w:pStyle w:val="TableParagraph"/>
              <w:ind w:left="10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18</w:t>
            </w:r>
          </w:p>
        </w:tc>
      </w:tr>
      <w:tr>
        <w:trPr>
          <w:trHeight w:val="210" w:hRule="atLeast"/>
        </w:trPr>
        <w:tc>
          <w:tcPr>
            <w:tcW w:w="16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3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115"/>
                <w:sz w:val="18"/>
              </w:rPr>
              <w:t>0%</w:t>
            </w:r>
          </w:p>
        </w:tc>
        <w:tc>
          <w:tcPr>
            <w:tcW w:w="2270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33.3%</w:t>
            </w:r>
          </w:p>
        </w:tc>
        <w:tc>
          <w:tcPr>
            <w:tcW w:w="3140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44.4%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11.1%</w:t>
            </w:r>
          </w:p>
        </w:tc>
        <w:tc>
          <w:tcPr>
            <w:tcW w:w="998" w:type="dxa"/>
          </w:tcPr>
          <w:p>
            <w:pPr>
              <w:pStyle w:val="TableParagraph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11.1%</w:t>
            </w:r>
          </w:p>
        </w:tc>
        <w:tc>
          <w:tcPr>
            <w:tcW w:w="682" w:type="dxa"/>
          </w:tcPr>
          <w:p>
            <w:pPr>
              <w:pStyle w:val="TableParagraph"/>
              <w:ind w:left="10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w w:val="105"/>
                <w:sz w:val="18"/>
              </w:rPr>
              <w:t>100%</w:t>
            </w:r>
          </w:p>
        </w:tc>
      </w:tr>
      <w:tr>
        <w:trPr>
          <w:trHeight w:val="210" w:hRule="atLeast"/>
        </w:trPr>
        <w:tc>
          <w:tcPr>
            <w:tcW w:w="1680" w:type="dxa"/>
            <w:vMerge w:val="restart"/>
          </w:tcPr>
          <w:p>
            <w:pPr>
              <w:pStyle w:val="TableParagraph"/>
              <w:spacing w:line="209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5"/>
                <w:sz w:val="18"/>
              </w:rPr>
              <w:t>More</w:t>
            </w:r>
            <w:r>
              <w:rPr>
                <w:rFonts w:ascii="Trebuchet MS"/>
                <w:color w:val="373435"/>
                <w:spacing w:val="-7"/>
                <w:w w:val="95"/>
                <w:sz w:val="18"/>
              </w:rPr>
              <w:t> </w:t>
            </w:r>
            <w:r>
              <w:rPr>
                <w:rFonts w:ascii="Trebuchet MS"/>
                <w:color w:val="373435"/>
                <w:w w:val="95"/>
                <w:sz w:val="18"/>
              </w:rPr>
              <w:t>than</w:t>
            </w:r>
            <w:r>
              <w:rPr>
                <w:rFonts w:ascii="Trebuchet MS"/>
                <w:color w:val="373435"/>
                <w:spacing w:val="-6"/>
                <w:w w:val="95"/>
                <w:sz w:val="18"/>
              </w:rPr>
              <w:t> </w:t>
            </w:r>
            <w:r>
              <w:rPr>
                <w:rFonts w:ascii="Trebuchet MS"/>
                <w:color w:val="373435"/>
                <w:spacing w:val="-7"/>
                <w:w w:val="95"/>
                <w:sz w:val="18"/>
              </w:rPr>
              <w:t>30</w:t>
            </w:r>
          </w:p>
        </w:tc>
        <w:tc>
          <w:tcPr>
            <w:tcW w:w="923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0</w:t>
            </w:r>
          </w:p>
        </w:tc>
        <w:tc>
          <w:tcPr>
            <w:tcW w:w="2270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0</w:t>
            </w:r>
          </w:p>
        </w:tc>
        <w:tc>
          <w:tcPr>
            <w:tcW w:w="3140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2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0</w:t>
            </w:r>
          </w:p>
        </w:tc>
        <w:tc>
          <w:tcPr>
            <w:tcW w:w="998" w:type="dxa"/>
          </w:tcPr>
          <w:p>
            <w:pPr>
              <w:pStyle w:val="TableParagraph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0</w:t>
            </w:r>
          </w:p>
        </w:tc>
        <w:tc>
          <w:tcPr>
            <w:tcW w:w="682" w:type="dxa"/>
          </w:tcPr>
          <w:p>
            <w:pPr>
              <w:pStyle w:val="TableParagraph"/>
              <w:ind w:left="10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2</w:t>
            </w:r>
          </w:p>
        </w:tc>
      </w:tr>
      <w:tr>
        <w:trPr>
          <w:trHeight w:val="212" w:hRule="atLeast"/>
        </w:trPr>
        <w:tc>
          <w:tcPr>
            <w:tcW w:w="16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3" w:type="dxa"/>
          </w:tcPr>
          <w:p>
            <w:pPr>
              <w:pStyle w:val="TableParagraph"/>
              <w:spacing w:line="191" w:lineRule="exact" w:before="2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115"/>
                <w:sz w:val="18"/>
              </w:rPr>
              <w:t>0%</w:t>
            </w:r>
          </w:p>
        </w:tc>
        <w:tc>
          <w:tcPr>
            <w:tcW w:w="2270" w:type="dxa"/>
          </w:tcPr>
          <w:p>
            <w:pPr>
              <w:pStyle w:val="TableParagraph"/>
              <w:spacing w:line="191" w:lineRule="exact" w:before="2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115"/>
                <w:sz w:val="18"/>
              </w:rPr>
              <w:t>0%</w:t>
            </w:r>
          </w:p>
        </w:tc>
        <w:tc>
          <w:tcPr>
            <w:tcW w:w="3140" w:type="dxa"/>
          </w:tcPr>
          <w:p>
            <w:pPr>
              <w:pStyle w:val="TableParagraph"/>
              <w:spacing w:line="191" w:lineRule="exact" w:before="2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w w:val="105"/>
                <w:sz w:val="18"/>
              </w:rPr>
              <w:t>100%</w:t>
            </w:r>
          </w:p>
        </w:tc>
        <w:tc>
          <w:tcPr>
            <w:tcW w:w="722" w:type="dxa"/>
          </w:tcPr>
          <w:p>
            <w:pPr>
              <w:pStyle w:val="TableParagraph"/>
              <w:spacing w:line="191" w:lineRule="exact" w:before="2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115"/>
                <w:sz w:val="18"/>
              </w:rPr>
              <w:t>0%</w:t>
            </w:r>
          </w:p>
        </w:tc>
        <w:tc>
          <w:tcPr>
            <w:tcW w:w="998" w:type="dxa"/>
          </w:tcPr>
          <w:p>
            <w:pPr>
              <w:pStyle w:val="TableParagraph"/>
              <w:spacing w:line="191" w:lineRule="exact" w:before="2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115"/>
                <w:sz w:val="18"/>
              </w:rPr>
              <w:t>0%</w:t>
            </w:r>
          </w:p>
        </w:tc>
        <w:tc>
          <w:tcPr>
            <w:tcW w:w="682" w:type="dxa"/>
          </w:tcPr>
          <w:p>
            <w:pPr>
              <w:pStyle w:val="TableParagraph"/>
              <w:spacing w:line="191" w:lineRule="exact" w:before="2"/>
              <w:ind w:left="10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w w:val="105"/>
                <w:sz w:val="18"/>
              </w:rPr>
              <w:t>100%</w:t>
            </w:r>
          </w:p>
        </w:tc>
      </w:tr>
      <w:tr>
        <w:trPr>
          <w:trHeight w:val="210" w:hRule="atLeast"/>
        </w:trPr>
        <w:tc>
          <w:tcPr>
            <w:tcW w:w="1680" w:type="dxa"/>
            <w:vMerge w:val="restart"/>
          </w:tcPr>
          <w:p>
            <w:pPr>
              <w:pStyle w:val="TableParagraph"/>
              <w:spacing w:line="209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total</w:t>
            </w:r>
          </w:p>
        </w:tc>
        <w:tc>
          <w:tcPr>
            <w:tcW w:w="923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26</w:t>
            </w:r>
          </w:p>
        </w:tc>
        <w:tc>
          <w:tcPr>
            <w:tcW w:w="2270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40</w:t>
            </w:r>
          </w:p>
        </w:tc>
        <w:tc>
          <w:tcPr>
            <w:tcW w:w="3140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74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32</w:t>
            </w:r>
          </w:p>
        </w:tc>
        <w:tc>
          <w:tcPr>
            <w:tcW w:w="998" w:type="dxa"/>
          </w:tcPr>
          <w:p>
            <w:pPr>
              <w:pStyle w:val="TableParagraph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28</w:t>
            </w:r>
          </w:p>
        </w:tc>
        <w:tc>
          <w:tcPr>
            <w:tcW w:w="682" w:type="dxa"/>
          </w:tcPr>
          <w:p>
            <w:pPr>
              <w:pStyle w:val="TableParagraph"/>
              <w:ind w:left="10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200</w:t>
            </w:r>
          </w:p>
        </w:tc>
      </w:tr>
      <w:tr>
        <w:trPr>
          <w:trHeight w:val="212" w:hRule="atLeast"/>
        </w:trPr>
        <w:tc>
          <w:tcPr>
            <w:tcW w:w="16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3" w:type="dxa"/>
          </w:tcPr>
          <w:p>
            <w:pPr>
              <w:pStyle w:val="TableParagraph"/>
              <w:spacing w:line="193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13.0%</w:t>
            </w:r>
          </w:p>
        </w:tc>
        <w:tc>
          <w:tcPr>
            <w:tcW w:w="2270" w:type="dxa"/>
          </w:tcPr>
          <w:p>
            <w:pPr>
              <w:pStyle w:val="TableParagraph"/>
              <w:spacing w:line="193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20.0%</w:t>
            </w:r>
          </w:p>
        </w:tc>
        <w:tc>
          <w:tcPr>
            <w:tcW w:w="3140" w:type="dxa"/>
          </w:tcPr>
          <w:p>
            <w:pPr>
              <w:pStyle w:val="TableParagraph"/>
              <w:spacing w:line="193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110"/>
                <w:sz w:val="18"/>
              </w:rPr>
              <w:t>37%</w:t>
            </w:r>
          </w:p>
        </w:tc>
        <w:tc>
          <w:tcPr>
            <w:tcW w:w="722" w:type="dxa"/>
          </w:tcPr>
          <w:p>
            <w:pPr>
              <w:pStyle w:val="TableParagraph"/>
              <w:spacing w:line="193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16.0%</w:t>
            </w:r>
          </w:p>
        </w:tc>
        <w:tc>
          <w:tcPr>
            <w:tcW w:w="998" w:type="dxa"/>
          </w:tcPr>
          <w:p>
            <w:pPr>
              <w:pStyle w:val="TableParagraph"/>
              <w:spacing w:line="193" w:lineRule="exact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110"/>
                <w:sz w:val="18"/>
              </w:rPr>
              <w:t>14%</w:t>
            </w:r>
          </w:p>
        </w:tc>
        <w:tc>
          <w:tcPr>
            <w:tcW w:w="682" w:type="dxa"/>
          </w:tcPr>
          <w:p>
            <w:pPr>
              <w:pStyle w:val="TableParagraph"/>
              <w:spacing w:line="193" w:lineRule="exact"/>
              <w:ind w:left="10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w w:val="105"/>
                <w:sz w:val="18"/>
              </w:rPr>
              <w:t>100%</w:t>
            </w:r>
          </w:p>
        </w:tc>
      </w:tr>
    </w:tbl>
    <w:p>
      <w:pPr>
        <w:spacing w:after="0" w:line="193" w:lineRule="exact"/>
        <w:rPr>
          <w:rFonts w:ascii="Trebuchet MS"/>
          <w:sz w:val="18"/>
        </w:rPr>
        <w:sectPr>
          <w:headerReference w:type="default" r:id="rId11"/>
          <w:headerReference w:type="even" r:id="rId12"/>
          <w:footerReference w:type="default" r:id="rId13"/>
          <w:footerReference w:type="even" r:id="rId14"/>
          <w:pgSz w:w="12060" w:h="15840"/>
          <w:pgMar w:header="0" w:footer="626" w:top="940" w:bottom="820" w:left="700" w:right="680"/>
        </w:sectPr>
      </w:pPr>
    </w:p>
    <w:p>
      <w:pPr>
        <w:pStyle w:val="BodyText"/>
        <w:spacing w:before="80"/>
        <w:ind w:left="120"/>
        <w:jc w:val="both"/>
      </w:pPr>
      <w:r>
        <w:rPr/>
        <w:pict>
          <v:group style="position:absolute;margin-left:443.890503pt;margin-top:-.000300pt;width:117.5pt;height:26.95pt;mso-position-horizontal-relative:page;mso-position-vertical-relative:page;z-index:15731200" id="docshapegroup44" coordorigin="8878,0" coordsize="2350,539">
            <v:rect style="position:absolute;left:8877;top:0;width:588;height:539" id="docshape45" filled="true" fillcolor="#76c04e" stroked="false">
              <v:fill type="solid"/>
            </v:rect>
            <v:rect style="position:absolute;left:9465;top:0;width:588;height:539" id="docshape46" filled="true" fillcolor="#9dd3af" stroked="false">
              <v:fill type="solid"/>
            </v:rect>
            <v:rect style="position:absolute;left:10052;top:0;width:588;height:539" id="docshape47" filled="true" fillcolor="#76c04e" stroked="false">
              <v:fill type="solid"/>
            </v:rect>
            <v:rect style="position:absolute;left:10639;top:0;width:588;height:539" id="docshape48" filled="true" fillcolor="#9dd3af" stroked="false">
              <v:fill type="solid"/>
            </v:rect>
            <w10:wrap type="none"/>
          </v:group>
        </w:pict>
      </w:r>
      <w:r>
        <w:rPr>
          <w:color w:val="373435"/>
          <w:w w:val="90"/>
        </w:rPr>
        <w:t>α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0.05,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-5"/>
          <w:w w:val="90"/>
        </w:rPr>
        <w:t> </w:t>
      </w:r>
      <w:r>
        <w:rPr>
          <w:color w:val="373435"/>
          <w:spacing w:val="-4"/>
          <w:w w:val="90"/>
        </w:rPr>
        <w:t>0.00</w:t>
      </w:r>
    </w:p>
    <w:p>
      <w:pPr>
        <w:pStyle w:val="BodyText"/>
        <w:spacing w:before="4"/>
      </w:pPr>
    </w:p>
    <w:p>
      <w:pPr>
        <w:pStyle w:val="Heading1"/>
        <w:ind w:left="120"/>
        <w:rPr>
          <w:rFonts w:ascii="Trebuchet MS"/>
        </w:rPr>
      </w:pPr>
      <w:r>
        <w:rPr>
          <w:rFonts w:ascii="Trebuchet MS"/>
          <w:color w:val="76C04E"/>
          <w:spacing w:val="-2"/>
          <w:w w:val="115"/>
        </w:rPr>
        <w:t>DISCUSSION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spacing w:line="247" w:lineRule="auto" w:before="1"/>
        <w:ind w:left="120" w:right="38"/>
        <w:jc w:val="both"/>
      </w:pPr>
      <w:r>
        <w:rPr>
          <w:color w:val="373435"/>
          <w:spacing w:val="-2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major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risk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factors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for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suicide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as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identified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by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previous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studies </w:t>
      </w:r>
      <w:r>
        <w:rPr>
          <w:color w:val="373435"/>
          <w:w w:val="90"/>
        </w:rPr>
        <w:t>include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mental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illness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well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social,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cultural,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economic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 family factors</w:t>
      </w:r>
      <w:r>
        <w:rPr>
          <w:color w:val="373435"/>
          <w:w w:val="90"/>
          <w:position w:val="9"/>
          <w:sz w:val="9"/>
        </w:rPr>
        <w:t>9</w:t>
      </w:r>
      <w:r>
        <w:rPr>
          <w:color w:val="373435"/>
          <w:w w:val="90"/>
        </w:rPr>
        <w:t>.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This study focused on the patients of schizophrenia and aimed not only to identify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 suicide risk in these patients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but </w:t>
      </w:r>
      <w:r>
        <w:rPr>
          <w:color w:val="373435"/>
          <w:w w:val="95"/>
        </w:rPr>
        <w:t>also to see the effect modification of risk by socio-demographic factors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duration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illness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specific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population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group.</w:t>
      </w:r>
    </w:p>
    <w:p>
      <w:pPr>
        <w:pStyle w:val="BodyText"/>
        <w:spacing w:before="8"/>
      </w:pPr>
    </w:p>
    <w:p>
      <w:pPr>
        <w:pStyle w:val="BodyText"/>
        <w:spacing w:line="247" w:lineRule="auto"/>
        <w:ind w:left="119" w:right="38"/>
        <w:jc w:val="both"/>
      </w:pPr>
      <w:r>
        <w:rPr>
          <w:color w:val="373435"/>
          <w:w w:val="95"/>
        </w:rPr>
        <w:t>Among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sample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population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200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patients,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majority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young, </w:t>
      </w:r>
      <w:r>
        <w:rPr>
          <w:color w:val="373435"/>
          <w:w w:val="90"/>
        </w:rPr>
        <w:t>adult, single, males having education till matriculation and history 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schizophrenia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less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than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five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years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may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be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clearly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explained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by the fact that Schizophrenia affects males more than the females</w:t>
      </w:r>
      <w:r>
        <w:rPr>
          <w:color w:val="373435"/>
          <w:w w:val="90"/>
          <w:position w:val="9"/>
          <w:sz w:val="9"/>
        </w:rPr>
        <w:t>10</w:t>
      </w:r>
      <w:r>
        <w:rPr>
          <w:color w:val="373435"/>
          <w:w w:val="90"/>
        </w:rPr>
        <w:t>, </w:t>
      </w:r>
      <w:r>
        <w:rPr>
          <w:color w:val="373435"/>
        </w:rPr>
        <w:t>and its onset in seen during early adulthood. Moreover the </w:t>
      </w:r>
      <w:r>
        <w:rPr>
          <w:color w:val="373435"/>
          <w:w w:val="90"/>
        </w:rPr>
        <w:t>treatment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seeking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can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be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expected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more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during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early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periods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 </w:t>
      </w:r>
      <w:r>
        <w:rPr>
          <w:color w:val="373435"/>
        </w:rPr>
        <w:t>illness, as down drift of patients usually leads to progressive </w:t>
      </w:r>
      <w:r>
        <w:rPr>
          <w:color w:val="373435"/>
          <w:w w:val="95"/>
        </w:rPr>
        <w:t>worsening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health,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treatment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drop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outs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social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neglect.</w:t>
      </w:r>
    </w:p>
    <w:p>
      <w:pPr>
        <w:pStyle w:val="BodyText"/>
        <w:spacing w:before="10"/>
      </w:pPr>
    </w:p>
    <w:p>
      <w:pPr>
        <w:pStyle w:val="BodyText"/>
        <w:spacing w:line="247" w:lineRule="auto" w:before="1"/>
        <w:ind w:left="119" w:right="39"/>
        <w:jc w:val="both"/>
      </w:pPr>
      <w:r>
        <w:rPr>
          <w:color w:val="373435"/>
          <w:w w:val="95"/>
        </w:rPr>
        <w:t>The identification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of moderate and high risk of suicide in 67% of patients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once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again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reinforces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previous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studies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showing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high </w:t>
      </w:r>
      <w:r>
        <w:rPr>
          <w:color w:val="373435"/>
          <w:w w:val="90"/>
        </w:rPr>
        <w:t>suicide risk in patients with schizophrenia, thus making suicide the </w:t>
      </w:r>
      <w:r>
        <w:rPr>
          <w:color w:val="373435"/>
          <w:w w:val="95"/>
        </w:rPr>
        <w:t>major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cause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death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these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w w:val="95"/>
          <w:position w:val="9"/>
          <w:sz w:val="9"/>
        </w:rPr>
        <w:t>11,12</w:t>
      </w:r>
      <w:r>
        <w:rPr>
          <w:color w:val="373435"/>
          <w:w w:val="95"/>
        </w:rPr>
        <w:t>.</w:t>
      </w:r>
    </w:p>
    <w:p>
      <w:pPr>
        <w:pStyle w:val="BodyText"/>
        <w:spacing w:before="6"/>
      </w:pPr>
    </w:p>
    <w:p>
      <w:pPr>
        <w:pStyle w:val="BodyText"/>
        <w:spacing w:line="244" w:lineRule="auto"/>
        <w:ind w:left="119" w:right="38"/>
        <w:jc w:val="both"/>
      </w:pPr>
      <w:r>
        <w:rPr>
          <w:color w:val="373435"/>
          <w:w w:val="95"/>
        </w:rPr>
        <w:t>Both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genders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having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equally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high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risk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suicide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goes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against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  <w:w w:val="90"/>
        </w:rPr>
        <w:t>previous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studies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which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label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male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gender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risk factor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suicide </w:t>
      </w:r>
      <w:r>
        <w:rPr>
          <w:color w:val="373435"/>
          <w:w w:val="95"/>
        </w:rPr>
        <w:t>in general population</w:t>
      </w:r>
      <w:r>
        <w:rPr>
          <w:color w:val="373435"/>
          <w:w w:val="95"/>
          <w:position w:val="9"/>
          <w:sz w:val="9"/>
        </w:rPr>
        <w:t>13</w:t>
      </w:r>
      <w:r>
        <w:rPr>
          <w:color w:val="373435"/>
          <w:w w:val="95"/>
        </w:rPr>
        <w:t>. So an important finding is revealed that once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hit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Schizophrenia,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gender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differences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diminish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this </w:t>
      </w:r>
      <w:r>
        <w:rPr>
          <w:color w:val="373435"/>
          <w:spacing w:val="-2"/>
        </w:rPr>
        <w:t>regard</w:t>
      </w:r>
      <w:r>
        <w:rPr>
          <w:color w:val="373435"/>
          <w:spacing w:val="-2"/>
          <w:position w:val="9"/>
          <w:sz w:val="9"/>
        </w:rPr>
        <w:t>14</w:t>
      </w:r>
      <w:r>
        <w:rPr>
          <w:color w:val="373435"/>
          <w:spacing w:val="-2"/>
        </w:rPr>
        <w:t>.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119" w:right="39" w:firstLine="40"/>
        <w:jc w:val="both"/>
      </w:pPr>
      <w:r>
        <w:rPr>
          <w:color w:val="373435"/>
          <w:w w:val="95"/>
        </w:rPr>
        <w:t>The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finding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high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risk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old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age</w:t>
      </w:r>
      <w:r>
        <w:rPr>
          <w:color w:val="373435"/>
          <w:w w:val="95"/>
          <w:position w:val="9"/>
          <w:sz w:val="9"/>
        </w:rPr>
        <w:t>15</w:t>
      </w:r>
      <w:r>
        <w:rPr>
          <w:color w:val="373435"/>
          <w:spacing w:val="21"/>
          <w:position w:val="9"/>
          <w:sz w:val="9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separation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spouse</w:t>
      </w:r>
      <w:r>
        <w:rPr>
          <w:color w:val="373435"/>
          <w:w w:val="95"/>
          <w:position w:val="9"/>
          <w:sz w:val="9"/>
        </w:rPr>
        <w:t>16</w:t>
      </w:r>
      <w:r>
        <w:rPr>
          <w:color w:val="373435"/>
          <w:spacing w:val="40"/>
          <w:position w:val="9"/>
          <w:sz w:val="9"/>
        </w:rPr>
        <w:t> </w:t>
      </w:r>
      <w:r>
        <w:rPr>
          <w:color w:val="373435"/>
          <w:w w:val="90"/>
        </w:rPr>
        <w:t>reinforces the previous studies that label these both factors as risk </w:t>
      </w:r>
      <w:r>
        <w:rPr>
          <w:color w:val="373435"/>
        </w:rPr>
        <w:t>factors</w:t>
      </w:r>
      <w:r>
        <w:rPr>
          <w:color w:val="373435"/>
          <w:spacing w:val="-30"/>
        </w:rPr>
        <w:t> </w:t>
      </w:r>
      <w:r>
        <w:rPr>
          <w:color w:val="373435"/>
        </w:rPr>
        <w:t>in</w:t>
      </w:r>
      <w:r>
        <w:rPr>
          <w:color w:val="373435"/>
          <w:spacing w:val="-30"/>
        </w:rPr>
        <w:t> </w:t>
      </w:r>
      <w:r>
        <w:rPr>
          <w:color w:val="373435"/>
        </w:rPr>
        <w:t>general</w:t>
      </w:r>
      <w:r>
        <w:rPr>
          <w:color w:val="373435"/>
          <w:spacing w:val="-31"/>
        </w:rPr>
        <w:t> </w:t>
      </w:r>
      <w:r>
        <w:rPr>
          <w:color w:val="373435"/>
        </w:rPr>
        <w:t>population.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18" w:right="39"/>
        <w:jc w:val="both"/>
      </w:pPr>
      <w:r>
        <w:rPr>
          <w:color w:val="373435"/>
        </w:rPr>
        <w:t>The most significant finding in this study appeared when </w:t>
      </w:r>
      <w:r>
        <w:rPr>
          <w:color w:val="373435"/>
        </w:rPr>
        <w:t>the </w:t>
      </w:r>
      <w:r>
        <w:rPr>
          <w:color w:val="373435"/>
          <w:w w:val="90"/>
        </w:rPr>
        <w:t>duration of illness in relation to suicide risk was assessed. High risk </w:t>
      </w:r>
      <w:r>
        <w:rPr>
          <w:color w:val="373435"/>
          <w:w w:val="95"/>
        </w:rPr>
        <w:t>was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found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increasing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continuously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duration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increased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from less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than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five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years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till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19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years.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However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high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risk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proportion </w:t>
      </w:r>
      <w:r>
        <w:rPr>
          <w:color w:val="373435"/>
          <w:w w:val="90"/>
        </w:rPr>
        <w:t>started falling thereafter.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 progressive increase in High risk can </w:t>
      </w:r>
      <w:r>
        <w:rPr>
          <w:color w:val="373435"/>
          <w:w w:val="95"/>
        </w:rPr>
        <w:t>be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explained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exhaustion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personal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well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socio-economic </w:t>
      </w:r>
      <w:r>
        <w:rPr>
          <w:color w:val="373435"/>
        </w:rPr>
        <w:t>strengths with increasing duration of illness.</w:t>
      </w:r>
      <w:r>
        <w:rPr>
          <w:color w:val="373435"/>
          <w:spacing w:val="-2"/>
        </w:rPr>
        <w:t> </w:t>
      </w:r>
      <w:r>
        <w:rPr>
          <w:color w:val="373435"/>
        </w:rPr>
        <w:t>The subsequent reduction in the high risk group may actually be misleading, </w:t>
      </w:r>
      <w:r>
        <w:rPr>
          <w:color w:val="373435"/>
          <w:w w:val="90"/>
        </w:rPr>
        <w:t>because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when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look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closely,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find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100%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patients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more than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30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years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illness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entered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Moderate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Risk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group,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4"/>
          <w:w w:val="90"/>
        </w:rPr>
        <w:t> none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49" w:lineRule="auto"/>
        <w:ind w:left="120" w:right="126"/>
        <w:jc w:val="both"/>
      </w:pPr>
      <w:r>
        <w:rPr>
          <w:color w:val="373435"/>
        </w:rPr>
        <w:t>having a</w:t>
      </w:r>
      <w:r>
        <w:rPr>
          <w:color w:val="373435"/>
          <w:spacing w:val="-2"/>
        </w:rPr>
        <w:t> </w:t>
      </w:r>
      <w:r>
        <w:rPr>
          <w:color w:val="373435"/>
        </w:rPr>
        <w:t>low</w:t>
      </w:r>
      <w:r>
        <w:rPr>
          <w:color w:val="373435"/>
          <w:spacing w:val="-2"/>
        </w:rPr>
        <w:t> </w:t>
      </w:r>
      <w:r>
        <w:rPr>
          <w:color w:val="373435"/>
        </w:rPr>
        <w:t>risk.</w:t>
      </w:r>
      <w:r>
        <w:rPr>
          <w:color w:val="373435"/>
          <w:spacing w:val="-7"/>
        </w:rPr>
        <w:t> </w:t>
      </w:r>
      <w:r>
        <w:rPr>
          <w:color w:val="373435"/>
        </w:rPr>
        <w:t>Thus,</w:t>
      </w:r>
      <w:r>
        <w:rPr>
          <w:color w:val="373435"/>
          <w:spacing w:val="-2"/>
        </w:rPr>
        <w:t> </w:t>
      </w:r>
      <w:r>
        <w:rPr>
          <w:color w:val="373435"/>
        </w:rPr>
        <w:t>we</w:t>
      </w:r>
      <w:r>
        <w:rPr>
          <w:color w:val="373435"/>
          <w:spacing w:val="-2"/>
        </w:rPr>
        <w:t> </w:t>
      </w:r>
      <w:r>
        <w:rPr>
          <w:color w:val="373435"/>
        </w:rPr>
        <w:t>may</w:t>
      </w:r>
      <w:r>
        <w:rPr>
          <w:color w:val="373435"/>
          <w:spacing w:val="-2"/>
        </w:rPr>
        <w:t> </w:t>
      </w:r>
      <w:r>
        <w:rPr>
          <w:color w:val="373435"/>
        </w:rPr>
        <w:t>conclude that</w:t>
      </w:r>
      <w:r>
        <w:rPr>
          <w:color w:val="373435"/>
          <w:spacing w:val="-1"/>
        </w:rPr>
        <w:t> </w:t>
      </w:r>
      <w:r>
        <w:rPr>
          <w:color w:val="373435"/>
        </w:rPr>
        <w:t>an</w:t>
      </w:r>
      <w:r>
        <w:rPr>
          <w:color w:val="373435"/>
          <w:spacing w:val="-2"/>
        </w:rPr>
        <w:t> </w:t>
      </w:r>
      <w:r>
        <w:rPr>
          <w:color w:val="373435"/>
        </w:rPr>
        <w:t>overall</w:t>
      </w:r>
      <w:r>
        <w:rPr>
          <w:color w:val="373435"/>
          <w:spacing w:val="-1"/>
        </w:rPr>
        <w:t> </w:t>
      </w:r>
      <w:r>
        <w:rPr>
          <w:color w:val="373435"/>
        </w:rPr>
        <w:t>risk increases with increasing duration though this needs to be investigated</w:t>
      </w:r>
      <w:r>
        <w:rPr>
          <w:color w:val="373435"/>
          <w:spacing w:val="-14"/>
        </w:rPr>
        <w:t> </w:t>
      </w:r>
      <w:r>
        <w:rPr>
          <w:color w:val="373435"/>
        </w:rPr>
        <w:t>in</w:t>
      </w:r>
      <w:r>
        <w:rPr>
          <w:color w:val="373435"/>
          <w:spacing w:val="-14"/>
        </w:rPr>
        <w:t> </w:t>
      </w:r>
      <w:r>
        <w:rPr>
          <w:color w:val="373435"/>
        </w:rPr>
        <w:t>a</w:t>
      </w:r>
      <w:r>
        <w:rPr>
          <w:color w:val="373435"/>
          <w:spacing w:val="-13"/>
        </w:rPr>
        <w:t> </w:t>
      </w:r>
      <w:r>
        <w:rPr>
          <w:color w:val="373435"/>
        </w:rPr>
        <w:t>longitudinal</w:t>
      </w:r>
      <w:r>
        <w:rPr>
          <w:color w:val="373435"/>
          <w:spacing w:val="-14"/>
        </w:rPr>
        <w:t> </w:t>
      </w:r>
      <w:r>
        <w:rPr>
          <w:color w:val="373435"/>
        </w:rPr>
        <w:t>study</w:t>
      </w:r>
      <w:r>
        <w:rPr>
          <w:color w:val="373435"/>
          <w:spacing w:val="-13"/>
        </w:rPr>
        <w:t> </w:t>
      </w:r>
      <w:r>
        <w:rPr>
          <w:color w:val="373435"/>
        </w:rPr>
        <w:t>to</w:t>
      </w:r>
      <w:r>
        <w:rPr>
          <w:color w:val="373435"/>
          <w:spacing w:val="-14"/>
        </w:rPr>
        <w:t> </w:t>
      </w:r>
      <w:r>
        <w:rPr>
          <w:color w:val="373435"/>
        </w:rPr>
        <w:t>be</w:t>
      </w:r>
      <w:r>
        <w:rPr>
          <w:color w:val="373435"/>
          <w:spacing w:val="-13"/>
        </w:rPr>
        <w:t> </w:t>
      </w:r>
      <w:r>
        <w:rPr>
          <w:color w:val="373435"/>
        </w:rPr>
        <w:t>more</w:t>
      </w:r>
      <w:r>
        <w:rPr>
          <w:color w:val="373435"/>
          <w:spacing w:val="-14"/>
        </w:rPr>
        <w:t> </w:t>
      </w:r>
      <w:r>
        <w:rPr>
          <w:color w:val="373435"/>
        </w:rPr>
        <w:t>assertive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the </w:t>
      </w:r>
      <w:r>
        <w:rPr>
          <w:color w:val="373435"/>
          <w:spacing w:val="-2"/>
        </w:rPr>
        <w:t>finding.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ind w:left="120"/>
        <w:rPr>
          <w:rFonts w:ascii="Trebuchet MS"/>
        </w:rPr>
      </w:pPr>
      <w:r>
        <w:rPr>
          <w:rFonts w:ascii="Trebuchet MS"/>
          <w:color w:val="76C04E"/>
          <w:spacing w:val="-2"/>
          <w:w w:val="110"/>
        </w:rPr>
        <w:t>LIMITATIONS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line="249" w:lineRule="auto" w:before="1"/>
        <w:ind w:left="119" w:right="125"/>
        <w:jc w:val="both"/>
      </w:pPr>
      <w:r>
        <w:rPr>
          <w:color w:val="373435"/>
          <w:w w:val="95"/>
        </w:rPr>
        <w:t>The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limited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small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sample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size,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limited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duration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and cross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sectional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design.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questionnaire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used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closed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ended </w:t>
      </w:r>
      <w:r>
        <w:rPr>
          <w:color w:val="373435"/>
        </w:rPr>
        <w:t>questions that could have resulted in omission of important </w:t>
      </w:r>
      <w:r>
        <w:rPr>
          <w:color w:val="373435"/>
          <w:w w:val="90"/>
        </w:rPr>
        <w:t>information. Moreover, this study was conducted in a public sector hospital that usually receives patients of low socioeconomic </w:t>
      </w:r>
      <w:r>
        <w:rPr>
          <w:color w:val="373435"/>
          <w:w w:val="90"/>
        </w:rPr>
        <w:t>strata due to the free services provided here.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 study therefore should </w:t>
      </w:r>
      <w:r>
        <w:rPr>
          <w:color w:val="373435"/>
        </w:rPr>
        <w:t>have also been conducted in a private sector hospital for a comparison</w:t>
      </w:r>
      <w:r>
        <w:rPr>
          <w:color w:val="373435"/>
          <w:spacing w:val="-13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socio-demographic</w:t>
      </w:r>
      <w:r>
        <w:rPr>
          <w:color w:val="373435"/>
          <w:spacing w:val="-13"/>
        </w:rPr>
        <w:t> </w:t>
      </w:r>
      <w:r>
        <w:rPr>
          <w:color w:val="373435"/>
        </w:rPr>
        <w:t>factors.</w:t>
      </w:r>
      <w:r>
        <w:rPr>
          <w:color w:val="373435"/>
          <w:spacing w:val="-13"/>
        </w:rPr>
        <w:t> </w:t>
      </w:r>
      <w:r>
        <w:rPr>
          <w:color w:val="373435"/>
        </w:rPr>
        <w:t>Also,</w:t>
      </w:r>
      <w:r>
        <w:rPr>
          <w:color w:val="373435"/>
          <w:spacing w:val="-13"/>
        </w:rPr>
        <w:t> </w:t>
      </w:r>
      <w:r>
        <w:rPr>
          <w:color w:val="373435"/>
        </w:rPr>
        <w:t>this</w:t>
      </w:r>
      <w:r>
        <w:rPr>
          <w:color w:val="373435"/>
          <w:spacing w:val="-13"/>
        </w:rPr>
        <w:t> </w:t>
      </w:r>
      <w:r>
        <w:rPr>
          <w:color w:val="373435"/>
        </w:rPr>
        <w:t>study</w:t>
      </w:r>
      <w:r>
        <w:rPr>
          <w:color w:val="373435"/>
          <w:spacing w:val="-13"/>
        </w:rPr>
        <w:t> </w:t>
      </w:r>
      <w:r>
        <w:rPr>
          <w:color w:val="373435"/>
        </w:rPr>
        <w:t>was </w:t>
      </w:r>
      <w:r>
        <w:rPr>
          <w:color w:val="373435"/>
          <w:w w:val="90"/>
        </w:rPr>
        <w:t>conducted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urban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setting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so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results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cannot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projected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all over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Pakistan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has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substantial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rural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population.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This study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can </w:t>
      </w:r>
      <w:r>
        <w:rPr>
          <w:color w:val="373435"/>
          <w:w w:val="95"/>
        </w:rPr>
        <w:t>provide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framework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future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studies.</w:t>
      </w:r>
    </w:p>
    <w:p>
      <w:pPr>
        <w:pStyle w:val="Heading1"/>
        <w:spacing w:before="195"/>
        <w:ind w:left="119"/>
        <w:rPr>
          <w:rFonts w:ascii="Trebuchet MS"/>
        </w:rPr>
      </w:pPr>
      <w:r>
        <w:rPr>
          <w:rFonts w:ascii="Trebuchet MS"/>
          <w:color w:val="76C04E"/>
          <w:spacing w:val="-2"/>
          <w:w w:val="115"/>
        </w:rPr>
        <w:t>CONCLUSION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line="249" w:lineRule="auto"/>
        <w:ind w:left="119" w:right="126"/>
        <w:jc w:val="both"/>
      </w:pPr>
      <w:r>
        <w:rPr>
          <w:color w:val="373435"/>
          <w:w w:val="90"/>
        </w:rPr>
        <w:t>Our study concludes that risk of suicide is present in a considerable proportion of patients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with schizophrenia albeit of varying degrees. </w:t>
      </w:r>
      <w:r>
        <w:rPr>
          <w:color w:val="373435"/>
        </w:rPr>
        <w:t>All patients should hence be assessed for suicidal risk and </w:t>
      </w:r>
      <w:r>
        <w:rPr>
          <w:color w:val="373435"/>
          <w:w w:val="95"/>
        </w:rPr>
        <w:t>considering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severity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interventions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should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done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prevent </w:t>
      </w:r>
      <w:r>
        <w:rPr>
          <w:color w:val="373435"/>
          <w:w w:val="90"/>
        </w:rPr>
        <w:t>morbidity and mortality in these patients. The socio-demographic </w:t>
      </w:r>
      <w:r>
        <w:rPr>
          <w:color w:val="373435"/>
          <w:w w:val="95"/>
        </w:rPr>
        <w:t>factors have shown impact on suicide risk in these patients.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</w:rPr>
        <w:t>information can help in implementing effective measures for </w:t>
      </w:r>
      <w:r>
        <w:rPr>
          <w:color w:val="373435"/>
          <w:w w:val="90"/>
        </w:rPr>
        <w:t>treatment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and prevention of suicide in patients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with schizophrenia. 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nut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shell,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Bio-Psycho-Social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model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healthcare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road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 </w:t>
      </w:r>
      <w:r>
        <w:rPr>
          <w:color w:val="373435"/>
          <w:w w:val="95"/>
        </w:rPr>
        <w:t>success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against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suicide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schizophrenia.</w:t>
      </w:r>
    </w:p>
    <w:p>
      <w:pPr>
        <w:pStyle w:val="Heading1"/>
        <w:spacing w:before="196"/>
        <w:ind w:left="119"/>
        <w:rPr>
          <w:rFonts w:ascii="Trebuchet MS"/>
        </w:rPr>
      </w:pPr>
      <w:r>
        <w:rPr>
          <w:rFonts w:ascii="Trebuchet MS"/>
          <w:color w:val="76C04E"/>
          <w:spacing w:val="-2"/>
        </w:rPr>
        <w:t>REFERENCES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49" w:lineRule="auto" w:before="0" w:after="0"/>
        <w:ind w:left="478" w:right="127" w:hanging="360"/>
        <w:jc w:val="both"/>
        <w:rPr>
          <w:sz w:val="18"/>
        </w:rPr>
      </w:pPr>
      <w:r>
        <w:rPr>
          <w:color w:val="373435"/>
          <w:w w:val="90"/>
          <w:sz w:val="18"/>
        </w:rPr>
        <w:t>Steeg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S,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Haigh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M,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Webb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R,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Kapur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N,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Awenat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Y,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Gooding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P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et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al.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exacerbating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influence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hopelessness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on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other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known</w:t>
      </w:r>
      <w:r>
        <w:rPr>
          <w:color w:val="373435"/>
          <w:w w:val="95"/>
          <w:sz w:val="18"/>
        </w:rPr>
        <w:t> risk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factors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for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repeat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self-harm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suicide.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J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Affect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Disord. </w:t>
      </w:r>
      <w:r>
        <w:rPr>
          <w:color w:val="373435"/>
          <w:spacing w:val="-2"/>
          <w:sz w:val="18"/>
        </w:rPr>
        <w:t>2016;190:522-28.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49" w:lineRule="auto" w:before="0" w:after="0"/>
        <w:ind w:left="478" w:right="127" w:hanging="360"/>
        <w:jc w:val="both"/>
        <w:rPr>
          <w:sz w:val="18"/>
        </w:rPr>
      </w:pPr>
      <w:r>
        <w:rPr>
          <w:color w:val="373435"/>
          <w:w w:val="90"/>
          <w:sz w:val="18"/>
        </w:rPr>
        <w:t>Ribeiro J, Franklin J, Foz K, Bentley K. Self-injurious </w:t>
      </w:r>
      <w:r>
        <w:rPr>
          <w:color w:val="373435"/>
          <w:w w:val="90"/>
          <w:sz w:val="18"/>
        </w:rPr>
        <w:t>thoughts</w:t>
      </w:r>
      <w:r>
        <w:rPr>
          <w:color w:val="373435"/>
          <w:w w:val="90"/>
          <w:sz w:val="18"/>
        </w:rPr>
        <w:t> </w:t>
      </w:r>
      <w:r>
        <w:rPr>
          <w:color w:val="373435"/>
          <w:sz w:val="18"/>
        </w:rPr>
        <w:t>and behaviors as risk factors for future suicide ideation, </w:t>
      </w:r>
      <w:r>
        <w:rPr>
          <w:color w:val="373435"/>
          <w:spacing w:val="-2"/>
          <w:w w:val="95"/>
          <w:sz w:val="18"/>
        </w:rPr>
        <w:t>attempts,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and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death: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meta-analysis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of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longitudinal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studies.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sz w:val="18"/>
        </w:rPr>
        <w:t>Psychol</w:t>
      </w:r>
      <w:r>
        <w:rPr>
          <w:color w:val="373435"/>
          <w:spacing w:val="-32"/>
          <w:sz w:val="18"/>
        </w:rPr>
        <w:t> </w:t>
      </w:r>
      <w:r>
        <w:rPr>
          <w:color w:val="373435"/>
          <w:w w:val="122"/>
          <w:sz w:val="18"/>
        </w:rPr>
        <w:t>M</w:t>
      </w:r>
      <w:r>
        <w:rPr>
          <w:color w:val="373435"/>
          <w:w w:val="105"/>
          <w:sz w:val="18"/>
        </w:rPr>
        <w:t>ed</w:t>
      </w:r>
      <w:r>
        <w:rPr>
          <w:color w:val="373435"/>
          <w:w w:val="65"/>
          <w:sz w:val="18"/>
        </w:rPr>
        <w:t>.</w:t>
      </w:r>
      <w:r>
        <w:rPr>
          <w:color w:val="373435"/>
          <w:spacing w:val="-32"/>
          <w:w w:val="99"/>
          <w:sz w:val="18"/>
        </w:rPr>
        <w:t> </w:t>
      </w:r>
      <w:r>
        <w:rPr>
          <w:color w:val="373435"/>
          <w:sz w:val="18"/>
        </w:rPr>
        <w:t>2016;46(2):225-36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05" w:lineRule="exact" w:before="0" w:after="0"/>
        <w:ind w:left="476" w:right="0" w:hanging="359"/>
        <w:jc w:val="both"/>
        <w:rPr>
          <w:sz w:val="18"/>
        </w:rPr>
      </w:pPr>
      <w:r>
        <w:rPr>
          <w:color w:val="373435"/>
          <w:w w:val="90"/>
          <w:sz w:val="18"/>
        </w:rPr>
        <w:t>Calati</w:t>
      </w:r>
      <w:r>
        <w:rPr>
          <w:color w:val="373435"/>
          <w:spacing w:val="-8"/>
          <w:sz w:val="18"/>
        </w:rPr>
        <w:t> </w:t>
      </w:r>
      <w:r>
        <w:rPr>
          <w:color w:val="373435"/>
          <w:w w:val="90"/>
          <w:sz w:val="18"/>
        </w:rPr>
        <w:t>R,</w:t>
      </w:r>
      <w:r>
        <w:rPr>
          <w:color w:val="373435"/>
          <w:spacing w:val="-4"/>
          <w:sz w:val="18"/>
        </w:rPr>
        <w:t> </w:t>
      </w:r>
      <w:r>
        <w:rPr>
          <w:color w:val="373435"/>
          <w:w w:val="90"/>
          <w:sz w:val="18"/>
        </w:rPr>
        <w:t>Ferrari</w:t>
      </w:r>
      <w:r>
        <w:rPr>
          <w:color w:val="373435"/>
          <w:spacing w:val="-5"/>
          <w:sz w:val="18"/>
        </w:rPr>
        <w:t> </w:t>
      </w:r>
      <w:r>
        <w:rPr>
          <w:color w:val="373435"/>
          <w:w w:val="90"/>
          <w:sz w:val="18"/>
        </w:rPr>
        <w:t>C,</w:t>
      </w:r>
      <w:r>
        <w:rPr>
          <w:color w:val="373435"/>
          <w:spacing w:val="-4"/>
          <w:sz w:val="18"/>
        </w:rPr>
        <w:t> </w:t>
      </w:r>
      <w:r>
        <w:rPr>
          <w:color w:val="373435"/>
          <w:w w:val="90"/>
          <w:sz w:val="18"/>
        </w:rPr>
        <w:t>Brittner</w:t>
      </w:r>
      <w:r>
        <w:rPr>
          <w:color w:val="373435"/>
          <w:spacing w:val="-4"/>
          <w:sz w:val="18"/>
        </w:rPr>
        <w:t> </w:t>
      </w:r>
      <w:r>
        <w:rPr>
          <w:color w:val="373435"/>
          <w:w w:val="90"/>
          <w:sz w:val="18"/>
        </w:rPr>
        <w:t>M,</w:t>
      </w:r>
      <w:r>
        <w:rPr>
          <w:color w:val="373435"/>
          <w:spacing w:val="-4"/>
          <w:sz w:val="18"/>
        </w:rPr>
        <w:t> </w:t>
      </w:r>
      <w:r>
        <w:rPr>
          <w:color w:val="373435"/>
          <w:w w:val="90"/>
          <w:sz w:val="18"/>
        </w:rPr>
        <w:t>Oasi</w:t>
      </w:r>
      <w:r>
        <w:rPr>
          <w:color w:val="373435"/>
          <w:spacing w:val="-5"/>
          <w:sz w:val="18"/>
        </w:rPr>
        <w:t> </w:t>
      </w:r>
      <w:r>
        <w:rPr>
          <w:color w:val="373435"/>
          <w:w w:val="90"/>
          <w:sz w:val="18"/>
        </w:rPr>
        <w:t>O,</w:t>
      </w:r>
      <w:r>
        <w:rPr>
          <w:color w:val="373435"/>
          <w:spacing w:val="-4"/>
          <w:sz w:val="18"/>
        </w:rPr>
        <w:t> </w:t>
      </w:r>
      <w:r>
        <w:rPr>
          <w:color w:val="373435"/>
          <w:w w:val="90"/>
          <w:sz w:val="18"/>
        </w:rPr>
        <w:t>Olie</w:t>
      </w:r>
      <w:r>
        <w:rPr>
          <w:color w:val="373435"/>
          <w:spacing w:val="-5"/>
          <w:sz w:val="18"/>
        </w:rPr>
        <w:t> </w:t>
      </w:r>
      <w:r>
        <w:rPr>
          <w:color w:val="373435"/>
          <w:w w:val="90"/>
          <w:sz w:val="18"/>
        </w:rPr>
        <w:t>E,</w:t>
      </w:r>
      <w:r>
        <w:rPr>
          <w:color w:val="373435"/>
          <w:spacing w:val="-5"/>
          <w:sz w:val="18"/>
        </w:rPr>
        <w:t> </w:t>
      </w:r>
      <w:r>
        <w:rPr>
          <w:color w:val="373435"/>
          <w:w w:val="90"/>
          <w:sz w:val="18"/>
        </w:rPr>
        <w:t>Carvalho</w:t>
      </w:r>
      <w:r>
        <w:rPr>
          <w:color w:val="373435"/>
          <w:spacing w:val="-6"/>
          <w:sz w:val="18"/>
        </w:rPr>
        <w:t> </w:t>
      </w:r>
      <w:r>
        <w:rPr>
          <w:color w:val="373435"/>
          <w:w w:val="90"/>
          <w:sz w:val="18"/>
        </w:rPr>
        <w:t>A</w:t>
      </w:r>
      <w:r>
        <w:rPr>
          <w:color w:val="373435"/>
          <w:spacing w:val="-4"/>
          <w:sz w:val="18"/>
        </w:rPr>
        <w:t> </w:t>
      </w:r>
      <w:r>
        <w:rPr>
          <w:color w:val="373435"/>
          <w:w w:val="90"/>
          <w:sz w:val="18"/>
        </w:rPr>
        <w:t>et</w:t>
      </w:r>
      <w:r>
        <w:rPr>
          <w:color w:val="373435"/>
          <w:spacing w:val="-4"/>
          <w:sz w:val="18"/>
        </w:rPr>
        <w:t> </w:t>
      </w:r>
      <w:r>
        <w:rPr>
          <w:color w:val="373435"/>
          <w:spacing w:val="-5"/>
          <w:w w:val="90"/>
          <w:sz w:val="18"/>
        </w:rPr>
        <w:t>al.</w:t>
      </w:r>
    </w:p>
    <w:p>
      <w:pPr>
        <w:spacing w:after="0" w:line="205" w:lineRule="exact"/>
        <w:jc w:val="both"/>
        <w:rPr>
          <w:sz w:val="18"/>
        </w:rPr>
        <w:sectPr>
          <w:type w:val="continuous"/>
          <w:pgSz w:w="12060" w:h="15840"/>
          <w:pgMar w:header="0" w:footer="626" w:top="520" w:bottom="820" w:left="700" w:right="680"/>
          <w:cols w:num="2" w:equalWidth="0">
            <w:col w:w="5123" w:space="340"/>
            <w:col w:w="5217"/>
          </w:cols>
        </w:sectPr>
      </w:pPr>
    </w:p>
    <w:p>
      <w:pPr>
        <w:pStyle w:val="BodyText"/>
        <w:spacing w:line="249" w:lineRule="auto" w:before="140"/>
        <w:ind w:left="480" w:right="38"/>
        <w:jc w:val="both"/>
      </w:pPr>
      <w:r>
        <w:rPr>
          <w:color w:val="373435"/>
        </w:rPr>
        <w:t>Suicidal thoughts and behaviors and social isolation: A </w:t>
      </w:r>
      <w:r>
        <w:rPr>
          <w:color w:val="373435"/>
          <w:w w:val="85"/>
        </w:rPr>
        <w:t>narrative review of the literature. J Affect Disord. 2019;245:653- </w:t>
      </w:r>
      <w:r>
        <w:rPr>
          <w:color w:val="373435"/>
          <w:spacing w:val="-4"/>
        </w:rPr>
        <w:t>67.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49" w:lineRule="auto" w:before="0" w:after="0"/>
        <w:ind w:left="480" w:right="38" w:hanging="360"/>
        <w:jc w:val="both"/>
        <w:rPr>
          <w:sz w:val="18"/>
        </w:rPr>
      </w:pPr>
      <w:r>
        <w:rPr>
          <w:color w:val="373435"/>
          <w:sz w:val="18"/>
        </w:rPr>
        <w:t>Chu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J,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Maruyama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B,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Batchelder</w:t>
      </w:r>
      <w:r>
        <w:rPr>
          <w:color w:val="373435"/>
          <w:spacing w:val="25"/>
          <w:sz w:val="18"/>
        </w:rPr>
        <w:t> </w:t>
      </w:r>
      <w:r>
        <w:rPr>
          <w:color w:val="373435"/>
          <w:sz w:val="18"/>
        </w:rPr>
        <w:t>H,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Goldblum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P,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Bongar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B, Wickham R. Cultural pathways for suicidal ideation and </w:t>
      </w:r>
      <w:r>
        <w:rPr>
          <w:color w:val="373435"/>
          <w:w w:val="90"/>
          <w:sz w:val="18"/>
        </w:rPr>
        <w:t>behaviors. Cultur Divers Ethnic Minor Psychol. 2020;26(3):367- </w:t>
      </w:r>
      <w:r>
        <w:rPr>
          <w:color w:val="373435"/>
          <w:spacing w:val="-4"/>
          <w:sz w:val="18"/>
        </w:rPr>
        <w:t>77.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4" w:lineRule="auto" w:before="0" w:after="0"/>
        <w:ind w:left="479" w:right="38" w:hanging="360"/>
        <w:jc w:val="both"/>
        <w:rPr>
          <w:sz w:val="18"/>
        </w:rPr>
      </w:pPr>
      <w:r>
        <w:rPr>
          <w:color w:val="373435"/>
          <w:w w:val="95"/>
          <w:sz w:val="18"/>
        </w:rPr>
        <w:t>Gelder M, Harrison P, Cowen P. Shorter Oxford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Textbook of Psychiatry.</w:t>
      </w:r>
      <w:r>
        <w:rPr>
          <w:color w:val="373435"/>
          <w:w w:val="95"/>
          <w:sz w:val="18"/>
        </w:rPr>
        <w:t> 5</w:t>
      </w:r>
      <w:r>
        <w:rPr>
          <w:color w:val="373435"/>
          <w:w w:val="95"/>
          <w:position w:val="9"/>
          <w:sz w:val="9"/>
        </w:rPr>
        <w:t>th</w:t>
      </w:r>
      <w:r>
        <w:rPr>
          <w:color w:val="373435"/>
          <w:spacing w:val="40"/>
          <w:position w:val="9"/>
          <w:sz w:val="9"/>
        </w:rPr>
        <w:t> </w:t>
      </w:r>
      <w:r>
        <w:rPr>
          <w:color w:val="373435"/>
          <w:w w:val="95"/>
          <w:sz w:val="18"/>
        </w:rPr>
        <w:t>ed.</w:t>
      </w:r>
      <w:r>
        <w:rPr>
          <w:color w:val="373435"/>
          <w:w w:val="95"/>
          <w:sz w:val="18"/>
        </w:rPr>
        <w:t> United</w:t>
      </w:r>
      <w:r>
        <w:rPr>
          <w:color w:val="373435"/>
          <w:w w:val="95"/>
          <w:sz w:val="18"/>
        </w:rPr>
        <w:t> States:</w:t>
      </w:r>
      <w:r>
        <w:rPr>
          <w:color w:val="373435"/>
          <w:w w:val="95"/>
          <w:sz w:val="18"/>
        </w:rPr>
        <w:t> Oxford</w:t>
      </w:r>
      <w:r>
        <w:rPr>
          <w:color w:val="373435"/>
          <w:w w:val="95"/>
          <w:sz w:val="18"/>
        </w:rPr>
        <w:t> University</w:t>
      </w:r>
      <w:r>
        <w:rPr>
          <w:color w:val="373435"/>
          <w:w w:val="95"/>
          <w:sz w:val="18"/>
        </w:rPr>
        <w:t> Press; </w:t>
      </w:r>
      <w:r>
        <w:rPr>
          <w:color w:val="373435"/>
          <w:spacing w:val="-2"/>
          <w:sz w:val="18"/>
        </w:rPr>
        <w:t>2006;410-11.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9" w:lineRule="auto" w:before="0" w:after="0"/>
        <w:ind w:left="479" w:right="38" w:hanging="360"/>
        <w:jc w:val="both"/>
        <w:rPr>
          <w:sz w:val="18"/>
        </w:rPr>
      </w:pPr>
      <w:r>
        <w:rPr>
          <w:color w:val="373435"/>
          <w:sz w:val="18"/>
        </w:rPr>
        <w:t>Weir E. Suicide:</w:t>
      </w:r>
      <w:r>
        <w:rPr>
          <w:color w:val="373435"/>
          <w:spacing w:val="-4"/>
          <w:sz w:val="18"/>
        </w:rPr>
        <w:t> </w:t>
      </w:r>
      <w:r>
        <w:rPr>
          <w:color w:val="373435"/>
          <w:sz w:val="18"/>
        </w:rPr>
        <w:t>The hidden epidemic. Canadian Medical </w:t>
      </w:r>
      <w:r>
        <w:rPr>
          <w:color w:val="373435"/>
          <w:w w:val="95"/>
          <w:sz w:val="18"/>
        </w:rPr>
        <w:t>Association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Journal.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2001;165(5):634.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9" w:lineRule="auto" w:before="0" w:after="0"/>
        <w:ind w:left="479" w:right="38" w:hanging="360"/>
        <w:jc w:val="both"/>
        <w:rPr>
          <w:sz w:val="18"/>
        </w:rPr>
      </w:pPr>
      <w:r>
        <w:rPr>
          <w:color w:val="373435"/>
          <w:w w:val="85"/>
          <w:sz w:val="18"/>
        </w:rPr>
        <w:t>Palmer BA, Pankratz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VS, Bostwick JM .The lifetime risk of </w:t>
      </w:r>
      <w:r>
        <w:rPr>
          <w:color w:val="373435"/>
          <w:w w:val="85"/>
          <w:sz w:val="18"/>
        </w:rPr>
        <w:t>suicide</w:t>
      </w:r>
      <w:r>
        <w:rPr>
          <w:color w:val="373435"/>
          <w:w w:val="85"/>
          <w:sz w:val="18"/>
        </w:rPr>
        <w:t> </w:t>
      </w:r>
      <w:r>
        <w:rPr>
          <w:color w:val="373435"/>
          <w:sz w:val="18"/>
        </w:rPr>
        <w:t>in schizophrenia: a reexamination. Arch Gen Psychiatry </w:t>
      </w:r>
      <w:r>
        <w:rPr>
          <w:color w:val="373435"/>
          <w:spacing w:val="-2"/>
          <w:sz w:val="18"/>
        </w:rPr>
        <w:t>2005;62:247-53.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9" w:lineRule="auto" w:before="0" w:after="0"/>
        <w:ind w:left="479" w:right="39" w:hanging="360"/>
        <w:jc w:val="both"/>
        <w:rPr>
          <w:sz w:val="18"/>
        </w:rPr>
      </w:pPr>
      <w:r>
        <w:rPr>
          <w:color w:val="373435"/>
          <w:sz w:val="18"/>
        </w:rPr>
        <w:t>Hosseini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S,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Zarghami,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Moudi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S.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Frequency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and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severity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of </w:t>
      </w:r>
      <w:r>
        <w:rPr>
          <w:color w:val="373435"/>
          <w:w w:val="95"/>
          <w:sz w:val="18"/>
        </w:rPr>
        <w:t>obsessive-compulsive</w:t>
      </w:r>
      <w:r>
        <w:rPr>
          <w:color w:val="373435"/>
          <w:w w:val="95"/>
          <w:sz w:val="18"/>
        </w:rPr>
        <w:t> symptoms/disorders,violence</w:t>
      </w:r>
      <w:r>
        <w:rPr>
          <w:color w:val="373435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w w:val="95"/>
          <w:sz w:val="18"/>
        </w:rPr>
        <w:t> suicidal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schizophrenic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patients.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Iran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Red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Crescent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Med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J. </w:t>
      </w:r>
      <w:r>
        <w:rPr>
          <w:color w:val="373435"/>
          <w:spacing w:val="-2"/>
          <w:sz w:val="18"/>
        </w:rPr>
        <w:t>2012;14(6):345-51.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9" w:lineRule="auto" w:before="0" w:after="0"/>
        <w:ind w:left="479" w:right="38" w:hanging="360"/>
        <w:jc w:val="both"/>
        <w:rPr>
          <w:sz w:val="18"/>
        </w:rPr>
      </w:pPr>
      <w:r>
        <w:rPr>
          <w:color w:val="373435"/>
          <w:w w:val="95"/>
          <w:sz w:val="18"/>
        </w:rPr>
        <w:t>Im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Y, Oh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W, Suk M, Risk Factors for Suicide Ideation Among </w:t>
      </w:r>
      <w:r>
        <w:rPr>
          <w:color w:val="373435"/>
          <w:spacing w:val="-2"/>
          <w:w w:val="95"/>
          <w:sz w:val="18"/>
        </w:rPr>
        <w:t>Adolescents: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Five-Year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National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Data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Analysis.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Arch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Psychiatr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sz w:val="18"/>
        </w:rPr>
        <w:t>Nurs.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2017;31(3):282-86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9" w:lineRule="auto" w:before="0" w:after="0"/>
        <w:ind w:left="479" w:right="39" w:hanging="360"/>
        <w:jc w:val="both"/>
        <w:rPr>
          <w:sz w:val="18"/>
        </w:rPr>
      </w:pPr>
      <w:r>
        <w:rPr>
          <w:color w:val="373435"/>
          <w:sz w:val="18"/>
        </w:rPr>
        <w:t>C Junfang, C Han, Meyer-lindenberg A, Schwarz E, Male </w:t>
      </w:r>
      <w:r>
        <w:rPr>
          <w:color w:val="373435"/>
          <w:w w:val="90"/>
          <w:sz w:val="18"/>
        </w:rPr>
        <w:t>increase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in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brain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gene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expression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variability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is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linked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to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genetic </w:t>
      </w:r>
      <w:r>
        <w:rPr>
          <w:color w:val="373435"/>
          <w:w w:val="95"/>
          <w:sz w:val="18"/>
        </w:rPr>
        <w:t>risk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for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schizophrenia,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Transl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Psychiatry,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2018;8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(140).</w:t>
      </w:r>
      <w:r>
        <w:rPr>
          <w:color w:val="373435"/>
          <w:spacing w:val="79"/>
          <w:sz w:val="18"/>
        </w:rPr>
        <w:t> </w:t>
      </w:r>
      <w:r>
        <w:rPr>
          <w:color w:val="373435"/>
          <w:w w:val="95"/>
          <w:sz w:val="18"/>
        </w:rPr>
        <w:t>doi: </w:t>
      </w:r>
      <w:r>
        <w:rPr>
          <w:color w:val="373435"/>
          <w:spacing w:val="-2"/>
          <w:sz w:val="18"/>
        </w:rPr>
        <w:t>10.1038/s41398-018-0200-0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49" w:lineRule="auto" w:before="0" w:after="0"/>
        <w:ind w:left="478" w:right="39" w:hanging="360"/>
        <w:jc w:val="both"/>
        <w:rPr>
          <w:sz w:val="18"/>
        </w:rPr>
      </w:pPr>
      <w:r>
        <w:rPr>
          <w:color w:val="373435"/>
          <w:w w:val="90"/>
          <w:sz w:val="18"/>
        </w:rPr>
        <w:t>Harvey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P,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Espaillat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S.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Suicide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in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schizophrenia.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A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concise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guide </w:t>
      </w:r>
      <w:r>
        <w:rPr>
          <w:color w:val="373435"/>
          <w:sz w:val="18"/>
        </w:rPr>
        <w:t>to understanding suicide. United Kingdom: Cambridge University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Press;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2014: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101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9" w:lineRule="auto" w:before="140" w:after="0"/>
        <w:ind w:left="479" w:right="126" w:hanging="360"/>
        <w:jc w:val="both"/>
        <w:rPr>
          <w:sz w:val="18"/>
        </w:rPr>
      </w:pPr>
      <w:r>
        <w:rPr>
          <w:color w:val="373435"/>
          <w:spacing w:val="2"/>
          <w:w w:val="95"/>
          <w:sz w:val="18"/>
        </w:rPr>
        <w:br w:type="column"/>
      </w:r>
      <w:r>
        <w:rPr>
          <w:color w:val="373435"/>
          <w:sz w:val="18"/>
        </w:rPr>
        <w:t>Bornheimer L, Nguyen D, Suicide among individuals with </w:t>
      </w:r>
      <w:r>
        <w:rPr>
          <w:color w:val="373435"/>
          <w:spacing w:val="-2"/>
          <w:sz w:val="18"/>
        </w:rPr>
        <w:t>schizophrenia: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sz w:val="18"/>
        </w:rPr>
        <w:t>A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sz w:val="18"/>
        </w:rPr>
        <w:t>risk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sz w:val="18"/>
        </w:rPr>
        <w:t>factor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sz w:val="18"/>
        </w:rPr>
        <w:t>model,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sz w:val="18"/>
        </w:rPr>
        <w:t>Soc</w:t>
      </w:r>
      <w:r>
        <w:rPr>
          <w:color w:val="373435"/>
          <w:spacing w:val="-11"/>
          <w:sz w:val="18"/>
        </w:rPr>
        <w:t> </w:t>
      </w:r>
      <w:r>
        <w:rPr>
          <w:color w:val="373435"/>
          <w:spacing w:val="-2"/>
          <w:sz w:val="18"/>
        </w:rPr>
        <w:t>Work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sz w:val="18"/>
        </w:rPr>
        <w:t>Ment</w:t>
      </w:r>
      <w:r>
        <w:rPr>
          <w:color w:val="373435"/>
          <w:spacing w:val="-8"/>
          <w:sz w:val="18"/>
        </w:rPr>
        <w:t> </w:t>
      </w:r>
      <w:r>
        <w:rPr>
          <w:color w:val="373435"/>
          <w:spacing w:val="-2"/>
          <w:sz w:val="18"/>
        </w:rPr>
        <w:t>Health.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2016;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14(2):112-32.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9" w:lineRule="auto" w:before="0" w:after="0"/>
        <w:ind w:left="479" w:right="126" w:hanging="360"/>
        <w:jc w:val="both"/>
        <w:rPr>
          <w:sz w:val="18"/>
        </w:rPr>
      </w:pPr>
      <w:r>
        <w:rPr>
          <w:color w:val="373435"/>
          <w:w w:val="95"/>
          <w:sz w:val="18"/>
        </w:rPr>
        <w:t>Hawton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K,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Comabella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C,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Haw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C,</w:t>
      </w:r>
      <w:r>
        <w:rPr>
          <w:color w:val="373435"/>
          <w:spacing w:val="39"/>
          <w:sz w:val="18"/>
        </w:rPr>
        <w:t> </w:t>
      </w:r>
      <w:r>
        <w:rPr>
          <w:color w:val="373435"/>
          <w:w w:val="95"/>
          <w:sz w:val="18"/>
        </w:rPr>
        <w:t>Saunders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K.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Risk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factors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for </w:t>
      </w:r>
      <w:r>
        <w:rPr>
          <w:color w:val="373435"/>
          <w:spacing w:val="-2"/>
          <w:w w:val="95"/>
          <w:sz w:val="18"/>
        </w:rPr>
        <w:t>suicide in individuals with depression: A systematic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review. </w:t>
      </w:r>
      <w:r>
        <w:rPr>
          <w:color w:val="373435"/>
          <w:spacing w:val="-2"/>
          <w:w w:val="95"/>
          <w:sz w:val="18"/>
        </w:rPr>
        <w:t>J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Affect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Disord.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2013;147(1-3):17-28.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9" w:lineRule="auto" w:before="0" w:after="0"/>
        <w:ind w:left="479" w:right="126" w:hanging="360"/>
        <w:jc w:val="both"/>
        <w:rPr>
          <w:sz w:val="18"/>
        </w:rPr>
      </w:pPr>
      <w:r>
        <w:rPr>
          <w:color w:val="373435"/>
          <w:w w:val="90"/>
          <w:sz w:val="18"/>
        </w:rPr>
        <w:t>S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m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a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n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spacing w:val="12"/>
          <w:w w:val="90"/>
          <w:sz w:val="18"/>
        </w:rPr>
        <w:t>M.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D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o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s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G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n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d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r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I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n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f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l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u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e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n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c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e</w:t>
      </w:r>
      <w:r>
        <w:rPr>
          <w:color w:val="373435"/>
          <w:spacing w:val="7"/>
          <w:sz w:val="18"/>
        </w:rPr>
        <w:t> </w:t>
      </w:r>
      <w:r>
        <w:rPr>
          <w:color w:val="373435"/>
          <w:w w:val="90"/>
          <w:sz w:val="18"/>
        </w:rPr>
        <w:t>O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u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t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c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o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m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e</w:t>
      </w:r>
      <w:r>
        <w:rPr>
          <w:color w:val="373435"/>
          <w:spacing w:val="64"/>
          <w:sz w:val="18"/>
        </w:rPr>
        <w:t> </w:t>
      </w:r>
      <w:r>
        <w:rPr>
          <w:color w:val="373435"/>
          <w:w w:val="90"/>
          <w:sz w:val="18"/>
        </w:rPr>
        <w:t>i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n</w:t>
      </w:r>
      <w:r>
        <w:rPr>
          <w:color w:val="373435"/>
          <w:w w:val="90"/>
          <w:sz w:val="18"/>
        </w:rPr>
        <w:t> </w:t>
      </w:r>
      <w:r>
        <w:rPr>
          <w:color w:val="373435"/>
          <w:w w:val="95"/>
          <w:sz w:val="18"/>
        </w:rPr>
        <w:t>Schizophrenia?.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w w:val="95"/>
          <w:sz w:val="18"/>
        </w:rPr>
        <w:t>Psychiatr</w:t>
      </w:r>
      <w:r>
        <w:rPr>
          <w:color w:val="373435"/>
          <w:spacing w:val="-23"/>
          <w:w w:val="95"/>
          <w:sz w:val="18"/>
        </w:rPr>
        <w:t> </w:t>
      </w:r>
      <w:r>
        <w:rPr>
          <w:color w:val="373435"/>
          <w:w w:val="95"/>
          <w:sz w:val="18"/>
        </w:rPr>
        <w:t>Q.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w w:val="95"/>
          <w:sz w:val="18"/>
        </w:rPr>
        <w:t>2018;90:173-84.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49" w:lineRule="auto" w:before="0" w:after="0"/>
        <w:ind w:left="478" w:right="126" w:hanging="360"/>
        <w:jc w:val="both"/>
        <w:rPr>
          <w:sz w:val="18"/>
        </w:rPr>
      </w:pPr>
      <w:r>
        <w:rPr>
          <w:color w:val="373435"/>
          <w:w w:val="90"/>
          <w:sz w:val="18"/>
        </w:rPr>
        <w:t>Burns R. Sex and age trends in Australia's suicide rate over </w:t>
      </w:r>
      <w:r>
        <w:rPr>
          <w:color w:val="373435"/>
          <w:w w:val="90"/>
          <w:sz w:val="18"/>
        </w:rPr>
        <w:t>the</w:t>
      </w:r>
      <w:r>
        <w:rPr>
          <w:color w:val="373435"/>
          <w:w w:val="90"/>
          <w:sz w:val="18"/>
        </w:rPr>
        <w:t> </w:t>
      </w:r>
      <w:r>
        <w:rPr>
          <w:color w:val="373435"/>
          <w:w w:val="95"/>
          <w:sz w:val="18"/>
        </w:rPr>
        <w:t>last decade: Something is still seriously wrong with men in middle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late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life.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Psychiatry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Res.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2016;245:224-29</w:t>
      </w:r>
    </w:p>
    <w:p>
      <w:pPr>
        <w:pStyle w:val="BodyText"/>
        <w:spacing w:before="10"/>
        <w:rPr>
          <w:sz w:val="17"/>
        </w:rPr>
      </w:pPr>
    </w:p>
    <w:tbl>
      <w:tblPr>
        <w:tblW w:w="0" w:type="auto"/>
        <w:jc w:val="left"/>
        <w:tblInd w:w="111" w:type="dxa"/>
        <w:tblBorders>
          <w:top w:val="single" w:sz="6" w:space="0" w:color="373435"/>
          <w:left w:val="single" w:sz="6" w:space="0" w:color="373435"/>
          <w:bottom w:val="single" w:sz="6" w:space="0" w:color="373435"/>
          <w:right w:val="single" w:sz="6" w:space="0" w:color="373435"/>
          <w:insideH w:val="single" w:sz="6" w:space="0" w:color="373435"/>
          <w:insideV w:val="single" w:sz="6" w:space="0" w:color="37343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"/>
        <w:gridCol w:w="748"/>
        <w:gridCol w:w="1854"/>
        <w:gridCol w:w="1177"/>
        <w:gridCol w:w="952"/>
      </w:tblGrid>
      <w:tr>
        <w:trPr>
          <w:trHeight w:val="297" w:hRule="atLeast"/>
        </w:trPr>
        <w:tc>
          <w:tcPr>
            <w:tcW w:w="238" w:type="dxa"/>
          </w:tcPr>
          <w:p>
            <w:pPr>
              <w:pStyle w:val="TableParagraph"/>
              <w:spacing w:line="240" w:lineRule="auto"/>
              <w:ind w:left="0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100" w:lineRule="exact"/>
              <w:ind w:left="67" w:right="-15"/>
              <w:rPr>
                <w:rFonts w:ascii="Trebuchet MS"/>
                <w:sz w:val="10"/>
              </w:rPr>
            </w:pPr>
            <w:r>
              <w:rPr>
                <w:rFonts w:ascii="Trebuchet MS"/>
                <w:position w:val="-1"/>
                <w:sz w:val="10"/>
              </w:rPr>
              <w:drawing>
                <wp:inline distT="0" distB="0" distL="0" distR="0">
                  <wp:extent cx="75835" cy="64007"/>
                  <wp:effectExtent l="0" t="0" r="0" b="0"/>
                  <wp:docPr id="1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2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35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-1"/>
                <w:sz w:val="10"/>
              </w:rPr>
            </w:r>
          </w:p>
        </w:tc>
        <w:tc>
          <w:tcPr>
            <w:tcW w:w="748" w:type="dxa"/>
          </w:tcPr>
          <w:p>
            <w:pPr>
              <w:pStyle w:val="TableParagraph"/>
              <w:spacing w:line="240" w:lineRule="auto" w:before="2"/>
              <w:ind w:left="0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97" w:lineRule="exact"/>
              <w:ind w:left="61" w:right="-44"/>
              <w:rPr>
                <w:rFonts w:ascii="Trebuchet MS"/>
                <w:sz w:val="9"/>
              </w:rPr>
            </w:pPr>
            <w:r>
              <w:rPr>
                <w:rFonts w:ascii="Trebuchet MS"/>
                <w:position w:val="-1"/>
                <w:sz w:val="9"/>
              </w:rPr>
              <w:pict>
                <v:group style="width:32.65pt;height:4.9pt;mso-position-horizontal-relative:char;mso-position-vertical-relative:line" id="docshapegroup49" coordorigin="0,0" coordsize="653,98">
                  <v:shape style="position:absolute;left:0;top:0;width:653;height:98" id="docshape50" coordorigin="0,0" coordsize="653,98" path="m46,0l22,0,0,96,18,96,23,72,62,72,59,57,26,58,33,17,50,17,46,0xm62,72l43,72,48,96,67,96,62,72xm50,17l33,17,41,58,59,57,50,17xm92,24l76,24,76,86,77,91,83,97,87,98,95,98,98,97,103,94,105,92,107,89,123,89,123,84,96,84,95,83,92,79,92,76,92,24xm123,89l107,89,107,96,123,96,123,89xm123,24l107,24,106,76,106,79,105,81,104,83,102,84,123,84,123,24xm155,36l139,36,139,87,140,91,144,96,148,97,154,97,155,97,160,96,162,96,162,83,159,83,157,83,156,81,155,78,155,36xm162,83l159,83,162,83,162,83xm162,24l132,24,132,36,162,36,162,24xm155,4l139,4,139,24,155,24,155,4xm189,0l173,0,173,96,189,96,189,45,190,41,192,37,194,36,220,36,220,34,219,31,189,31,189,0xm220,36l200,36,202,37,204,40,204,43,204,96,220,96,220,36xm209,22l201,22,198,23,193,26,191,28,189,31,219,31,219,29,213,23,209,22xm267,22l248,22,242,25,234,36,232,45,232,75,234,85,242,95,248,98,267,98,274,95,281,85,254,85,252,84,250,79,250,75,249,45,250,40,252,36,254,35,281,35,274,25,267,22xm281,35l261,35,263,36,265,41,266,45,266,75,265,79,263,84,261,85,281,85,281,85,283,75,283,45,281,36,281,35xm312,24l296,24,296,96,313,96,313,50,314,47,318,43,321,42,328,42,328,36,312,36,312,24xm328,42l325,42,326,42,328,42,328,42xm328,22l325,22,321,23,316,27,314,31,312,36,328,36,328,22xm390,0l371,0,371,96,388,96,388,29,401,29,390,0xm401,29l388,29,413,96,431,96,431,67,415,67,401,29xm431,0l414,0,415,67,431,67,431,0xm494,34l473,34,475,34,478,37,478,39,478,45,475,48,468,51,467,51,457,56,452,59,446,66,445,71,445,84,447,89,453,96,457,98,466,98,469,97,475,94,477,92,479,89,495,89,495,85,467,85,465,84,463,81,462,79,462,72,463,69,468,64,472,61,478,58,495,58,495,37,494,34xm495,89l479,89,480,93,480,95,480,96,481,96,497,96,496,94,495,93,495,90,495,89xm495,58l478,58,478,75,478,79,476,81,475,84,473,85,495,85,495,58xm480,22l462,22,456,24,448,31,446,37,446,45,462,45,462,40,463,38,466,35,468,34,494,34,493,31,486,24,480,22xm524,24l509,24,509,96,525,96,525,44,526,41,528,37,531,36,590,36,590,34,590,32,524,32,524,24xm563,36l536,36,538,37,538,37,541,41,541,44,541,96,558,96,558,44,558,41,559,41,561,37,563,36xm590,36l569,36,571,37,573,41,574,44,574,96,590,96,590,36xm545,22l537,22,534,23,528,26,526,28,524,32,590,32,589,31,556,31,555,28,553,26,548,23,545,22xm579,22l569,22,566,23,561,26,559,28,556,31,589,31,589,30,583,24,579,22xm632,22l623,22,619,23,613,25,610,27,606,32,605,35,603,43,602,48,603,71,603,76,605,85,606,88,611,93,613,95,619,97,623,98,636,98,642,96,650,88,651,85,625,85,623,84,620,79,620,74,620,62,653,62,653,51,620,51,619,43,620,40,623,36,625,35,650,35,649,33,648,30,645,27,643,25,636,23,632,22xm652,71l636,71,636,76,636,80,633,84,631,85,651,85,652,82,652,71xm650,35l631,35,633,36,635,39,636,43,636,51,653,51,652,48,652,43,651,36,650,35xe" filled="true" fillcolor="#373435" stroked="false">
                    <v:path arrowok="t"/>
                    <v:fill type="solid"/>
                  </v:shape>
                </v:group>
              </w:pict>
            </w:r>
            <w:r>
              <w:rPr>
                <w:rFonts w:ascii="Trebuchet MS"/>
                <w:position w:val="-1"/>
                <w:sz w:val="9"/>
              </w:rPr>
            </w:r>
          </w:p>
        </w:tc>
        <w:tc>
          <w:tcPr>
            <w:tcW w:w="1854" w:type="dxa"/>
          </w:tcPr>
          <w:p>
            <w:pPr>
              <w:pStyle w:val="TableParagraph"/>
              <w:spacing w:line="240" w:lineRule="auto" w:before="2"/>
              <w:ind w:left="0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98" w:lineRule="exact"/>
              <w:ind w:left="72"/>
              <w:rPr>
                <w:rFonts w:ascii="Trebuchet MS"/>
                <w:sz w:val="9"/>
              </w:rPr>
            </w:pPr>
            <w:r>
              <w:rPr>
                <w:rFonts w:ascii="Trebuchet MS"/>
                <w:position w:val="-1"/>
                <w:sz w:val="9"/>
              </w:rPr>
              <w:drawing>
                <wp:inline distT="0" distB="0" distL="0" distR="0">
                  <wp:extent cx="570330" cy="62674"/>
                  <wp:effectExtent l="0" t="0" r="0" b="0"/>
                  <wp:docPr id="3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3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330" cy="62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-1"/>
                <w:sz w:val="9"/>
              </w:rPr>
            </w:r>
          </w:p>
        </w:tc>
        <w:tc>
          <w:tcPr>
            <w:tcW w:w="1177" w:type="dxa"/>
          </w:tcPr>
          <w:p>
            <w:pPr>
              <w:pStyle w:val="TableParagraph"/>
              <w:spacing w:line="240" w:lineRule="auto"/>
              <w:ind w:left="0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100" w:lineRule="exact"/>
              <w:ind w:left="114"/>
              <w:rPr>
                <w:rFonts w:ascii="Trebuchet MS"/>
                <w:sz w:val="10"/>
              </w:rPr>
            </w:pPr>
            <w:r>
              <w:rPr>
                <w:rFonts w:ascii="Trebuchet MS"/>
                <w:position w:val="-1"/>
                <w:sz w:val="10"/>
              </w:rPr>
              <w:pict>
                <v:group style="width:30.05pt;height:5.05pt;mso-position-horizontal-relative:char;mso-position-vertical-relative:line" id="docshapegroup51" coordorigin="0,0" coordsize="601,101">
                  <v:shape style="position:absolute;left:0;top:0;width:601;height:101" id="docshape52" coordorigin="0,0" coordsize="601,101" path="m39,0l23,0,18,1,11,5,7,8,3,15,2,20,0,31,0,39,0,65,1,74,3,85,6,90,9,93,11,96,14,98,21,100,25,101,39,101,46,98,55,87,56,86,25,86,22,84,19,77,18,67,19,31,19,23,22,16,25,14,55,14,55,13,46,3,39,0xm57,64l40,64,40,74,39,79,36,85,33,86,56,86,58,79,57,64xm55,14l33,14,35,16,39,21,40,25,40,32,57,32,57,21,55,14xm104,24l85,24,78,27,71,38,69,48,69,77,71,87,78,98,85,100,104,100,110,98,117,87,91,87,89,86,86,81,86,77,86,48,87,43,89,38,91,37,117,37,110,27,104,24xm117,37l97,37,100,38,102,43,102,48,102,77,102,82,100,86,97,87,117,87,118,87,120,77,120,48,118,38,117,37xm148,26l132,26,132,98,149,98,149,47,149,44,152,39,154,38,180,38,180,36,179,33,148,33,148,26xm180,38l159,38,161,39,163,43,164,46,164,98,180,98,180,38xm169,24l160,24,157,25,152,28,150,30,148,33,179,33,178,32,173,26,169,24xm212,39l195,39,195,89,196,93,200,98,204,99,210,99,211,99,216,99,218,98,218,85,215,85,213,85,212,83,212,80,212,39xm218,85l215,85,218,85,218,85xm218,26l188,26,188,39,218,39,218,26xm212,6l195,6,195,26,212,26,212,6xm245,26l229,26,229,98,246,98,246,52,247,50,251,45,254,44,262,44,262,38,245,38,245,26xm262,44l259,44,262,45,262,44xm262,24l258,24,255,25,250,30,247,33,245,38,262,38,262,24xm288,2l272,2,272,17,288,17,288,2xm288,26l272,26,272,98,288,98,288,26xm349,91l319,91,320,94,322,96,327,99,330,100,340,100,345,97,349,91xm319,2l303,2,303,98,319,98,319,91,349,91,351,86,324,86,322,85,320,80,319,74,319,52,320,46,322,40,324,38,351,38,351,38,348,32,319,32,319,2xm351,38l331,38,333,40,335,45,335,48,335,74,335,79,333,85,331,86,351,86,352,77,352,48,351,38xm341,24l330,24,327,25,323,28,321,30,319,32,348,32,345,27,341,24xm381,26l365,26,365,89,366,93,371,99,375,100,384,100,387,99,392,96,394,94,396,91,412,91,412,86,385,86,383,85,381,81,381,78,381,26xm412,91l396,91,396,98,412,98,412,91xm412,26l395,26,395,78,395,81,393,85,391,86,412,86,412,26xm444,39l427,39,427,89,429,93,433,98,437,99,443,99,444,99,449,99,451,98,451,85,447,85,446,85,445,83,444,80,444,39xm451,85l447,85,451,85,451,85xm451,26l421,26,421,39,451,39,451,26xm444,6l427,6,427,26,444,26,444,6xm478,2l461,2,461,17,478,17,478,2xm478,26l461,26,461,98,478,98,478,26xm525,24l506,24,499,27,492,38,490,48,490,77,492,87,499,98,506,100,525,100,532,98,539,87,512,87,510,86,508,81,507,77,507,48,508,43,510,38,512,37,539,37,532,27,525,24xm539,37l519,37,521,38,523,43,524,48,524,77,523,82,521,86,519,87,539,87,539,87,541,77,541,48,539,38,539,37xm570,26l553,26,553,98,570,98,570,47,571,44,573,39,575,38,601,38,601,36,600,33,570,33,570,26xm601,38l580,38,582,39,584,43,585,46,585,98,601,98,601,38xm590,24l581,24,579,25,574,28,571,30,570,33,600,33,600,32,594,26,590,24xe" filled="true" fillcolor="#373435" stroked="false">
                    <v:path arrowok="t"/>
                    <v:fill type="solid"/>
                  </v:shape>
                </v:group>
              </w:pict>
            </w:r>
            <w:r>
              <w:rPr>
                <w:rFonts w:ascii="Trebuchet MS"/>
                <w:position w:val="-1"/>
                <w:sz w:val="10"/>
              </w:rPr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/>
              <w:ind w:left="0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122" w:lineRule="exact"/>
              <w:ind w:left="287"/>
              <w:rPr>
                <w:rFonts w:ascii="Trebuchet MS"/>
                <w:sz w:val="12"/>
              </w:rPr>
            </w:pPr>
            <w:r>
              <w:rPr>
                <w:rFonts w:ascii="Trebuchet MS"/>
                <w:position w:val="-1"/>
                <w:sz w:val="12"/>
              </w:rPr>
              <w:drawing>
                <wp:inline distT="0" distB="0" distL="0" distR="0">
                  <wp:extent cx="301511" cy="77724"/>
                  <wp:effectExtent l="0" t="0" r="0" b="0"/>
                  <wp:docPr id="5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4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511" cy="7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-1"/>
                <w:sz w:val="12"/>
              </w:rPr>
            </w:r>
          </w:p>
        </w:tc>
      </w:tr>
      <w:tr>
        <w:trPr>
          <w:trHeight w:val="486" w:hRule="atLeast"/>
        </w:trPr>
        <w:tc>
          <w:tcPr>
            <w:tcW w:w="238" w:type="dxa"/>
          </w:tcPr>
          <w:p>
            <w:pPr>
              <w:pStyle w:val="TableParagraph"/>
              <w:spacing w:line="240" w:lineRule="auto" w:before="39"/>
              <w:ind w:left="0" w:right="5"/>
              <w:jc w:val="center"/>
              <w:rPr>
                <w:b/>
                <w:sz w:val="12"/>
              </w:rPr>
            </w:pPr>
            <w:r>
              <w:rPr>
                <w:b/>
                <w:color w:val="373435"/>
                <w:w w:val="81"/>
                <w:sz w:val="12"/>
              </w:rPr>
              <w:t>1</w:t>
            </w:r>
          </w:p>
        </w:tc>
        <w:tc>
          <w:tcPr>
            <w:tcW w:w="748" w:type="dxa"/>
          </w:tcPr>
          <w:p>
            <w:pPr>
              <w:pStyle w:val="TableParagraph"/>
              <w:spacing w:line="249" w:lineRule="auto" w:before="39"/>
              <w:ind w:left="55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85"/>
                <w:sz w:val="12"/>
              </w:rPr>
              <w:t>Dr.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Ammarah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Badar</w:t>
            </w:r>
          </w:p>
        </w:tc>
        <w:tc>
          <w:tcPr>
            <w:tcW w:w="1854" w:type="dxa"/>
          </w:tcPr>
          <w:p>
            <w:pPr>
              <w:pStyle w:val="TableParagraph"/>
              <w:spacing w:line="240" w:lineRule="auto" w:before="39"/>
              <w:ind w:left="58"/>
              <w:rPr>
                <w:b/>
                <w:sz w:val="12"/>
              </w:rPr>
            </w:pPr>
            <w:r>
              <w:rPr>
                <w:b/>
                <w:color w:val="373435"/>
                <w:w w:val="90"/>
                <w:sz w:val="12"/>
              </w:rPr>
              <w:t>JPMC,</w:t>
            </w:r>
            <w:r>
              <w:rPr>
                <w:b/>
                <w:color w:val="373435"/>
                <w:spacing w:val="-1"/>
                <w:sz w:val="12"/>
              </w:rPr>
              <w:t> </w:t>
            </w:r>
            <w:r>
              <w:rPr>
                <w:b/>
                <w:color w:val="373435"/>
                <w:spacing w:val="-2"/>
                <w:sz w:val="12"/>
              </w:rPr>
              <w:t>Karachi</w:t>
            </w:r>
          </w:p>
        </w:tc>
        <w:tc>
          <w:tcPr>
            <w:tcW w:w="1177" w:type="dxa"/>
          </w:tcPr>
          <w:p>
            <w:pPr>
              <w:pStyle w:val="TableParagraph"/>
              <w:spacing w:line="249" w:lineRule="auto" w:before="39"/>
              <w:ind w:left="71"/>
              <w:rPr>
                <w:b/>
                <w:sz w:val="12"/>
              </w:rPr>
            </w:pPr>
            <w:r>
              <w:rPr>
                <w:b/>
                <w:color w:val="373435"/>
                <w:w w:val="85"/>
                <w:sz w:val="12"/>
              </w:rPr>
              <w:t>Research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idea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and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80"/>
                <w:sz w:val="12"/>
              </w:rPr>
              <w:t>manuscript</w:t>
            </w:r>
            <w:r>
              <w:rPr>
                <w:b/>
                <w:color w:val="373435"/>
                <w:spacing w:val="16"/>
                <w:sz w:val="12"/>
              </w:rPr>
              <w:t> 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writing</w:t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 w:before="10" w:after="1"/>
              <w:ind w:left="0"/>
              <w:rPr>
                <w:rFonts w:ascii="Trebuchet MS"/>
                <w:sz w:val="9"/>
              </w:rPr>
            </w:pPr>
          </w:p>
          <w:p>
            <w:pPr>
              <w:pStyle w:val="TableParagraph"/>
              <w:spacing w:line="240" w:lineRule="auto"/>
              <w:ind w:left="95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443970" cy="176593"/>
                  <wp:effectExtent l="0" t="0" r="0" b="0"/>
                  <wp:docPr id="7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5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70" cy="176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519" w:hRule="atLeast"/>
        </w:trPr>
        <w:tc>
          <w:tcPr>
            <w:tcW w:w="238" w:type="dxa"/>
          </w:tcPr>
          <w:p>
            <w:pPr>
              <w:pStyle w:val="TableParagraph"/>
              <w:spacing w:line="240" w:lineRule="auto" w:before="71"/>
              <w:ind w:left="0" w:right="5"/>
              <w:jc w:val="center"/>
              <w:rPr>
                <w:b/>
                <w:sz w:val="12"/>
              </w:rPr>
            </w:pPr>
            <w:r>
              <w:rPr>
                <w:b/>
                <w:color w:val="373435"/>
                <w:w w:val="81"/>
                <w:sz w:val="12"/>
              </w:rPr>
              <w:t>2</w:t>
            </w:r>
          </w:p>
        </w:tc>
        <w:tc>
          <w:tcPr>
            <w:tcW w:w="748" w:type="dxa"/>
          </w:tcPr>
          <w:p>
            <w:pPr>
              <w:pStyle w:val="TableParagraph"/>
              <w:spacing w:line="249" w:lineRule="auto" w:before="71"/>
              <w:ind w:left="55" w:right="10"/>
              <w:rPr>
                <w:b/>
                <w:sz w:val="12"/>
              </w:rPr>
            </w:pPr>
            <w:r>
              <w:rPr>
                <w:b/>
                <w:color w:val="373435"/>
                <w:spacing w:val="-6"/>
                <w:w w:val="90"/>
                <w:sz w:val="12"/>
              </w:rPr>
              <w:t>Dr.</w:t>
            </w:r>
            <w:r>
              <w:rPr>
                <w:b/>
                <w:color w:val="373435"/>
                <w:spacing w:val="-4"/>
                <w:sz w:val="12"/>
              </w:rPr>
              <w:t> </w:t>
            </w:r>
            <w:r>
              <w:rPr>
                <w:b/>
                <w:color w:val="373435"/>
                <w:spacing w:val="-6"/>
                <w:w w:val="90"/>
                <w:sz w:val="12"/>
              </w:rPr>
              <w:t>Fatima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Taufique</w:t>
            </w:r>
          </w:p>
        </w:tc>
        <w:tc>
          <w:tcPr>
            <w:tcW w:w="1854" w:type="dxa"/>
          </w:tcPr>
          <w:p>
            <w:pPr>
              <w:pStyle w:val="TableParagraph"/>
              <w:spacing w:line="240" w:lineRule="auto" w:before="71"/>
              <w:ind w:left="58"/>
              <w:rPr>
                <w:b/>
                <w:sz w:val="12"/>
              </w:rPr>
            </w:pPr>
            <w:r>
              <w:rPr>
                <w:b/>
                <w:color w:val="373435"/>
                <w:w w:val="90"/>
                <w:sz w:val="12"/>
              </w:rPr>
              <w:t>JPMC,</w:t>
            </w:r>
            <w:r>
              <w:rPr>
                <w:b/>
                <w:color w:val="373435"/>
                <w:spacing w:val="-1"/>
                <w:sz w:val="12"/>
              </w:rPr>
              <w:t> </w:t>
            </w:r>
            <w:r>
              <w:rPr>
                <w:b/>
                <w:color w:val="373435"/>
                <w:spacing w:val="-2"/>
                <w:sz w:val="12"/>
              </w:rPr>
              <w:t>Karachi</w:t>
            </w:r>
          </w:p>
        </w:tc>
        <w:tc>
          <w:tcPr>
            <w:tcW w:w="1177" w:type="dxa"/>
          </w:tcPr>
          <w:p>
            <w:pPr>
              <w:pStyle w:val="TableParagraph"/>
              <w:spacing w:line="249" w:lineRule="auto" w:before="71"/>
              <w:ind w:left="71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85"/>
                <w:sz w:val="12"/>
              </w:rPr>
              <w:t>Literature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review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and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discussion</w:t>
            </w:r>
            <w:r>
              <w:rPr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writing</w:t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Trebuchet MS"/>
                <w:sz w:val="6"/>
              </w:rPr>
            </w:pPr>
          </w:p>
          <w:p>
            <w:pPr>
              <w:pStyle w:val="TableParagraph"/>
              <w:spacing w:line="240" w:lineRule="auto"/>
              <w:ind w:left="272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38780" cy="228600"/>
                  <wp:effectExtent l="0" t="0" r="0" b="0"/>
                  <wp:docPr id="9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6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8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519" w:hRule="atLeast"/>
        </w:trPr>
        <w:tc>
          <w:tcPr>
            <w:tcW w:w="238" w:type="dxa"/>
          </w:tcPr>
          <w:p>
            <w:pPr>
              <w:pStyle w:val="TableParagraph"/>
              <w:spacing w:line="240" w:lineRule="auto" w:before="71"/>
              <w:ind w:left="0" w:right="5"/>
              <w:jc w:val="center"/>
              <w:rPr>
                <w:b/>
                <w:sz w:val="12"/>
              </w:rPr>
            </w:pPr>
            <w:r>
              <w:rPr>
                <w:b/>
                <w:color w:val="373435"/>
                <w:w w:val="81"/>
                <w:sz w:val="12"/>
              </w:rPr>
              <w:t>3</w:t>
            </w:r>
          </w:p>
        </w:tc>
        <w:tc>
          <w:tcPr>
            <w:tcW w:w="748" w:type="dxa"/>
          </w:tcPr>
          <w:p>
            <w:pPr>
              <w:pStyle w:val="TableParagraph"/>
              <w:spacing w:line="249" w:lineRule="auto" w:before="71"/>
              <w:ind w:left="55" w:right="139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85"/>
                <w:sz w:val="12"/>
              </w:rPr>
              <w:t>Dr.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Chooni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4"/>
                <w:w w:val="95"/>
                <w:sz w:val="12"/>
              </w:rPr>
              <w:t>Lal</w:t>
            </w:r>
          </w:p>
        </w:tc>
        <w:tc>
          <w:tcPr>
            <w:tcW w:w="1854" w:type="dxa"/>
          </w:tcPr>
          <w:p>
            <w:pPr>
              <w:pStyle w:val="TableParagraph"/>
              <w:spacing w:line="240" w:lineRule="auto" w:before="71"/>
              <w:ind w:left="58"/>
              <w:rPr>
                <w:b/>
                <w:sz w:val="12"/>
              </w:rPr>
            </w:pPr>
            <w:r>
              <w:rPr>
                <w:b/>
                <w:color w:val="373435"/>
                <w:w w:val="90"/>
                <w:sz w:val="12"/>
              </w:rPr>
              <w:t>JPMC,</w:t>
            </w:r>
            <w:r>
              <w:rPr>
                <w:b/>
                <w:color w:val="373435"/>
                <w:spacing w:val="-1"/>
                <w:sz w:val="12"/>
              </w:rPr>
              <w:t> </w:t>
            </w:r>
            <w:r>
              <w:rPr>
                <w:b/>
                <w:color w:val="373435"/>
                <w:spacing w:val="-2"/>
                <w:sz w:val="12"/>
              </w:rPr>
              <w:t>Karachi</w:t>
            </w:r>
          </w:p>
        </w:tc>
        <w:tc>
          <w:tcPr>
            <w:tcW w:w="1177" w:type="dxa"/>
          </w:tcPr>
          <w:p>
            <w:pPr>
              <w:pStyle w:val="TableParagraph"/>
              <w:spacing w:line="249" w:lineRule="auto" w:before="71"/>
              <w:ind w:left="71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85"/>
                <w:sz w:val="12"/>
              </w:rPr>
              <w:t>Supervision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of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study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and</w:t>
            </w:r>
            <w:r>
              <w:rPr>
                <w:b/>
                <w:color w:val="373435"/>
                <w:spacing w:val="-6"/>
                <w:w w:val="9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editing</w:t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Trebuchet MS"/>
                <w:sz w:val="7"/>
              </w:rPr>
            </w:pPr>
          </w:p>
          <w:p>
            <w:pPr>
              <w:pStyle w:val="TableParagraph"/>
              <w:spacing w:line="240" w:lineRule="auto"/>
              <w:ind w:left="175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351688" cy="219075"/>
                  <wp:effectExtent l="0" t="0" r="0" b="0"/>
                  <wp:docPr id="11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7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688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519" w:hRule="atLeast"/>
        </w:trPr>
        <w:tc>
          <w:tcPr>
            <w:tcW w:w="238" w:type="dxa"/>
          </w:tcPr>
          <w:p>
            <w:pPr>
              <w:pStyle w:val="TableParagraph"/>
              <w:spacing w:line="240" w:lineRule="auto" w:before="71"/>
              <w:ind w:left="0" w:right="5"/>
              <w:jc w:val="center"/>
              <w:rPr>
                <w:b/>
                <w:sz w:val="12"/>
              </w:rPr>
            </w:pPr>
            <w:r>
              <w:rPr>
                <w:b/>
                <w:color w:val="373435"/>
                <w:w w:val="81"/>
                <w:sz w:val="12"/>
              </w:rPr>
              <w:t>4</w:t>
            </w:r>
          </w:p>
        </w:tc>
        <w:tc>
          <w:tcPr>
            <w:tcW w:w="748" w:type="dxa"/>
          </w:tcPr>
          <w:p>
            <w:pPr>
              <w:pStyle w:val="TableParagraph"/>
              <w:spacing w:line="240" w:lineRule="auto" w:before="71"/>
              <w:ind w:left="55"/>
              <w:rPr>
                <w:b/>
                <w:sz w:val="12"/>
              </w:rPr>
            </w:pPr>
            <w:r>
              <w:rPr>
                <w:b/>
                <w:color w:val="373435"/>
                <w:w w:val="80"/>
                <w:sz w:val="12"/>
              </w:rPr>
              <w:t>Dr.</w:t>
            </w:r>
            <w:r>
              <w:rPr>
                <w:b/>
                <w:color w:val="373435"/>
                <w:spacing w:val="-1"/>
                <w:sz w:val="12"/>
              </w:rPr>
              <w:t> </w:t>
            </w:r>
            <w:r>
              <w:rPr>
                <w:b/>
                <w:color w:val="373435"/>
                <w:w w:val="80"/>
                <w:sz w:val="12"/>
              </w:rPr>
              <w:t>Ilyas</w:t>
            </w:r>
            <w:r>
              <w:rPr>
                <w:b/>
                <w:color w:val="373435"/>
                <w:sz w:val="12"/>
              </w:rPr>
              <w:t> </w:t>
            </w:r>
            <w:r>
              <w:rPr>
                <w:b/>
                <w:color w:val="373435"/>
                <w:spacing w:val="-5"/>
                <w:w w:val="80"/>
                <w:sz w:val="12"/>
              </w:rPr>
              <w:t>Jat</w:t>
            </w:r>
          </w:p>
        </w:tc>
        <w:tc>
          <w:tcPr>
            <w:tcW w:w="1854" w:type="dxa"/>
          </w:tcPr>
          <w:p>
            <w:pPr>
              <w:pStyle w:val="TableParagraph"/>
              <w:spacing w:line="240" w:lineRule="auto" w:before="71"/>
              <w:ind w:left="58"/>
              <w:rPr>
                <w:b/>
                <w:sz w:val="12"/>
              </w:rPr>
            </w:pPr>
            <w:r>
              <w:rPr>
                <w:b/>
                <w:color w:val="373435"/>
                <w:w w:val="90"/>
                <w:sz w:val="12"/>
              </w:rPr>
              <w:t>JPMC,</w:t>
            </w:r>
            <w:r>
              <w:rPr>
                <w:b/>
                <w:color w:val="373435"/>
                <w:spacing w:val="-1"/>
                <w:sz w:val="12"/>
              </w:rPr>
              <w:t> </w:t>
            </w:r>
            <w:r>
              <w:rPr>
                <w:b/>
                <w:color w:val="373435"/>
                <w:spacing w:val="-2"/>
                <w:sz w:val="12"/>
              </w:rPr>
              <w:t>Karachi</w:t>
            </w:r>
          </w:p>
        </w:tc>
        <w:tc>
          <w:tcPr>
            <w:tcW w:w="1177" w:type="dxa"/>
          </w:tcPr>
          <w:p>
            <w:pPr>
              <w:pStyle w:val="TableParagraph"/>
              <w:spacing w:line="150" w:lineRule="atLeast" w:before="49"/>
              <w:ind w:left="72" w:right="26"/>
              <w:rPr>
                <w:b/>
                <w:sz w:val="12"/>
              </w:rPr>
            </w:pPr>
            <w:r>
              <w:rPr>
                <w:b/>
                <w:color w:val="373435"/>
                <w:w w:val="85"/>
                <w:sz w:val="12"/>
              </w:rPr>
              <w:t>Analysis of results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0"/>
                <w:sz w:val="12"/>
              </w:rPr>
              <w:t>and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0"/>
                <w:sz w:val="12"/>
              </w:rPr>
              <w:t>references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0"/>
                <w:sz w:val="12"/>
              </w:rPr>
              <w:t>in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0"/>
                <w:sz w:val="12"/>
              </w:rPr>
              <w:t>light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of latest research</w:t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240" w:lineRule="auto"/>
              <w:ind w:left="329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147994" cy="225647"/>
                  <wp:effectExtent l="0" t="0" r="0" b="0"/>
                  <wp:docPr id="13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8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94" cy="225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519" w:hRule="atLeast"/>
        </w:trPr>
        <w:tc>
          <w:tcPr>
            <w:tcW w:w="238" w:type="dxa"/>
          </w:tcPr>
          <w:p>
            <w:pPr>
              <w:pStyle w:val="TableParagraph"/>
              <w:spacing w:line="240" w:lineRule="auto" w:before="71"/>
              <w:ind w:left="0" w:right="5"/>
              <w:jc w:val="center"/>
              <w:rPr>
                <w:b/>
                <w:sz w:val="12"/>
              </w:rPr>
            </w:pPr>
            <w:r>
              <w:rPr>
                <w:b/>
                <w:color w:val="373435"/>
                <w:w w:val="81"/>
                <w:sz w:val="12"/>
              </w:rPr>
              <w:t>5</w:t>
            </w:r>
          </w:p>
        </w:tc>
        <w:tc>
          <w:tcPr>
            <w:tcW w:w="748" w:type="dxa"/>
          </w:tcPr>
          <w:p>
            <w:pPr>
              <w:pStyle w:val="TableParagraph"/>
              <w:spacing w:line="249" w:lineRule="auto" w:before="71"/>
              <w:ind w:left="55" w:right="156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85"/>
                <w:sz w:val="12"/>
              </w:rPr>
              <w:t>Dr.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Fawad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Suleman</w:t>
            </w:r>
          </w:p>
        </w:tc>
        <w:tc>
          <w:tcPr>
            <w:tcW w:w="1854" w:type="dxa"/>
          </w:tcPr>
          <w:p>
            <w:pPr>
              <w:pStyle w:val="TableParagraph"/>
              <w:spacing w:line="240" w:lineRule="auto" w:before="71"/>
              <w:ind w:left="58"/>
              <w:rPr>
                <w:b/>
                <w:sz w:val="12"/>
              </w:rPr>
            </w:pPr>
            <w:r>
              <w:rPr>
                <w:b/>
                <w:color w:val="373435"/>
                <w:w w:val="90"/>
                <w:sz w:val="12"/>
              </w:rPr>
              <w:t>JPMC,</w:t>
            </w:r>
            <w:r>
              <w:rPr>
                <w:b/>
                <w:color w:val="373435"/>
                <w:spacing w:val="-1"/>
                <w:sz w:val="12"/>
              </w:rPr>
              <w:t> </w:t>
            </w:r>
            <w:r>
              <w:rPr>
                <w:b/>
                <w:color w:val="373435"/>
                <w:spacing w:val="-2"/>
                <w:sz w:val="12"/>
              </w:rPr>
              <w:t>Karachi</w:t>
            </w:r>
          </w:p>
        </w:tc>
        <w:tc>
          <w:tcPr>
            <w:tcW w:w="1177" w:type="dxa"/>
          </w:tcPr>
          <w:p>
            <w:pPr>
              <w:pStyle w:val="TableParagraph"/>
              <w:spacing w:line="249" w:lineRule="auto" w:before="71"/>
              <w:ind w:left="72" w:right="26"/>
              <w:rPr>
                <w:b/>
                <w:sz w:val="12"/>
              </w:rPr>
            </w:pPr>
            <w:r>
              <w:rPr>
                <w:b/>
                <w:color w:val="373435"/>
                <w:w w:val="80"/>
                <w:sz w:val="12"/>
              </w:rPr>
              <w:t>Materializing</w:t>
            </w:r>
            <w:r>
              <w:rPr>
                <w:b/>
                <w:color w:val="373435"/>
                <w:spacing w:val="-2"/>
                <w:w w:val="80"/>
                <w:sz w:val="12"/>
              </w:rPr>
              <w:t> </w:t>
            </w:r>
            <w:r>
              <w:rPr>
                <w:b/>
                <w:color w:val="373435"/>
                <w:w w:val="80"/>
                <w:sz w:val="12"/>
              </w:rPr>
              <w:t>the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0"/>
                <w:sz w:val="12"/>
              </w:rPr>
              <w:t>study</w:t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 w:before="2"/>
              <w:ind w:left="0"/>
              <w:rPr>
                <w:rFonts w:ascii="Trebuchet MS"/>
                <w:sz w:val="5"/>
              </w:rPr>
            </w:pPr>
          </w:p>
          <w:p>
            <w:pPr>
              <w:pStyle w:val="TableParagraph"/>
              <w:spacing w:line="240" w:lineRule="auto"/>
              <w:ind w:left="193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341222" cy="235458"/>
                  <wp:effectExtent l="0" t="0" r="0" b="0"/>
                  <wp:docPr id="15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9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222" cy="235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519" w:hRule="atLeast"/>
        </w:trPr>
        <w:tc>
          <w:tcPr>
            <w:tcW w:w="238" w:type="dxa"/>
          </w:tcPr>
          <w:p>
            <w:pPr>
              <w:pStyle w:val="TableParagraph"/>
              <w:spacing w:line="240" w:lineRule="auto" w:before="71"/>
              <w:ind w:left="0" w:right="5"/>
              <w:jc w:val="center"/>
              <w:rPr>
                <w:b/>
                <w:sz w:val="12"/>
              </w:rPr>
            </w:pPr>
            <w:r>
              <w:rPr>
                <w:b/>
                <w:color w:val="373435"/>
                <w:w w:val="81"/>
                <w:sz w:val="12"/>
              </w:rPr>
              <w:t>6</w:t>
            </w:r>
          </w:p>
        </w:tc>
        <w:tc>
          <w:tcPr>
            <w:tcW w:w="748" w:type="dxa"/>
          </w:tcPr>
          <w:p>
            <w:pPr>
              <w:pStyle w:val="TableParagraph"/>
              <w:spacing w:line="249" w:lineRule="auto" w:before="71"/>
              <w:ind w:left="55" w:right="285"/>
              <w:rPr>
                <w:b/>
                <w:sz w:val="12"/>
              </w:rPr>
            </w:pPr>
            <w:r>
              <w:rPr>
                <w:b/>
                <w:color w:val="373435"/>
                <w:spacing w:val="-4"/>
                <w:w w:val="90"/>
                <w:sz w:val="12"/>
              </w:rPr>
              <w:t>Dr.</w:t>
            </w:r>
            <w:r>
              <w:rPr>
                <w:b/>
                <w:color w:val="373435"/>
                <w:spacing w:val="-5"/>
                <w:sz w:val="12"/>
              </w:rPr>
              <w:t> </w:t>
            </w:r>
            <w:r>
              <w:rPr>
                <w:b/>
                <w:color w:val="373435"/>
                <w:spacing w:val="-4"/>
                <w:w w:val="90"/>
                <w:sz w:val="12"/>
              </w:rPr>
              <w:t>Anil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4"/>
                <w:w w:val="95"/>
                <w:sz w:val="12"/>
              </w:rPr>
              <w:t>Kumar</w:t>
            </w:r>
          </w:p>
        </w:tc>
        <w:tc>
          <w:tcPr>
            <w:tcW w:w="1854" w:type="dxa"/>
          </w:tcPr>
          <w:p>
            <w:pPr>
              <w:pStyle w:val="TableParagraph"/>
              <w:spacing w:line="240" w:lineRule="auto" w:before="71"/>
              <w:ind w:left="58"/>
              <w:rPr>
                <w:b/>
                <w:sz w:val="12"/>
              </w:rPr>
            </w:pPr>
            <w:r>
              <w:rPr>
                <w:b/>
                <w:color w:val="373435"/>
                <w:w w:val="90"/>
                <w:sz w:val="12"/>
              </w:rPr>
              <w:t>JPMC,</w:t>
            </w:r>
            <w:r>
              <w:rPr>
                <w:b/>
                <w:color w:val="373435"/>
                <w:spacing w:val="-1"/>
                <w:sz w:val="12"/>
              </w:rPr>
              <w:t> </w:t>
            </w:r>
            <w:r>
              <w:rPr>
                <w:b/>
                <w:color w:val="373435"/>
                <w:spacing w:val="-2"/>
                <w:sz w:val="12"/>
              </w:rPr>
              <w:t>Karachi</w:t>
            </w:r>
          </w:p>
        </w:tc>
        <w:tc>
          <w:tcPr>
            <w:tcW w:w="1177" w:type="dxa"/>
          </w:tcPr>
          <w:p>
            <w:pPr>
              <w:pStyle w:val="TableParagraph"/>
              <w:spacing w:line="249" w:lineRule="auto" w:before="69"/>
              <w:ind w:left="72" w:right="26"/>
              <w:rPr>
                <w:b/>
                <w:sz w:val="12"/>
              </w:rPr>
            </w:pPr>
            <w:r>
              <w:rPr>
                <w:b/>
                <w:color w:val="373435"/>
                <w:w w:val="80"/>
                <w:sz w:val="12"/>
              </w:rPr>
              <w:t>Materializing</w:t>
            </w:r>
            <w:r>
              <w:rPr>
                <w:b/>
                <w:color w:val="373435"/>
                <w:spacing w:val="-2"/>
                <w:w w:val="80"/>
                <w:sz w:val="12"/>
              </w:rPr>
              <w:t> </w:t>
            </w:r>
            <w:r>
              <w:rPr>
                <w:b/>
                <w:color w:val="373435"/>
                <w:w w:val="80"/>
                <w:sz w:val="12"/>
              </w:rPr>
              <w:t>the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0"/>
                <w:sz w:val="12"/>
              </w:rPr>
              <w:t>study</w:t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240" w:lineRule="auto"/>
              <w:ind w:left="233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79279" cy="208025"/>
                  <wp:effectExtent l="0" t="0" r="0" b="0"/>
                  <wp:docPr id="17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10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279" cy="2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</w:tbl>
    <w:sectPr>
      <w:pgSz w:w="12060" w:h="15840"/>
      <w:pgMar w:header="0" w:footer="626" w:top="940" w:bottom="820" w:left="700" w:right="680"/>
      <w:cols w:num="2" w:equalWidth="0">
        <w:col w:w="5122" w:space="342"/>
        <w:col w:w="521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01.131897pt;margin-top:753.508301pt;width:.4748pt;height:7.0138pt;mso-position-horizontal-relative:page;mso-position-vertical-relative:page;z-index:-16186368" id="docshape12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85856" from="566.6403pt,747.067688pt" to="0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38.654701pt;margin-top:750.839844pt;width:145.450pt;height:11.2pt;mso-position-horizontal-relative:page;mso-position-vertical-relative:page;z-index:-16185344" type="#_x0000_t202" id="docshape13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320984pt;margin-top:750.839844pt;width:27.15pt;height:11.2pt;mso-position-horizontal-relative:page;mso-position-vertical-relative:page;z-index:-16184832" type="#_x0000_t202" id="docshape1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07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80.543304pt;margin-top:753.508301pt;width:.4748pt;height:7.0138pt;mso-position-horizontal-relative:page;mso-position-vertical-relative:page;z-index:-16184320" id="docshape15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83808" from="602.64pt,747.067688pt" to="36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38.3367pt;margin-top:750.839844pt;width:27.15pt;height:11.2pt;mso-position-horizontal-relative:page;mso-position-vertical-relative:page;z-index:-16183296" type="#_x0000_t202" id="docshape1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08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066101pt;margin-top:750.839844pt;width:145.450pt;height:11.2pt;mso-position-horizontal-relative:page;mso-position-vertical-relative:page;z-index:-16182784" type="#_x0000_t202" id="docshape17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01.131897pt;margin-top:753.508301pt;width:.4748pt;height:7.0138pt;mso-position-horizontal-relative:page;mso-position-vertical-relative:page;z-index:-16180736" id="docshape38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80224" from="566.6403pt,747.067688pt" to="0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38.654701pt;margin-top:750.839844pt;width:145.450pt;height:11.2pt;mso-position-horizontal-relative:page;mso-position-vertical-relative:page;z-index:-16179712" type="#_x0000_t202" id="docshape39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320984pt;margin-top:750.839844pt;width:27.15pt;height:11.2pt;mso-position-horizontal-relative:page;mso-position-vertical-relative:page;z-index:-16179200" type="#_x0000_t202" id="docshape4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09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80.543304pt;margin-top:753.508301pt;width:.475pt;height:7.014pt;mso-position-horizontal-relative:page;mso-position-vertical-relative:page;z-index:-16178688" id="docshape41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78176" from="602.64pt,747.067993pt" to="36pt,747.067993pt" stroked="true" strokeweight=".7pt" strokecolor="#373435">
          <v:stroke dashstyle="solid"/>
          <w10:wrap type="none"/>
        </v:line>
      </w:pict>
    </w:r>
    <w:r>
      <w:rPr/>
      <w:pict>
        <v:shape style="position:absolute;margin-left:38.337002pt;margin-top:750.840149pt;width:27.15pt;height:11.2pt;mso-position-horizontal-relative:page;mso-position-vertical-relative:page;z-index:-16177664" type="#_x0000_t202" id="docshape4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10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06601pt;margin-top:750.840149pt;width:145.450pt;height:11.2pt;mso-position-horizontal-relative:page;mso-position-vertical-relative:page;z-index:-16177152" type="#_x0000_t202" id="docshape43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43.890503pt;margin-top:-.000300pt;width:117.5pt;height:26.95pt;mso-position-horizontal-relative:page;mso-position-vertical-relative:page;z-index:-16187904" id="docshapegroup1" coordorigin="8878,0" coordsize="2350,539">
          <v:rect style="position:absolute;left:8877;top:0;width:588;height:539" id="docshape2" filled="true" fillcolor="#76c04e" stroked="false">
            <v:fill type="solid"/>
          </v:rect>
          <v:rect style="position:absolute;left:9465;top:0;width:588;height:539" id="docshape3" filled="true" fillcolor="#9dd3af" stroked="false">
            <v:fill type="solid"/>
          </v:rect>
          <v:rect style="position:absolute;left:10052;top:0;width:588;height:539" id="docshape4" filled="true" fillcolor="#76c04e" stroked="false">
            <v:fill type="solid"/>
          </v:rect>
          <v:rect style="position:absolute;left:10639;top:0;width:588;height:539" id="docshape5" filled="true" fillcolor="#9dd3af" stroked="false">
            <v:fill type="solid"/>
          </v:rect>
          <w10:wrap type="non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1.298199pt;margin-top:-.000300pt;width:117.5pt;height:26.95pt;mso-position-horizontal-relative:page;mso-position-vertical-relative:page;z-index:-16187392" id="docshapegroup6" coordorigin="826,0" coordsize="2350,539">
          <v:rect style="position:absolute;left:2587;top:0;width:588;height:539" id="docshape7" filled="true" fillcolor="#76c04e" stroked="false">
            <v:fill type="solid"/>
          </v:rect>
          <v:rect style="position:absolute;left:2000;top:0;width:588;height:539" id="docshape8" filled="true" fillcolor="#9dd3af" stroked="false">
            <v:fill type="solid"/>
          </v:rect>
          <v:rect style="position:absolute;left:1413;top:0;width:588;height:539" id="docshape9" filled="true" fillcolor="#76c04e" stroked="false">
            <v:fill type="solid"/>
          </v:rect>
          <v:rect style="position:absolute;left:825;top:0;width:588;height:539" id="docshape10" filled="true" fillcolor="#9dd3af" stroked="false">
            <v:fill typ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7.371307pt;margin-top:30.039707pt;width:207.75pt;height:18.1pt;mso-position-horizontal-relative:page;mso-position-vertical-relative:page;z-index:-16186880" type="#_x0000_t202" id="docshape11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97.371307pt;margin-top:30.039707pt;width:207.75pt;height:18.1pt;mso-position-horizontal-relative:page;mso-position-vertical-relative:page;z-index:-16182272" type="#_x0000_t202" id="docshape31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1.020699pt;margin-top:0pt;width:117.5pt;height:26.95pt;mso-position-horizontal-relative:page;mso-position-vertical-relative:page;z-index:-16181760" id="docshapegroup32" coordorigin="820,0" coordsize="2350,539">
          <v:rect style="position:absolute;left:820;top:0;width:588;height:539" id="docshape33" filled="true" fillcolor="#76c04e" stroked="false">
            <v:fill type="solid"/>
          </v:rect>
          <v:rect style="position:absolute;left:1407;top:0;width:588;height:539" id="docshape34" filled="true" fillcolor="#9dd3af" stroked="false">
            <v:fill type="solid"/>
          </v:rect>
          <v:rect style="position:absolute;left:1994;top:0;width:588;height:539" id="docshape35" filled="true" fillcolor="#76c04e" stroked="false">
            <v:fill type="solid"/>
          </v:rect>
          <v:rect style="position:absolute;left:2582;top:0;width:588;height:539" id="docshape36" filled="true" fillcolor="#9dd3af" stroked="false">
            <v:fill type="solid"/>
          </v:rect>
          <w10:wrap type="none"/>
        </v:group>
      </w:pict>
    </w:r>
    <w:r>
      <w:rPr/>
      <w:pict>
        <v:shape style="position:absolute;margin-left:197.371002pt;margin-top:30.040407pt;width:207.75pt;height:18.1pt;mso-position-horizontal-relative:page;mso-position-vertical-relative:page;z-index:-16181248" type="#_x0000_t202" id="docshape37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78" w:hanging="358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373435"/>
        <w:w w:val="80"/>
        <w:sz w:val="18"/>
        <w:szCs w:val="18"/>
      </w:rPr>
    </w:lvl>
    <w:lvl w:ilvl="1">
      <w:start w:val="0"/>
      <w:numFmt w:val="bullet"/>
      <w:lvlText w:val="•"/>
      <w:lvlJc w:val="left"/>
      <w:pPr>
        <w:ind w:left="952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5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98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71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44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17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90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63" w:hanging="3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ind w:left="109"/>
      <w:outlineLvl w:val="1"/>
    </w:pPr>
    <w:rPr>
      <w:rFonts w:ascii="Gill Sans MT" w:hAnsi="Gill Sans MT" w:eastAsia="Gill Sans MT" w:cs="Gill Sans MT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ind w:left="102"/>
      <w:outlineLvl w:val="2"/>
    </w:pPr>
    <w:rPr>
      <w:rFonts w:ascii="Century Gothic" w:hAnsi="Century Gothic" w:eastAsia="Century Gothic" w:cs="Century Gothic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>
      <w:ind w:left="479" w:right="38" w:hanging="360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>
      <w:spacing w:line="190" w:lineRule="exact"/>
      <w:ind w:left="107"/>
    </w:pPr>
    <w:rPr>
      <w:rFonts w:ascii="Tahoma" w:hAnsi="Tahoma" w:eastAsia="Tahoma" w:cs="Tahom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customXml" Target="../customXml/item2.xml"/><Relationship Id="rId3" Type="http://schemas.openxmlformats.org/officeDocument/2006/relationships/theme" Target="theme/theme1.xml"/><Relationship Id="rId21" Type="http://schemas.openxmlformats.org/officeDocument/2006/relationships/image" Target="media/image8.png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openxmlformats.org/officeDocument/2006/relationships/image" Target="media/image4.png"/><Relationship Id="rId25" Type="http://schemas.openxmlformats.org/officeDocument/2006/relationships/customXml" Target="../customXml/item1.xml"/><Relationship Id="rId2" Type="http://schemas.openxmlformats.org/officeDocument/2006/relationships/fontTable" Target="fontTable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header" Target="header3.xml"/><Relationship Id="rId24" Type="http://schemas.openxmlformats.org/officeDocument/2006/relationships/numbering" Target="numbering.xml"/><Relationship Id="rId5" Type="http://schemas.openxmlformats.org/officeDocument/2006/relationships/header" Target="header1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mailto:ammarahbadar@yahoo.co.in" TargetMode="External"/><Relationship Id="rId14" Type="http://schemas.openxmlformats.org/officeDocument/2006/relationships/footer" Target="footer4.xm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CE3515-629C-46ED-8B8F-6C8E9C19E371}"/>
</file>

<file path=customXml/itemProps2.xml><?xml version="1.0" encoding="utf-8"?>
<ds:datastoreItem xmlns:ds="http://schemas.openxmlformats.org/officeDocument/2006/customXml" ds:itemID="{7223C990-EE04-4443-A15F-58C222F2FD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(April-June 2021).cdr</dc:title>
  <dcterms:created xsi:type="dcterms:W3CDTF">2022-07-28T18:06:38Z</dcterms:created>
  <dcterms:modified xsi:type="dcterms:W3CDTF">2022-07-28T18:06:38Z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