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631" w:val="left" w:leader="none"/>
        </w:tabs>
        <w:spacing w:before="73"/>
        <w:ind w:left="148"/>
        <w:jc w:val="left"/>
      </w:pPr>
      <w:r>
        <w:rPr>
          <w:color w:val="231F20"/>
          <w:spacing w:val="11"/>
          <w:w w:val="110"/>
        </w:rPr>
        <w:t>JPPS</w:t>
      </w:r>
      <w:r>
        <w:rPr>
          <w:color w:val="231F20"/>
          <w:spacing w:val="37"/>
          <w:w w:val="110"/>
        </w:rPr>
        <w:t> </w:t>
      </w:r>
      <w:r>
        <w:rPr>
          <w:color w:val="231F20"/>
          <w:spacing w:val="11"/>
          <w:w w:val="110"/>
        </w:rPr>
        <w:t>2009;</w:t>
      </w:r>
      <w:r>
        <w:rPr>
          <w:color w:val="231F20"/>
          <w:spacing w:val="38"/>
          <w:w w:val="110"/>
        </w:rPr>
        <w:t> </w:t>
      </w:r>
      <w:r>
        <w:rPr>
          <w:color w:val="231F20"/>
          <w:spacing w:val="11"/>
          <w:w w:val="110"/>
        </w:rPr>
        <w:t>6(1):</w:t>
      </w:r>
      <w:r>
        <w:rPr>
          <w:color w:val="231F20"/>
          <w:spacing w:val="38"/>
          <w:w w:val="110"/>
        </w:rPr>
        <w:t> </w:t>
      </w:r>
      <w:r>
        <w:rPr>
          <w:color w:val="231F20"/>
          <w:spacing w:val="14"/>
          <w:w w:val="110"/>
        </w:rPr>
        <w:t>3-</w:t>
      </w:r>
      <w:r>
        <w:rPr>
          <w:color w:val="231F20"/>
          <w:spacing w:val="-10"/>
          <w:w w:val="110"/>
        </w:rPr>
        <w:t>4</w:t>
      </w:r>
      <w:r>
        <w:rPr>
          <w:color w:val="231F20"/>
        </w:rPr>
        <w:tab/>
      </w:r>
      <w:r>
        <w:rPr>
          <w:color w:val="231F20"/>
          <w:spacing w:val="12"/>
          <w:w w:val="110"/>
        </w:rPr>
        <w:t>GUEST</w:t>
      </w:r>
      <w:r>
        <w:rPr>
          <w:color w:val="231F20"/>
          <w:spacing w:val="55"/>
          <w:w w:val="110"/>
        </w:rPr>
        <w:t> </w:t>
      </w:r>
      <w:r>
        <w:rPr>
          <w:color w:val="231F20"/>
          <w:spacing w:val="13"/>
          <w:w w:val="110"/>
        </w:rPr>
        <w:t>EDITORIAL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ind w:left="0"/>
        <w:jc w:val="left"/>
        <w:rPr>
          <w:sz w:val="7"/>
        </w:rPr>
      </w:pPr>
    </w:p>
    <w:p>
      <w:pPr>
        <w:pStyle w:val="Title"/>
      </w:pPr>
      <w:r>
        <w:rPr>
          <w:color w:val="231F20"/>
        </w:rPr>
        <w:t>WE</w:t>
      </w:r>
      <w:r>
        <w:rPr>
          <w:color w:val="231F20"/>
          <w:spacing w:val="56"/>
        </w:rPr>
        <w:t> </w:t>
      </w:r>
      <w:r>
        <w:rPr>
          <w:color w:val="231F20"/>
        </w:rPr>
        <w:t>CAN</w:t>
      </w:r>
      <w:r>
        <w:rPr>
          <w:color w:val="231F20"/>
          <w:spacing w:val="56"/>
        </w:rPr>
        <w:t> </w:t>
      </w:r>
      <w:r>
        <w:rPr>
          <w:color w:val="231F20"/>
        </w:rPr>
        <w:t>TALK</w:t>
      </w:r>
      <w:r>
        <w:rPr>
          <w:color w:val="231F20"/>
          <w:spacing w:val="56"/>
        </w:rPr>
        <w:t> </w:t>
      </w:r>
      <w:r>
        <w:rPr>
          <w:color w:val="231F20"/>
        </w:rPr>
        <w:t>…</w:t>
      </w:r>
      <w:r>
        <w:rPr>
          <w:color w:val="231F20"/>
          <w:spacing w:val="55"/>
        </w:rPr>
        <w:t> </w:t>
      </w:r>
      <w:r>
        <w:rPr>
          <w:color w:val="231F20"/>
        </w:rPr>
        <w:t>BUT</w:t>
      </w:r>
      <w:r>
        <w:rPr>
          <w:color w:val="231F20"/>
          <w:spacing w:val="55"/>
        </w:rPr>
        <w:t> </w:t>
      </w:r>
      <w:r>
        <w:rPr>
          <w:color w:val="231F20"/>
        </w:rPr>
        <w:t>CAN</w:t>
      </w:r>
      <w:r>
        <w:rPr>
          <w:color w:val="231F20"/>
          <w:spacing w:val="56"/>
        </w:rPr>
        <w:t> </w:t>
      </w:r>
      <w:r>
        <w:rPr>
          <w:color w:val="231F20"/>
        </w:rPr>
        <w:t>WE</w:t>
      </w:r>
      <w:r>
        <w:rPr>
          <w:color w:val="231F20"/>
          <w:spacing w:val="55"/>
        </w:rPr>
        <w:t> </w:t>
      </w:r>
      <w:r>
        <w:rPr>
          <w:color w:val="231F20"/>
          <w:spacing w:val="-2"/>
        </w:rPr>
        <w:t>COMMUNICATE?</w:t>
      </w:r>
    </w:p>
    <w:p>
      <w:pPr>
        <w:pStyle w:val="BodyText"/>
        <w:spacing w:before="269"/>
        <w:ind w:left="964" w:right="944"/>
        <w:jc w:val="center"/>
      </w:pPr>
      <w:r>
        <w:rPr>
          <w:color w:val="231F20"/>
          <w:spacing w:val="12"/>
          <w:w w:val="105"/>
        </w:rPr>
        <w:t>David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13"/>
          <w:w w:val="105"/>
        </w:rPr>
        <w:t>Kingdon</w:t>
      </w:r>
    </w:p>
    <w:p>
      <w:pPr>
        <w:pStyle w:val="BodyText"/>
        <w:spacing w:before="8"/>
        <w:ind w:left="0"/>
        <w:jc w:val="left"/>
        <w:rPr>
          <w:sz w:val="17"/>
        </w:rPr>
      </w:pPr>
      <w:r>
        <w:rPr/>
        <w:pict>
          <v:shape style="position:absolute;margin-left:72pt;margin-top:11.836182pt;width:468pt;height:.1pt;mso-position-horizontal-relative:page;mso-position-vertical-relative:paragraph;z-index:-15728128;mso-wrap-distance-left:0;mso-wrap-distance-right:0" id="docshape3" coordorigin="1440,237" coordsize="9360,0" path="m1440,237l10800,237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3"/>
        </w:sectPr>
      </w:pPr>
    </w:p>
    <w:p>
      <w:pPr>
        <w:pStyle w:val="BodyText"/>
        <w:spacing w:line="244" w:lineRule="auto" w:before="101"/>
        <w:ind w:left="119" w:right="38" w:firstLine="480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2006,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American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Journal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Psychiatry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pub- lished an editorial ‘Are we still talking to our patients 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schizophrenia?’</w:t>
      </w:r>
      <w:r>
        <w:rPr>
          <w:color w:val="231F20"/>
          <w:w w:val="105"/>
          <w:position w:val="6"/>
          <w:sz w:val="10"/>
        </w:rPr>
        <w:t>1</w:t>
      </w:r>
      <w:r>
        <w:rPr>
          <w:color w:val="231F20"/>
          <w:spacing w:val="18"/>
          <w:w w:val="105"/>
          <w:position w:val="6"/>
          <w:sz w:val="10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review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article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 cognitive therapy for schizophrenia.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supported en- gaging in direct discussions with people experiencing psychosis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said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believed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government or their neighbours were conspiring against them or what exactly the voices they heard were saying. </w:t>
      </w:r>
      <w:r>
        <w:rPr>
          <w:color w:val="231F20"/>
          <w:w w:val="105"/>
        </w:rPr>
        <w:t>Evidence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skilled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intervention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psycho- 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exploration,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formulation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discussion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  <w:position w:val="6"/>
          <w:sz w:val="10"/>
        </w:rPr>
        <w:t>2,3</w:t>
      </w:r>
      <w:r>
        <w:rPr>
          <w:color w:val="231F20"/>
          <w:spacing w:val="12"/>
          <w:w w:val="105"/>
          <w:position w:val="6"/>
          <w:sz w:val="10"/>
        </w:rPr>
        <w:t> </w:t>
      </w:r>
      <w:r>
        <w:rPr>
          <w:color w:val="231F20"/>
          <w:w w:val="105"/>
        </w:rPr>
        <w:t>and this has been reinforced in the recently revised NICE </w:t>
      </w:r>
      <w:r>
        <w:rPr>
          <w:color w:val="231F20"/>
          <w:spacing w:val="-2"/>
          <w:w w:val="105"/>
        </w:rPr>
        <w:t>guidelines</w:t>
      </w:r>
      <w:r>
        <w:rPr>
          <w:color w:val="231F20"/>
          <w:spacing w:val="-2"/>
          <w:w w:val="105"/>
          <w:position w:val="6"/>
          <w:sz w:val="10"/>
        </w:rPr>
        <w:t>4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44" w:lineRule="auto" w:before="118"/>
        <w:ind w:left="119" w:right="38" w:firstLine="480"/>
      </w:pPr>
      <w:r>
        <w:rPr>
          <w:color w:val="231F20"/>
        </w:rPr>
        <w:t>However,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techniques</w:t>
      </w:r>
      <w:r>
        <w:rPr>
          <w:color w:val="231F20"/>
          <w:spacing w:val="-4"/>
        </w:rPr>
        <w:t> </w:t>
      </w:r>
      <w:r>
        <w:rPr>
          <w:color w:val="231F20"/>
        </w:rPr>
        <w:t>developed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UK</w:t>
      </w:r>
      <w:r>
        <w:rPr>
          <w:color w:val="231F20"/>
          <w:spacing w:val="-4"/>
        </w:rPr>
        <w:t> </w:t>
      </w:r>
      <w:r>
        <w:rPr>
          <w:color w:val="231F20"/>
        </w:rPr>
        <w:t>with predominantly white patients work elsewhere - in the</w:t>
      </w:r>
      <w:r>
        <w:rPr>
          <w:color w:val="231F20"/>
          <w:spacing w:val="40"/>
        </w:rPr>
        <w:t> </w:t>
      </w:r>
      <w:r>
        <w:rPr>
          <w:color w:val="231F20"/>
        </w:rPr>
        <w:t>US, China, or Pakistan?</w:t>
      </w:r>
      <w:r>
        <w:rPr>
          <w:color w:val="231F20"/>
          <w:spacing w:val="80"/>
        </w:rPr>
        <w:t> </w:t>
      </w:r>
      <w:r>
        <w:rPr>
          <w:color w:val="231F20"/>
        </w:rPr>
        <w:t>How important is cultural influ- ence on psychological intervention?</w:t>
      </w:r>
      <w:r>
        <w:rPr>
          <w:color w:val="231F20"/>
          <w:spacing w:val="40"/>
        </w:rPr>
        <w:t> </w:t>
      </w:r>
      <w:r>
        <w:rPr>
          <w:color w:val="231F20"/>
        </w:rPr>
        <w:t>In the UK, it has emerged that people from black &amp; minority ethnic com- munities have not been doing as well with CBT as white patients</w:t>
      </w:r>
      <w:r>
        <w:rPr>
          <w:color w:val="231F20"/>
          <w:position w:val="6"/>
          <w:sz w:val="10"/>
        </w:rPr>
        <w:t>5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In Pakistan, evidence has also emerged that simply applying unmodified CBT in depression can lead to high drop-out rates and poor response </w:t>
      </w:r>
      <w:r>
        <w:rPr>
          <w:color w:val="231F20"/>
          <w:position w:val="6"/>
          <w:sz w:val="10"/>
        </w:rPr>
        <w:t>6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Successful modification is possible </w:t>
      </w:r>
      <w:r>
        <w:rPr>
          <w:color w:val="231F20"/>
          <w:position w:val="6"/>
          <w:sz w:val="10"/>
        </w:rPr>
        <w:t>7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but requires due attention to cultural factors. These factors can be advantageous, e.g. much greater involvement of families, as well as compli- cating,</w:t>
      </w:r>
      <w:r>
        <w:rPr>
          <w:color w:val="231F20"/>
          <w:spacing w:val="-2"/>
        </w:rPr>
        <w:t> </w:t>
      </w:r>
      <w:r>
        <w:rPr>
          <w:color w:val="231F20"/>
        </w:rPr>
        <w:t>e.g.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fully</w:t>
      </w:r>
      <w:r>
        <w:rPr>
          <w:color w:val="231F20"/>
          <w:spacing w:val="-2"/>
        </w:rPr>
        <w:t> </w:t>
      </w:r>
      <w:r>
        <w:rPr>
          <w:color w:val="231F20"/>
        </w:rPr>
        <w:t>collaborative</w:t>
      </w:r>
      <w:r>
        <w:rPr>
          <w:color w:val="231F20"/>
          <w:spacing w:val="-2"/>
        </w:rPr>
        <w:t> </w:t>
      </w:r>
      <w:r>
        <w:rPr>
          <w:color w:val="231F20"/>
        </w:rPr>
        <w:t>thera- peutic relationship.</w:t>
      </w:r>
      <w:r>
        <w:rPr>
          <w:color w:val="231F20"/>
          <w:spacing w:val="40"/>
        </w:rPr>
        <w:t> </w:t>
      </w:r>
      <w:r>
        <w:rPr>
          <w:color w:val="231F20"/>
        </w:rPr>
        <w:t>Similarly work with Black &amp; Ethnic Minority (BME) groups in the UK has shown that routes to services and models of psychosis differ and influence intervention</w:t>
      </w:r>
      <w:r>
        <w:rPr>
          <w:color w:val="231F20"/>
          <w:position w:val="6"/>
          <w:sz w:val="10"/>
        </w:rPr>
        <w:t>8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Style of interaction also seems important, for</w:t>
      </w:r>
      <w:r>
        <w:rPr>
          <w:color w:val="231F20"/>
          <w:spacing w:val="-1"/>
        </w:rPr>
        <w:t> </w:t>
      </w:r>
      <w:r>
        <w:rPr>
          <w:color w:val="231F20"/>
        </w:rPr>
        <w:t>example,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very</w:t>
      </w:r>
      <w:r>
        <w:rPr>
          <w:color w:val="231F20"/>
          <w:spacing w:val="-1"/>
        </w:rPr>
        <w:t> </w:t>
      </w:r>
      <w:r>
        <w:rPr>
          <w:color w:val="231F20"/>
        </w:rPr>
        <w:t>differing</w:t>
      </w:r>
      <w:r>
        <w:rPr>
          <w:color w:val="231F20"/>
          <w:spacing w:val="-1"/>
        </w:rPr>
        <w:t> </w:t>
      </w:r>
      <w:r>
        <w:rPr>
          <w:color w:val="231F20"/>
        </w:rPr>
        <w:t>expectations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therapist self-disclosure between the two groups studied – Black African/African-Caribbean &amp; South East Asian Muslim. Self-disclosure was expected by the former but not the </w:t>
      </w:r>
      <w:r>
        <w:rPr>
          <w:color w:val="231F20"/>
          <w:spacing w:val="-2"/>
        </w:rPr>
        <w:t>later.</w:t>
      </w:r>
    </w:p>
    <w:p>
      <w:pPr>
        <w:pStyle w:val="BodyText"/>
        <w:spacing w:before="1"/>
        <w:ind w:left="0"/>
        <w:jc w:val="left"/>
        <w:rPr>
          <w:sz w:val="27"/>
        </w:rPr>
      </w:pPr>
      <w:r>
        <w:rPr/>
        <w:pict>
          <v:group style="position:absolute;margin-left:72pt;margin-top:17.469229pt;width:225pt;height:121pt;mso-position-horizontal-relative:page;mso-position-vertical-relative:paragraph;z-index:-15727616;mso-wrap-distance-left:0;mso-wrap-distance-right:0" id="docshapegroup4" coordorigin="1440,349" coordsize="4500,2420">
            <v:shape style="position:absolute;left:1444;top:354;width:4491;height:2411" id="docshape5" coordorigin="1445,354" coordsize="4491,2411" path="m1549,458l1604,413,1664,380,1729,361,1800,354,5580,354,5651,361,5716,380,5776,413,5831,458,5877,513,5909,573,5929,639,5935,709,5935,2409,5929,2480,5909,2546,5877,2606,5831,2661,5776,2706,5716,2739,5651,2758,5580,2765,1800,2765,1729,2758,1664,2739,1604,2706,1549,2661,1503,2606,1471,2546,1451,2480,1445,2409,1445,709,1451,639,1471,573,1503,513,1549,458xe" filled="false" stroked="true" strokeweight=".48pt" strokecolor="#231f20">
              <v:path arrowok="t"/>
              <v:stroke dashstyle="solid"/>
            </v:shape>
            <v:shape style="position:absolute;left:1440;top:349;width:4500;height:2420" type="#_x0000_t202" id="docshape6" filled="false" stroked="false">
              <v:textbox inset="0,0,0,0">
                <w:txbxContent>
                  <w:p>
                    <w:pPr>
                      <w:spacing w:line="249" w:lineRule="auto" w:before="122"/>
                      <w:ind w:left="240" w:right="233" w:firstLine="0"/>
                      <w:jc w:val="both"/>
                      <w:rPr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sz w:val="16"/>
                      </w:rPr>
                      <w:t>David Kingdon </w:t>
                    </w:r>
                    <w:r>
                      <w:rPr>
                        <w:color w:val="231F20"/>
                        <w:sz w:val="16"/>
                      </w:rPr>
                      <w:t>is Professor of Mental Health Care De- livery at the University of Southampton, UK. He is inter- nationally</w:t>
                    </w:r>
                    <w:r>
                      <w:rPr>
                        <w:color w:val="231F20"/>
                        <w:spacing w:val="40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recognized</w:t>
                    </w:r>
                    <w:r>
                      <w:rPr>
                        <w:color w:val="231F20"/>
                        <w:spacing w:val="40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for</w:t>
                    </w:r>
                    <w:r>
                      <w:rPr>
                        <w:color w:val="231F20"/>
                        <w:spacing w:val="40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developing</w:t>
                    </w:r>
                    <w:r>
                      <w:rPr>
                        <w:color w:val="231F20"/>
                        <w:spacing w:val="40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CBT</w:t>
                    </w:r>
                    <w:r>
                      <w:rPr>
                        <w:color w:val="231F20"/>
                        <w:spacing w:val="40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techniques for Psychotic patients. He has been a member of the Department of Health National Service Framework for Mental Health External Reference Group and is cur-</w:t>
                    </w:r>
                    <w:r>
                      <w:rPr>
                        <w:color w:val="231F20"/>
                        <w:spacing w:val="40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rently part of the group examining the Role of the Psychiatrist. He has guided research work leading to adaptation of CBT in Pakistan and for ethnic minorities</w:t>
                    </w:r>
                    <w:r>
                      <w:rPr>
                        <w:color w:val="231F20"/>
                        <w:spacing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in England. He has published over 100 papers, written many chapters and five books.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45"/>
        <w:ind w:left="120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color w:val="231F20"/>
          <w:spacing w:val="-2"/>
          <w:sz w:val="16"/>
        </w:rPr>
        <w:t>Correspondence:</w:t>
      </w:r>
    </w:p>
    <w:p>
      <w:pPr>
        <w:spacing w:line="249" w:lineRule="auto" w:before="66"/>
        <w:ind w:left="120" w:right="38" w:firstLine="0"/>
        <w:jc w:val="both"/>
        <w:rPr>
          <w:sz w:val="16"/>
        </w:rPr>
      </w:pPr>
      <w:r>
        <w:rPr>
          <w:rFonts w:ascii="Tahoma"/>
          <w:b/>
          <w:color w:val="231F20"/>
          <w:sz w:val="16"/>
        </w:rPr>
        <w:t>Prof. David Kingdon</w:t>
      </w:r>
      <w:r>
        <w:rPr>
          <w:color w:val="231F20"/>
          <w:sz w:val="16"/>
        </w:rPr>
        <w:t>, Professor of Mental Health Care Deliv- ery, University of Southampton, Royal South Hants Hospital, Southampton UK.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E-mail: </w:t>
      </w:r>
      <w:hyperlink r:id="rId6">
        <w:r>
          <w:rPr>
            <w:color w:val="231F20"/>
            <w:sz w:val="16"/>
          </w:rPr>
          <w:t>dgk@soton.ac.uk.</w:t>
        </w:r>
      </w:hyperlink>
    </w:p>
    <w:p>
      <w:pPr>
        <w:pStyle w:val="BodyText"/>
        <w:spacing w:line="244" w:lineRule="auto" w:before="101"/>
        <w:ind w:left="119" w:right="120" w:firstLine="480"/>
      </w:pPr>
      <w:r>
        <w:rPr/>
        <w:br w:type="column"/>
      </w:r>
      <w:r>
        <w:rPr>
          <w:color w:val="231F20"/>
        </w:rPr>
        <w:t>But how we talk and succeed in communicating goes beyond cultural issues. Stigmatisation and discrimi- nation seriously affect people who are making recover- ies from mental illnesses.</w:t>
      </w:r>
      <w:r>
        <w:rPr>
          <w:color w:val="231F20"/>
          <w:spacing w:val="40"/>
        </w:rPr>
        <w:t> </w:t>
      </w:r>
      <w:r>
        <w:rPr>
          <w:color w:val="231F20"/>
        </w:rPr>
        <w:t>We are trying to </w:t>
      </w:r>
      <w:r>
        <w:rPr>
          <w:color w:val="231F20"/>
        </w:rPr>
        <w:t>convince people that it is ‘Time-to-Change’ but are we communi- cating clearly what we want them to change to?</w:t>
      </w:r>
      <w:r>
        <w:rPr>
          <w:color w:val="231F20"/>
          <w:spacing w:val="80"/>
        </w:rPr>
        <w:t> </w:t>
      </w:r>
      <w:r>
        <w:rPr>
          <w:color w:val="231F20"/>
        </w:rPr>
        <w:t>Cur- rently the way we talk about mental health issues may</w:t>
      </w:r>
      <w:r>
        <w:rPr>
          <w:color w:val="231F20"/>
          <w:spacing w:val="40"/>
        </w:rPr>
        <w:t> </w:t>
      </w:r>
      <w:r>
        <w:rPr>
          <w:color w:val="231F20"/>
        </w:rPr>
        <w:t>be increasing confusion and discrimination.</w:t>
      </w:r>
      <w:r>
        <w:rPr>
          <w:color w:val="231F20"/>
          <w:spacing w:val="40"/>
        </w:rPr>
        <w:t> </w:t>
      </w:r>
      <w:r>
        <w:rPr>
          <w:color w:val="231F20"/>
        </w:rPr>
        <w:t>We use</w:t>
      </w:r>
      <w:r>
        <w:rPr>
          <w:color w:val="231F20"/>
          <w:spacing w:val="40"/>
        </w:rPr>
        <w:t> </w:t>
      </w:r>
      <w:r>
        <w:rPr>
          <w:color w:val="231F20"/>
        </w:rPr>
        <w:t>terms like schizophrenia which are stigmatising through</w:t>
      </w:r>
      <w:r>
        <w:rPr>
          <w:color w:val="231F20"/>
          <w:spacing w:val="40"/>
        </w:rPr>
        <w:t> </w:t>
      </w:r>
      <w:r>
        <w:rPr>
          <w:color w:val="231F20"/>
        </w:rPr>
        <w:t>its erroneous associations and intensely disliked by most of those to whom the term is given</w:t>
      </w:r>
      <w:r>
        <w:rPr>
          <w:color w:val="231F20"/>
          <w:position w:val="6"/>
          <w:sz w:val="10"/>
        </w:rPr>
        <w:t>9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‘Personality disor- der’ is no better: over-generalising, arguably insulting</w:t>
      </w:r>
      <w:r>
        <w:rPr>
          <w:color w:val="231F20"/>
          <w:spacing w:val="40"/>
        </w:rPr>
        <w:t> </w:t>
      </w:r>
      <w:r>
        <w:rPr>
          <w:color w:val="231F20"/>
        </w:rPr>
        <w:t>and degrading to people who have often suffered ap- palling trauma and distress in their lives. It is not a useful term in clinical practice, rarely used directly with pa- tients.</w:t>
      </w:r>
      <w:r>
        <w:rPr>
          <w:color w:val="231F20"/>
          <w:spacing w:val="40"/>
        </w:rPr>
        <w:t> </w:t>
      </w:r>
      <w:r>
        <w:rPr>
          <w:color w:val="231F20"/>
        </w:rPr>
        <w:t>Even anxiety and depression are used in ways which confuse – is depression a mental illness or a nor- mal reaction?</w:t>
      </w:r>
    </w:p>
    <w:p>
      <w:pPr>
        <w:pStyle w:val="BodyText"/>
        <w:spacing w:line="244" w:lineRule="auto" w:before="75"/>
        <w:ind w:right="116" w:firstLine="480"/>
      </w:pPr>
      <w:r>
        <w:rPr>
          <w:color w:val="231F20"/>
          <w:w w:val="105"/>
        </w:rPr>
        <w:t>One conclusion coming from a session on ‘Drop Schizophrenia?’ at the 2009 Annual Conference of the American Psychiatric Association and from a debate in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British</w:t>
      </w:r>
      <w:r>
        <w:rPr>
          <w:color w:val="231F20"/>
          <w:spacing w:val="-2"/>
        </w:rPr>
        <w:t> </w:t>
      </w:r>
      <w:r>
        <w:rPr>
          <w:color w:val="231F20"/>
        </w:rPr>
        <w:t>Journal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Psychiatry</w:t>
      </w:r>
      <w:r>
        <w:rPr>
          <w:color w:val="231F20"/>
          <w:position w:val="6"/>
          <w:sz w:val="10"/>
        </w:rPr>
        <w:t>10</w:t>
      </w:r>
      <w:r>
        <w:rPr>
          <w:color w:val="231F20"/>
          <w:spacing w:val="18"/>
          <w:position w:val="6"/>
          <w:sz w:val="10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need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work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services,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 also the general public, to develop terms for the new revisions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ICD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&amp;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DSM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acceptable 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them.</w:t>
      </w:r>
    </w:p>
    <w:p>
      <w:pPr>
        <w:pStyle w:val="BodyText"/>
        <w:spacing w:line="244" w:lineRule="auto" w:before="82"/>
        <w:ind w:right="117" w:firstLine="480"/>
      </w:pPr>
      <w:r>
        <w:rPr>
          <w:color w:val="231F20"/>
        </w:rPr>
        <w:t>We have been making the case for ‘the schizo- phrenias’ to be replaced by early-onset (‘stress-sensi- tivity’), late-onset (‘anxiety-precipitated’), drug-related and traumatic</w:t>
      </w:r>
      <w:r>
        <w:rPr>
          <w:color w:val="231F20"/>
          <w:spacing w:val="37"/>
        </w:rPr>
        <w:t> </w:t>
      </w:r>
      <w:r>
        <w:rPr>
          <w:color w:val="231F20"/>
        </w:rPr>
        <w:t>psychosis</w:t>
      </w:r>
      <w:r>
        <w:rPr>
          <w:color w:val="231F20"/>
          <w:spacing w:val="40"/>
        </w:rPr>
        <w:t> </w:t>
      </w:r>
      <w:r>
        <w:rPr>
          <w:color w:val="231F20"/>
          <w:position w:val="6"/>
          <w:sz w:val="10"/>
        </w:rPr>
        <w:t>9</w:t>
      </w:r>
      <w:r>
        <w:rPr>
          <w:color w:val="231F20"/>
        </w:rPr>
        <w:t>.</w:t>
      </w:r>
      <w:r>
        <w:rPr>
          <w:color w:val="231F20"/>
          <w:spacing w:val="37"/>
        </w:rPr>
        <w:t> </w:t>
      </w:r>
      <w:r>
        <w:rPr>
          <w:color w:val="231F20"/>
        </w:rPr>
        <w:t>Kraepelin divided early</w:t>
      </w:r>
      <w:r>
        <w:rPr>
          <w:color w:val="231F20"/>
          <w:spacing w:val="37"/>
        </w:rPr>
        <w:t> </w:t>
      </w:r>
      <w:r>
        <w:rPr>
          <w:color w:val="231F20"/>
        </w:rPr>
        <w:t>on- set schizophrenia from the late onset paranoid disor-</w:t>
      </w:r>
      <w:r>
        <w:rPr>
          <w:color w:val="231F20"/>
          <w:spacing w:val="80"/>
        </w:rPr>
        <w:t> </w:t>
      </w:r>
      <w:r>
        <w:rPr>
          <w:color w:val="231F20"/>
        </w:rPr>
        <w:t>ders but this distinction appears to have survived only in division of schizophrenia from delusional disorders.</w:t>
      </w:r>
      <w:r>
        <w:rPr>
          <w:color w:val="231F20"/>
          <w:spacing w:val="40"/>
        </w:rPr>
        <w:t> </w:t>
      </w:r>
      <w:r>
        <w:rPr>
          <w:color w:val="231F20"/>
        </w:rPr>
        <w:t>There is evidence to support ‘stress-sensitivity’ as being important in early schizophrenia possibly related to criti- cism or bullying in relatively shy or schizoid individuals. With later onset, personal relationships have developed but</w:t>
      </w:r>
      <w:r>
        <w:rPr>
          <w:color w:val="231F20"/>
          <w:spacing w:val="-7"/>
        </w:rPr>
        <w:t> </w:t>
      </w:r>
      <w:r>
        <w:rPr>
          <w:color w:val="231F20"/>
        </w:rPr>
        <w:t>anxiety</w:t>
      </w:r>
      <w:r>
        <w:rPr>
          <w:color w:val="231F20"/>
          <w:spacing w:val="-7"/>
        </w:rPr>
        <w:t> </w:t>
      </w:r>
      <w:r>
        <w:rPr>
          <w:color w:val="231F20"/>
        </w:rPr>
        <w:t>symptoms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misinterpreted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delusionally,</w:t>
      </w:r>
    </w:p>
    <w:p>
      <w:pPr>
        <w:pStyle w:val="BodyText"/>
        <w:spacing w:line="244" w:lineRule="auto"/>
        <w:ind w:right="115"/>
      </w:pPr>
      <w:r>
        <w:rPr>
          <w:color w:val="231F20"/>
        </w:rPr>
        <w:t>e.g. stomach pains could be misperceived as poisoning</w:t>
      </w:r>
      <w:r>
        <w:rPr>
          <w:color w:val="231F20"/>
          <w:spacing w:val="80"/>
        </w:rPr>
        <w:t> </w:t>
      </w:r>
      <w:r>
        <w:rPr>
          <w:color w:val="231F20"/>
        </w:rPr>
        <w:t>or criticism at work as conspiracy, and systematised into broad self-perpetuating ‘explanations’.</w:t>
      </w:r>
      <w:r>
        <w:rPr>
          <w:color w:val="231F20"/>
          <w:spacing w:val="40"/>
        </w:rPr>
        <w:t> </w:t>
      </w:r>
      <w:r>
        <w:rPr>
          <w:color w:val="231F20"/>
        </w:rPr>
        <w:t>There is also a group of patients who develop persistent symptoms af- ter use of stimulant or hallucinogenic drugs at the time</w:t>
      </w:r>
      <w:r>
        <w:rPr>
          <w:color w:val="231F20"/>
          <w:spacing w:val="80"/>
        </w:rPr>
        <w:t> </w:t>
      </w:r>
      <w:r>
        <w:rPr>
          <w:color w:val="231F20"/>
        </w:rPr>
        <w:t>of their first psychotic episode.</w:t>
      </w:r>
      <w:r>
        <w:rPr>
          <w:color w:val="231F20"/>
          <w:spacing w:val="40"/>
        </w:rPr>
        <w:t> </w:t>
      </w:r>
      <w:r>
        <w:rPr>
          <w:color w:val="231F20"/>
        </w:rPr>
        <w:t>This group differs to</w:t>
      </w:r>
      <w:r>
        <w:rPr>
          <w:color w:val="231F20"/>
          <w:spacing w:val="40"/>
        </w:rPr>
        <w:t> </w:t>
      </w:r>
      <w:r>
        <w:rPr>
          <w:color w:val="231F20"/>
        </w:rPr>
        <w:t>some extent from the ‘stress-sensitive’ group in being more sociable with more prominent positive and less negative symptoms. Lastly trauma in childhood in the form of physical, sexual or emotional abuse occurs in some</w:t>
      </w:r>
      <w:r>
        <w:rPr>
          <w:color w:val="231F20"/>
          <w:spacing w:val="40"/>
        </w:rPr>
        <w:t> </w:t>
      </w:r>
      <w:r>
        <w:rPr>
          <w:color w:val="231F20"/>
        </w:rPr>
        <w:t>patients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diagnosis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schizophrenia</w:t>
      </w:r>
      <w:r>
        <w:rPr>
          <w:color w:val="231F20"/>
          <w:spacing w:val="40"/>
        </w:rPr>
        <w:t> </w:t>
      </w:r>
      <w:r>
        <w:rPr>
          <w:color w:val="231F20"/>
        </w:rPr>
        <w:t>and the term ‘traumatic’ psychosis can be helpful in defining the relevant problems that require psychological work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5" w:space="193"/>
            <w:col w:w="4742"/>
          </w:cols>
        </w:sectPr>
      </w:pPr>
    </w:p>
    <w:p>
      <w:pPr>
        <w:pStyle w:val="BodyText"/>
        <w:spacing w:line="244" w:lineRule="auto" w:before="95"/>
        <w:ind w:left="119" w:right="46" w:firstLine="480"/>
      </w:pPr>
      <w:r>
        <w:rPr>
          <w:color w:val="231F20"/>
          <w:w w:val="105"/>
        </w:rPr>
        <w:t>We have also suggested substituting personality disorder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PTSD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‘bor- derline’ group </w:t>
      </w:r>
      <w:r>
        <w:rPr>
          <w:color w:val="231F20"/>
          <w:w w:val="115"/>
          <w:position w:val="6"/>
          <w:sz w:val="10"/>
        </w:rPr>
        <w:t>11</w:t>
      </w:r>
      <w:r>
        <w:rPr>
          <w:color w:val="231F20"/>
          <w:spacing w:val="22"/>
          <w:w w:val="115"/>
          <w:position w:val="6"/>
          <w:sz w:val="10"/>
        </w:rPr>
        <w:t> </w:t>
      </w:r>
      <w:r>
        <w:rPr>
          <w:color w:val="231F20"/>
          <w:w w:val="105"/>
        </w:rPr>
        <w:t>as Personality Disorder is a much mis- used term and over-inclusive. Depression also is broad and confusing: CBT studies in this area are suggesting 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sub-division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helpful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catego- </w:t>
      </w:r>
      <w:r>
        <w:rPr>
          <w:color w:val="231F20"/>
        </w:rPr>
        <w:t>ries. ‘Social’ depression where overwhelming life events </w:t>
      </w:r>
      <w:r>
        <w:rPr>
          <w:color w:val="231F20"/>
          <w:w w:val="105"/>
        </w:rPr>
        <w:t>have occurred, requiring a problem-solving and short- term</w:t>
      </w:r>
      <w:r>
        <w:rPr>
          <w:color w:val="231F20"/>
          <w:w w:val="105"/>
        </w:rPr>
        <w:t> supportive</w:t>
      </w:r>
      <w:r>
        <w:rPr>
          <w:color w:val="231F20"/>
          <w:w w:val="105"/>
        </w:rPr>
        <w:t> response:</w:t>
      </w:r>
      <w:r>
        <w:rPr>
          <w:color w:val="231F20"/>
          <w:w w:val="105"/>
        </w:rPr>
        <w:t> ‘Perfectionist’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depressed patients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failing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</w:rPr>
        <w:t>some way become self-blaming and depressed with per- </w:t>
      </w:r>
      <w:r>
        <w:rPr>
          <w:color w:val="231F20"/>
          <w:w w:val="105"/>
        </w:rPr>
        <w:t>sistent negative beliefs about themselves:</w:t>
      </w:r>
    </w:p>
    <w:p>
      <w:pPr>
        <w:pStyle w:val="BodyText"/>
        <w:spacing w:line="244" w:lineRule="auto" w:before="76"/>
        <w:ind w:right="45" w:firstLine="480"/>
      </w:pPr>
      <w:r>
        <w:rPr>
          <w:color w:val="231F20"/>
        </w:rPr>
        <w:t>Whereas the dependent group have lost supports which they need to cope and become anxious, de- pressed and ‘needy’.</w:t>
      </w:r>
      <w:r>
        <w:rPr>
          <w:color w:val="231F20"/>
          <w:spacing w:val="40"/>
        </w:rPr>
        <w:t> </w:t>
      </w:r>
      <w:r>
        <w:rPr>
          <w:color w:val="231F20"/>
        </w:rPr>
        <w:t>Work focuses on developing cop- ing, relationship and life skills</w:t>
      </w:r>
      <w:r>
        <w:rPr>
          <w:color w:val="231F20"/>
          <w:position w:val="6"/>
          <w:sz w:val="10"/>
        </w:rPr>
        <w:t>12</w:t>
      </w:r>
      <w:r>
        <w:rPr>
          <w:color w:val="231F20"/>
        </w:rPr>
        <w:t>.</w:t>
      </w:r>
      <w:r>
        <w:rPr>
          <w:color w:val="231F20"/>
          <w:spacing w:val="39"/>
        </w:rPr>
        <w:t> </w:t>
      </w:r>
      <w:r>
        <w:rPr>
          <w:color w:val="231F20"/>
        </w:rPr>
        <w:t>Maybe these terms can be useful or maybe not – there may be alternative con- cepts and terminology which are more acceptable and valid but at least we need to start the discussion.</w:t>
      </w:r>
    </w:p>
    <w:p>
      <w:pPr>
        <w:pStyle w:val="BodyText"/>
        <w:spacing w:line="244" w:lineRule="auto" w:before="82"/>
        <w:ind w:right="38" w:firstLine="480"/>
      </w:pPr>
      <w:r>
        <w:rPr>
          <w:color w:val="231F20"/>
          <w:w w:val="105"/>
        </w:rPr>
        <w:t>Explanations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clarified using widely-accepted normalising vulnerability-stress models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  <w:position w:val="6"/>
          <w:sz w:val="10"/>
        </w:rPr>
        <w:t>13</w:t>
      </w:r>
      <w:r>
        <w:rPr>
          <w:color w:val="231F20"/>
          <w:spacing w:val="40"/>
          <w:w w:val="105"/>
          <w:position w:val="6"/>
          <w:sz w:val="10"/>
        </w:rPr>
        <w:t> </w:t>
      </w:r>
      <w:r>
        <w:rPr>
          <w:color w:val="231F20"/>
          <w:w w:val="105"/>
        </w:rPr>
        <w:t>‘We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stressed,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react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differently’: some get anxious, some depressed, and others drink too much, work too hard or get confused. Responses differ</w:t>
      </w:r>
      <w:r>
        <w:rPr>
          <w:color w:val="231F20"/>
          <w:w w:val="105"/>
        </w:rPr>
        <w:t> according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temperament,</w:t>
      </w:r>
      <w:r>
        <w:rPr>
          <w:color w:val="231F20"/>
          <w:w w:val="105"/>
        </w:rPr>
        <w:t> genetics,</w:t>
      </w:r>
      <w:r>
        <w:rPr>
          <w:color w:val="231F20"/>
          <w:w w:val="105"/>
        </w:rPr>
        <w:t> previous </w:t>
      </w:r>
      <w:r>
        <w:rPr>
          <w:color w:val="231F20"/>
          <w:spacing w:val="11"/>
          <w:w w:val="105"/>
        </w:rPr>
        <w:t>experiences,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10"/>
          <w:w w:val="105"/>
        </w:rPr>
        <w:t>available</w:t>
      </w:r>
      <w:r>
        <w:rPr>
          <w:color w:val="231F20"/>
          <w:spacing w:val="10"/>
          <w:w w:val="105"/>
        </w:rPr>
        <w:t> supports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type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of stress: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broadly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experience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involves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 </w:t>
      </w:r>
      <w:r>
        <w:rPr>
          <w:color w:val="231F20"/>
          <w:spacing w:val="-2"/>
          <w:w w:val="105"/>
        </w:rPr>
        <w:t>threat.</w:t>
      </w:r>
    </w:p>
    <w:p>
      <w:pPr>
        <w:pStyle w:val="BodyText"/>
        <w:spacing w:line="244" w:lineRule="auto" w:before="78"/>
        <w:ind w:right="48" w:firstLine="480"/>
      </w:pPr>
      <w:r>
        <w:rPr>
          <w:color w:val="231F20"/>
          <w:w w:val="105"/>
        </w:rPr>
        <w:t>Mental symptoms are rather like physical ones. 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physical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symptoms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cold,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flu,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cut,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get</w:t>
      </w:r>
      <w:r>
        <w:rPr>
          <w:color w:val="231F20"/>
          <w:spacing w:val="-8"/>
        </w:rPr>
        <w:t> </w:t>
      </w:r>
      <w:r>
        <w:rPr>
          <w:color w:val="231F20"/>
        </w:rPr>
        <w:t>mental</w:t>
      </w:r>
      <w:r>
        <w:rPr>
          <w:color w:val="231F20"/>
          <w:spacing w:val="-8"/>
        </w:rPr>
        <w:t> </w:t>
      </w:r>
      <w:r>
        <w:rPr>
          <w:color w:val="231F20"/>
        </w:rPr>
        <w:t>symptoms</w:t>
      </w:r>
      <w:r>
        <w:rPr>
          <w:color w:val="231F20"/>
          <w:spacing w:val="-8"/>
        </w:rPr>
        <w:t> </w:t>
      </w:r>
      <w:r>
        <w:rPr>
          <w:color w:val="231F20"/>
        </w:rPr>
        <w:t>–</w:t>
      </w:r>
      <w:r>
        <w:rPr>
          <w:color w:val="231F20"/>
          <w:spacing w:val="-8"/>
        </w:rPr>
        <w:t> </w:t>
      </w:r>
      <w:r>
        <w:rPr>
          <w:color w:val="231F20"/>
        </w:rPr>
        <w:t>anxious,</w:t>
      </w:r>
      <w:r>
        <w:rPr>
          <w:color w:val="231F20"/>
          <w:spacing w:val="-8"/>
        </w:rPr>
        <w:t> </w:t>
      </w:r>
      <w:r>
        <w:rPr>
          <w:color w:val="231F20"/>
        </w:rPr>
        <w:t>distressed,</w:t>
      </w:r>
      <w:r>
        <w:rPr>
          <w:color w:val="231F20"/>
          <w:spacing w:val="-8"/>
        </w:rPr>
        <w:t> </w:t>
      </w:r>
      <w:r>
        <w:rPr>
          <w:color w:val="231F20"/>
        </w:rPr>
        <w:t>fright- </w:t>
      </w:r>
      <w:r>
        <w:rPr>
          <w:color w:val="231F20"/>
          <w:w w:val="105"/>
        </w:rPr>
        <w:t>ened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depressed.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transient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get </w:t>
      </w:r>
      <w:r>
        <w:rPr>
          <w:color w:val="231F20"/>
        </w:rPr>
        <w:t>on with life: sometimes we make adjustments, take time off</w:t>
      </w:r>
      <w:r>
        <w:rPr>
          <w:color w:val="231F20"/>
          <w:spacing w:val="-3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ease</w:t>
      </w:r>
      <w:r>
        <w:rPr>
          <w:color w:val="231F20"/>
          <w:spacing w:val="-3"/>
        </w:rPr>
        <w:t> </w:t>
      </w:r>
      <w:r>
        <w:rPr>
          <w:color w:val="231F20"/>
        </w:rPr>
        <w:t>back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bit.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need</w:t>
      </w:r>
      <w:r>
        <w:rPr>
          <w:color w:val="231F20"/>
          <w:spacing w:val="-3"/>
        </w:rPr>
        <w:t> </w:t>
      </w:r>
      <w:r>
        <w:rPr>
          <w:color w:val="231F20"/>
        </w:rPr>
        <w:t>help</w:t>
      </w:r>
      <w:r>
        <w:rPr>
          <w:color w:val="231F20"/>
          <w:spacing w:val="-3"/>
        </w:rPr>
        <w:t> </w:t>
      </w:r>
      <w:r>
        <w:rPr>
          <w:color w:val="231F20"/>
        </w:rPr>
        <w:t>from </w:t>
      </w:r>
      <w:r>
        <w:rPr>
          <w:color w:val="231F20"/>
          <w:w w:val="105"/>
        </w:rPr>
        <w:t>friends and family if they can offer it – or treatment in which case being described as physically or mentally ‘ill’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meaningful.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lasting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effects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physical or mental illness and be disabled by these ef- fects – permanently or temporarily.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 we should be 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expect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care,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whether these problems, illnesses or disabilities are mental or </w:t>
      </w:r>
      <w:r>
        <w:rPr>
          <w:color w:val="231F20"/>
          <w:spacing w:val="-2"/>
          <w:w w:val="105"/>
        </w:rPr>
        <w:t>physical.</w:t>
      </w:r>
    </w:p>
    <w:p>
      <w:pPr>
        <w:pStyle w:val="BodyText"/>
        <w:spacing w:line="244" w:lineRule="auto" w:before="77"/>
        <w:ind w:right="48" w:firstLine="480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talk.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clear explanatory models of mental health issues, terms ac- ceptable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communicat- ing effectively.</w:t>
      </w:r>
    </w:p>
    <w:p>
      <w:pPr>
        <w:spacing w:before="86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pacing w:val="10"/>
          <w:w w:val="115"/>
          <w:sz w:val="20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2" w:lineRule="auto" w:before="130" w:after="0"/>
        <w:ind w:left="599" w:right="121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Keith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SJ.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Are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We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Still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Talking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to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Our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Patients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With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Schizo- </w:t>
      </w:r>
      <w:r>
        <w:rPr>
          <w:color w:val="231F20"/>
          <w:w w:val="105"/>
          <w:sz w:val="17"/>
        </w:rPr>
        <w:t>phrenia? Am J Psychiatry 2006; 163:362-4.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2" w:lineRule="auto" w:before="65" w:after="0"/>
        <w:ind w:left="599" w:right="118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Kingdon DG, Turkington D. Cognitive therapy of schizo- </w:t>
      </w:r>
      <w:r>
        <w:rPr>
          <w:color w:val="231F20"/>
          <w:sz w:val="17"/>
        </w:rPr>
        <w:t>phrenia. Guilford: New York, 2005.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57" w:after="0"/>
        <w:ind w:left="599" w:right="118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Wright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J,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Turkington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D,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Kingdon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D,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Basco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M.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Cognitive </w:t>
      </w:r>
      <w:r>
        <w:rPr>
          <w:color w:val="231F20"/>
          <w:sz w:val="17"/>
        </w:rPr>
        <w:t>therapy for severe mental illness: an illustrative guide. APPI: Washington DC, 2008.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59" w:after="0"/>
        <w:ind w:left="599" w:right="124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National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Institute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for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Clinical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Excellence.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Clinical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Guide- </w:t>
      </w:r>
      <w:r>
        <w:rPr>
          <w:color w:val="231F20"/>
          <w:sz w:val="17"/>
        </w:rPr>
        <w:t>line: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Schizophrenia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(CG1).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Department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Health: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Lon- don,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2009.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59" w:after="0"/>
        <w:ind w:left="599" w:right="118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Rathod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S,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Kingdon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D,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Smith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P.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Turkington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D.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Insight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into </w:t>
      </w:r>
      <w:r>
        <w:rPr>
          <w:color w:val="231F20"/>
          <w:w w:val="105"/>
          <w:sz w:val="17"/>
        </w:rPr>
        <w:t>schizophrenia: the effects of cognitive behavioural </w:t>
      </w:r>
      <w:r>
        <w:rPr>
          <w:color w:val="231F20"/>
          <w:sz w:val="17"/>
        </w:rPr>
        <w:t>therapy on the components of insight and association with sociodemographics—data on a previously pub- </w:t>
      </w:r>
      <w:r>
        <w:rPr>
          <w:color w:val="231F20"/>
          <w:spacing w:val="-2"/>
          <w:w w:val="105"/>
          <w:sz w:val="17"/>
        </w:rPr>
        <w:t>lished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randomised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controlled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trial.</w:t>
      </w:r>
      <w:r>
        <w:rPr>
          <w:color w:val="231F20"/>
          <w:spacing w:val="22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Schizophrenia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Res </w:t>
      </w:r>
      <w:r>
        <w:rPr>
          <w:color w:val="231F20"/>
          <w:w w:val="105"/>
          <w:sz w:val="17"/>
        </w:rPr>
        <w:t>2005;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74: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211-9.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4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Naeem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F,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Waheed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W,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Gobbi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M,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Ayub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M,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Kingdon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D. Development and preliminary evaluation of a cul- turally sensitive CBT for depression in Pakistan: Findings from Developing Culturally-Sensitive CBT Project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(DCCP).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Behav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Cogn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Psychother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2009.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(Under </w:t>
      </w:r>
      <w:r>
        <w:rPr>
          <w:color w:val="231F20"/>
          <w:spacing w:val="-2"/>
          <w:sz w:val="17"/>
        </w:rPr>
        <w:t>review).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59" w:after="0"/>
        <w:ind w:left="599" w:right="120" w:hanging="480"/>
        <w:jc w:val="both"/>
        <w:rPr>
          <w:sz w:val="17"/>
        </w:rPr>
      </w:pPr>
      <w:r>
        <w:rPr>
          <w:color w:val="231F20"/>
          <w:w w:val="105"/>
          <w:sz w:val="17"/>
        </w:rPr>
        <w:t>Rahman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A,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Malik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A,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Sikander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S,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Roberts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C,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Creed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F. </w:t>
      </w:r>
      <w:r>
        <w:rPr>
          <w:color w:val="231F20"/>
          <w:spacing w:val="-4"/>
          <w:sz w:val="17"/>
        </w:rPr>
        <w:t>Cognitive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behaviour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therapy-based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intervention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by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com- </w:t>
      </w:r>
      <w:r>
        <w:rPr>
          <w:color w:val="231F20"/>
          <w:spacing w:val="-2"/>
          <w:sz w:val="17"/>
        </w:rPr>
        <w:t>munity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health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workers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for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mothers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with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depression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and their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infants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rural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Pakistan: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a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cluster-randomised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con- </w:t>
      </w:r>
      <w:r>
        <w:rPr>
          <w:color w:val="231F20"/>
          <w:w w:val="105"/>
          <w:sz w:val="17"/>
        </w:rPr>
        <w:t>trolled</w:t>
      </w:r>
      <w:r>
        <w:rPr>
          <w:color w:val="231F20"/>
          <w:spacing w:val="-18"/>
          <w:w w:val="105"/>
          <w:sz w:val="17"/>
        </w:rPr>
        <w:t> </w:t>
      </w:r>
      <w:r>
        <w:rPr>
          <w:color w:val="231F20"/>
          <w:w w:val="105"/>
          <w:sz w:val="17"/>
        </w:rPr>
        <w:t>trial.</w:t>
      </w:r>
      <w:r>
        <w:rPr>
          <w:color w:val="231F20"/>
          <w:spacing w:val="6"/>
          <w:w w:val="105"/>
          <w:sz w:val="17"/>
        </w:rPr>
        <w:t> </w:t>
      </w:r>
      <w:r>
        <w:rPr>
          <w:color w:val="231F20"/>
          <w:w w:val="105"/>
          <w:sz w:val="17"/>
        </w:rPr>
        <w:t>Lancet</w:t>
      </w:r>
      <w:r>
        <w:rPr>
          <w:color w:val="231F20"/>
          <w:spacing w:val="12"/>
          <w:w w:val="105"/>
          <w:sz w:val="17"/>
        </w:rPr>
        <w:t> </w:t>
      </w:r>
      <w:r>
        <w:rPr>
          <w:color w:val="231F20"/>
          <w:w w:val="105"/>
          <w:sz w:val="17"/>
        </w:rPr>
        <w:t>2008;</w:t>
      </w:r>
      <w:r>
        <w:rPr>
          <w:color w:val="231F20"/>
          <w:spacing w:val="-18"/>
          <w:w w:val="105"/>
          <w:sz w:val="17"/>
        </w:rPr>
        <w:t> </w:t>
      </w:r>
      <w:r>
        <w:rPr>
          <w:color w:val="231F20"/>
          <w:w w:val="105"/>
          <w:sz w:val="17"/>
        </w:rPr>
        <w:t>372: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w w:val="105"/>
          <w:sz w:val="17"/>
        </w:rPr>
        <w:t>902-9.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2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Rathod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S,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Phiri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P,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Gobbi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M,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Kingdon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D.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Developing </w:t>
      </w:r>
      <w:r>
        <w:rPr>
          <w:color w:val="231F20"/>
          <w:spacing w:val="-2"/>
          <w:sz w:val="17"/>
        </w:rPr>
        <w:t>Culturally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Sensitive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CBT</w:t>
      </w:r>
      <w:r>
        <w:rPr>
          <w:color w:val="231F20"/>
          <w:spacing w:val="15"/>
          <w:sz w:val="17"/>
        </w:rPr>
        <w:t> </w:t>
      </w:r>
      <w:r>
        <w:rPr>
          <w:color w:val="231F20"/>
          <w:spacing w:val="-2"/>
          <w:sz w:val="17"/>
        </w:rPr>
        <w:t>for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Psychosis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BME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communi- </w:t>
      </w:r>
      <w:r>
        <w:rPr>
          <w:color w:val="231F20"/>
          <w:w w:val="105"/>
          <w:sz w:val="17"/>
        </w:rPr>
        <w:t>ties.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Poster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Presentation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at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Royal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College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Psychia- </w:t>
      </w:r>
      <w:r>
        <w:rPr>
          <w:color w:val="231F20"/>
          <w:spacing w:val="-2"/>
          <w:w w:val="105"/>
          <w:sz w:val="17"/>
        </w:rPr>
        <w:t>trists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Annual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Meeting: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Liverpool,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2009.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112" w:hanging="480"/>
        <w:jc w:val="both"/>
        <w:rPr>
          <w:sz w:val="17"/>
        </w:rPr>
      </w:pPr>
      <w:r>
        <w:rPr>
          <w:color w:val="231F20"/>
          <w:w w:val="105"/>
          <w:sz w:val="17"/>
        </w:rPr>
        <w:t>Kingdon</w:t>
      </w:r>
      <w:r>
        <w:rPr>
          <w:color w:val="231F20"/>
          <w:w w:val="105"/>
          <w:sz w:val="17"/>
        </w:rPr>
        <w:t> D,</w:t>
      </w:r>
      <w:r>
        <w:rPr>
          <w:color w:val="231F20"/>
          <w:w w:val="105"/>
          <w:sz w:val="17"/>
        </w:rPr>
        <w:t> Gibson</w:t>
      </w:r>
      <w:r>
        <w:rPr>
          <w:color w:val="231F20"/>
          <w:w w:val="105"/>
          <w:sz w:val="17"/>
        </w:rPr>
        <w:t> A,</w:t>
      </w:r>
      <w:r>
        <w:rPr>
          <w:color w:val="231F20"/>
          <w:w w:val="105"/>
          <w:sz w:val="17"/>
        </w:rPr>
        <w:t> Kinoshita</w:t>
      </w:r>
      <w:r>
        <w:rPr>
          <w:color w:val="231F20"/>
          <w:w w:val="105"/>
          <w:sz w:val="17"/>
        </w:rPr>
        <w:t> Y,</w:t>
      </w:r>
      <w:r>
        <w:rPr>
          <w:color w:val="231F20"/>
          <w:w w:val="105"/>
          <w:sz w:val="17"/>
        </w:rPr>
        <w:t> Turkington</w:t>
      </w:r>
      <w:r>
        <w:rPr>
          <w:color w:val="231F20"/>
          <w:w w:val="105"/>
          <w:sz w:val="17"/>
        </w:rPr>
        <w:t> D, Rathod S, Morrison A. Acceptable terminology and subgroups in schizophrenia: an exploratory study. Soc.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Psychiatr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Epidemiol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2008;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43: </w:t>
      </w:r>
      <w:r>
        <w:rPr>
          <w:color w:val="231F20"/>
          <w:spacing w:val="-2"/>
          <w:w w:val="105"/>
          <w:sz w:val="17"/>
        </w:rPr>
        <w:t>239-43.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60" w:after="0"/>
        <w:ind w:left="599" w:right="115" w:hanging="480"/>
        <w:jc w:val="both"/>
        <w:rPr>
          <w:sz w:val="17"/>
        </w:rPr>
      </w:pPr>
      <w:r>
        <w:rPr>
          <w:color w:val="231F20"/>
          <w:w w:val="105"/>
          <w:sz w:val="17"/>
        </w:rPr>
        <w:t>van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Os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J.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Author’s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reply.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Br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2009;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194: </w:t>
      </w:r>
      <w:r>
        <w:rPr>
          <w:color w:val="231F20"/>
          <w:spacing w:val="-4"/>
          <w:w w:val="105"/>
          <w:sz w:val="17"/>
        </w:rPr>
        <w:t>570.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59" w:after="0"/>
        <w:ind w:left="599" w:right="119" w:hanging="480"/>
        <w:jc w:val="both"/>
        <w:rPr>
          <w:sz w:val="17"/>
        </w:rPr>
      </w:pPr>
      <w:r>
        <w:rPr>
          <w:color w:val="231F20"/>
          <w:sz w:val="17"/>
        </w:rPr>
        <w:t>Kingdon D. DSPD or ‘Don’t Stigmatise People in Dis- tress’: Invited commentary on Challenges in the treat- ment of dangerous and severe personality disorder. Adv Psychiat Treat 2007; 13: 333-5.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59" w:after="0"/>
        <w:ind w:left="599" w:right="120" w:hanging="480"/>
        <w:jc w:val="both"/>
        <w:rPr>
          <w:sz w:val="17"/>
        </w:rPr>
      </w:pPr>
      <w:r>
        <w:rPr>
          <w:color w:val="231F20"/>
          <w:w w:val="105"/>
          <w:sz w:val="17"/>
        </w:rPr>
        <w:t>Kingdon D,</w:t>
      </w:r>
      <w:r>
        <w:rPr>
          <w:color w:val="231F20"/>
          <w:w w:val="105"/>
          <w:sz w:val="17"/>
        </w:rPr>
        <w:t> Finn M. Tackling mental</w:t>
      </w:r>
      <w:r>
        <w:rPr>
          <w:color w:val="231F20"/>
          <w:w w:val="105"/>
          <w:sz w:val="17"/>
        </w:rPr>
        <w:t> health</w:t>
      </w:r>
      <w:r>
        <w:rPr>
          <w:color w:val="231F20"/>
          <w:w w:val="105"/>
          <w:sz w:val="17"/>
        </w:rPr>
        <w:t> crises. Routledge: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London,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2006.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59" w:after="0"/>
        <w:ind w:left="599" w:right="115" w:hanging="480"/>
        <w:jc w:val="both"/>
        <w:rPr>
          <w:sz w:val="17"/>
        </w:rPr>
      </w:pPr>
      <w:r>
        <w:rPr>
          <w:color w:val="231F20"/>
          <w:sz w:val="17"/>
        </w:rPr>
        <w:t>Turkington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Rathod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Siddle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Pelton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Kingdon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D. Back to life, back to normality. Cambridge University </w:t>
      </w:r>
      <w:r>
        <w:rPr>
          <w:color w:val="231F20"/>
          <w:w w:val="105"/>
          <w:sz w:val="17"/>
        </w:rPr>
        <w:t>Press: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Cambridge,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2009.</w:t>
      </w:r>
    </w:p>
    <w:sectPr>
      <w:pgSz w:w="12240" w:h="15840"/>
      <w:pgMar w:header="0" w:footer="1008" w:top="1320" w:bottom="1200" w:left="1320" w:right="1320"/>
      <w:cols w:num="2" w:equalWidth="0">
        <w:col w:w="4671" w:space="187"/>
        <w:col w:w="4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479980pt;margin-top:730.734009pt;width:12.05pt;height:12.8pt;mso-position-horizontal-relative:page;mso-position-vertical-relative:page;z-index:-1577011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w w:val="97"/>
                  </w:rPr>
                  <w:fldChar w:fldCharType="begin"/>
                </w:r>
                <w:r>
                  <w:rPr>
                    <w:color w:val="231F20"/>
                    <w:w w:val="97"/>
                  </w:rPr>
                  <w:instrText> PAGE </w:instrText>
                </w:r>
                <w:r>
                  <w:rPr>
                    <w:color w:val="231F20"/>
                    <w:w w:val="97"/>
                  </w:rPr>
                  <w:fldChar w:fldCharType="separate"/>
                </w:r>
                <w:r>
                  <w:rPr>
                    <w:color w:val="231F20"/>
                    <w:w w:val="97"/>
                  </w:rPr>
                  <w:t>3</w:t>
                </w:r>
                <w:r>
                  <w:rPr>
                    <w:color w:val="231F20"/>
                    <w:w w:val="97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9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3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20"/>
      <w:jc w:val="both"/>
    </w:pPr>
    <w:rPr>
      <w:rFonts w:ascii="Maiandra GD" w:hAnsi="Maiandra GD" w:eastAsia="Maiandra GD" w:cs="Maiandra GD"/>
      <w:sz w:val="18"/>
      <w:szCs w:val="18"/>
    </w:rPr>
  </w:style>
  <w:style w:styleId="Title" w:type="paragraph">
    <w:name w:val="Title"/>
    <w:basedOn w:val="Normal"/>
    <w:uiPriority w:val="1"/>
    <w:qFormat/>
    <w:pPr>
      <w:spacing w:before="100"/>
      <w:ind w:left="964" w:right="962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59"/>
      <w:ind w:left="599" w:right="118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gk@soton.ac.uk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8E69D9-1CA8-4841-96C2-8A319354C327}"/>
</file>

<file path=customXml/itemProps2.xml><?xml version="1.0" encoding="utf-8"?>
<ds:datastoreItem xmlns:ds="http://schemas.openxmlformats.org/officeDocument/2006/customXml" ds:itemID="{37A9911D-90EC-4C45-B280-83B3AC1E75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</dc:creator>
  <dc:title>Guest Editorial.pmd</dc:title>
  <dcterms:created xsi:type="dcterms:W3CDTF">2022-07-28T16:34:06Z</dcterms:created>
  <dcterms:modified xsi:type="dcterms:W3CDTF">2022-07-28T16:34:06Z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