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ind w:left="151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1"/>
          <w:w w:val="105"/>
        </w:rPr>
        <w:t>2007;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11"/>
          <w:w w:val="105"/>
        </w:rPr>
        <w:t>4(2):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5"/>
          <w:w w:val="105"/>
        </w:rPr>
        <w:t>92-</w:t>
      </w:r>
      <w:r>
        <w:rPr>
          <w:color w:val="231F20"/>
          <w:spacing w:val="-5"/>
          <w:w w:val="105"/>
        </w:rPr>
        <w:t>95</w:t>
      </w:r>
      <w:r>
        <w:rPr>
          <w:color w:val="231F20"/>
        </w:rPr>
        <w:tab/>
      </w:r>
      <w:r>
        <w:rPr>
          <w:color w:val="231F20"/>
          <w:spacing w:val="12"/>
        </w:rPr>
        <w:t>ORIGINAL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spacing w:before="121"/>
      </w:pPr>
      <w:r>
        <w:rPr>
          <w:color w:val="231F20"/>
        </w:rPr>
        <w:t>GENDER</w:t>
      </w:r>
      <w:r>
        <w:rPr>
          <w:color w:val="231F20"/>
          <w:spacing w:val="40"/>
        </w:rPr>
        <w:t>  </w:t>
      </w:r>
      <w:r>
        <w:rPr>
          <w:color w:val="231F20"/>
        </w:rPr>
        <w:t>DIFFERENCES</w:t>
      </w:r>
      <w:r>
        <w:rPr>
          <w:color w:val="231F20"/>
          <w:spacing w:val="40"/>
        </w:rPr>
        <w:t>  </w:t>
      </w:r>
      <w:r>
        <w:rPr>
          <w:color w:val="231F20"/>
        </w:rPr>
        <w:t>IN</w:t>
      </w:r>
      <w:r>
        <w:rPr>
          <w:color w:val="231F20"/>
          <w:spacing w:val="40"/>
        </w:rPr>
        <w:t>  </w:t>
      </w:r>
      <w:r>
        <w:rPr>
          <w:color w:val="231F20"/>
        </w:rPr>
        <w:t>CO-MORBID</w:t>
      </w:r>
      <w:r>
        <w:rPr>
          <w:color w:val="231F20"/>
          <w:spacing w:val="40"/>
        </w:rPr>
        <w:t>  </w:t>
      </w:r>
      <w:r>
        <w:rPr>
          <w:color w:val="231F20"/>
        </w:rPr>
        <w:t>DISORDERS WITH</w:t>
      </w:r>
      <w:r>
        <w:rPr>
          <w:color w:val="231F20"/>
          <w:spacing w:val="80"/>
        </w:rPr>
        <w:t> </w:t>
      </w:r>
      <w:r>
        <w:rPr>
          <w:color w:val="231F20"/>
        </w:rPr>
        <w:t>ATTENTION-DEFICIT</w:t>
      </w:r>
      <w:r>
        <w:rPr>
          <w:color w:val="231F20"/>
          <w:spacing w:val="80"/>
        </w:rPr>
        <w:t> </w:t>
      </w:r>
      <w:r>
        <w:rPr>
          <w:color w:val="231F20"/>
          <w:spacing w:val="9"/>
        </w:rPr>
        <w:t>HYPERACTIVITY</w:t>
      </w:r>
    </w:p>
    <w:p>
      <w:pPr>
        <w:pStyle w:val="Title"/>
      </w:pPr>
      <w:r>
        <w:rPr>
          <w:color w:val="231F20"/>
          <w:w w:val="105"/>
        </w:rPr>
        <w:t>DISORDER</w:t>
      </w:r>
      <w:r>
        <w:rPr>
          <w:color w:val="231F20"/>
          <w:spacing w:val="19"/>
          <w:w w:val="105"/>
        </w:rPr>
        <w:t>  </w:t>
      </w:r>
      <w:r>
        <w:rPr>
          <w:color w:val="231F20"/>
          <w:spacing w:val="-2"/>
          <w:w w:val="105"/>
        </w:rPr>
        <w:t>(ADHD)</w:t>
      </w:r>
    </w:p>
    <w:p>
      <w:pPr>
        <w:pStyle w:val="BodyText"/>
        <w:spacing w:before="205"/>
        <w:ind w:left="687" w:right="670"/>
        <w:jc w:val="center"/>
      </w:pPr>
      <w:r>
        <w:rPr>
          <w:color w:val="231F20"/>
          <w:spacing w:val="12"/>
          <w:w w:val="105"/>
        </w:rPr>
        <w:t>Paria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13"/>
          <w:w w:val="105"/>
        </w:rPr>
        <w:t>Hebrani,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12"/>
          <w:w w:val="105"/>
        </w:rPr>
        <w:t>Fatemeh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13"/>
          <w:w w:val="105"/>
        </w:rPr>
        <w:t>Behdani</w:t>
      </w:r>
    </w:p>
    <w:p>
      <w:pPr>
        <w:pStyle w:val="BodyText"/>
        <w:spacing w:before="10"/>
        <w:ind w:left="0"/>
        <w:jc w:val="left"/>
        <w:rPr>
          <w:sz w:val="6"/>
        </w:rPr>
      </w:pPr>
      <w:r>
        <w:rPr/>
        <w:pict>
          <v:shape style="position:absolute;margin-left:72pt;margin-top:5.322363pt;width:468pt;height:.1pt;mso-position-horizontal-relative:page;mso-position-vertical-relative:paragraph;z-index:-15728128;mso-wrap-distance-left:0;mso-wrap-distance-right:0" id="docshape3" coordorigin="1440,106" coordsize="9360,0" path="m1440,106l10800,106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Heading1"/>
        <w:spacing w:before="122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7"/>
        <w:ind w:left="600" w:right="599"/>
      </w:pPr>
      <w:r>
        <w:rPr>
          <w:rFonts w:ascii="Gill Sans MT"/>
          <w:b/>
          <w:color w:val="231F20"/>
        </w:rPr>
        <w:t>Objective: </w:t>
      </w:r>
      <w:r>
        <w:rPr>
          <w:color w:val="231F20"/>
        </w:rPr>
        <w:t>To </w:t>
      </w:r>
      <w:r>
        <w:rPr>
          <w:color w:val="231F20"/>
          <w:w w:val="110"/>
        </w:rPr>
        <w:t>assess </w:t>
      </w:r>
      <w:r>
        <w:rPr>
          <w:color w:val="231F20"/>
        </w:rPr>
        <w:t>the impact of gender on co-morbid disorders with Attention-Deficit Hyperactivity Disorder</w:t>
      </w:r>
      <w:r>
        <w:rPr>
          <w:color w:val="231F20"/>
          <w:spacing w:val="-14"/>
        </w:rPr>
        <w:t> </w:t>
      </w:r>
      <w:r>
        <w:rPr>
          <w:color w:val="231F20"/>
        </w:rPr>
        <w:t>(ADHD).</w:t>
      </w:r>
    </w:p>
    <w:p>
      <w:pPr>
        <w:spacing w:before="81"/>
        <w:ind w:left="600" w:right="0" w:firstLine="0"/>
        <w:jc w:val="both"/>
        <w:rPr>
          <w:sz w:val="18"/>
        </w:rPr>
      </w:pPr>
      <w:r>
        <w:rPr>
          <w:rFonts w:ascii="Gill Sans MT"/>
          <w:b/>
          <w:color w:val="231F20"/>
          <w:w w:val="105"/>
          <w:sz w:val="18"/>
        </w:rPr>
        <w:t>Design:</w:t>
      </w:r>
      <w:r>
        <w:rPr>
          <w:rFonts w:ascii="Gill Sans MT"/>
          <w:b/>
          <w:color w:val="231F20"/>
          <w:spacing w:val="21"/>
          <w:w w:val="105"/>
          <w:sz w:val="18"/>
        </w:rPr>
        <w:t> </w:t>
      </w:r>
      <w:r>
        <w:rPr>
          <w:color w:val="231F20"/>
          <w:w w:val="105"/>
          <w:sz w:val="18"/>
        </w:rPr>
        <w:t>Cross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sectional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study.</w:t>
      </w:r>
    </w:p>
    <w:p>
      <w:pPr>
        <w:pStyle w:val="BodyText"/>
        <w:spacing w:line="244" w:lineRule="auto" w:before="84"/>
        <w:ind w:left="600" w:right="596"/>
      </w:pPr>
      <w:r>
        <w:rPr>
          <w:rFonts w:ascii="Gill Sans MT"/>
          <w:b/>
          <w:color w:val="231F20"/>
        </w:rPr>
        <w:t>Place and duration of study: </w:t>
      </w:r>
      <w:r>
        <w:rPr>
          <w:color w:val="231F20"/>
        </w:rPr>
        <w:t>We selected children and adolescents with ADHD referred to the Sheikh Hospital</w:t>
      </w:r>
      <w:r>
        <w:rPr>
          <w:color w:val="231F20"/>
          <w:spacing w:val="40"/>
        </w:rPr>
        <w:t> </w:t>
      </w:r>
      <w:r>
        <w:rPr>
          <w:color w:val="231F20"/>
        </w:rPr>
        <w:t>clinic</w:t>
      </w:r>
      <w:r>
        <w:rPr>
          <w:color w:val="231F20"/>
          <w:spacing w:val="40"/>
        </w:rPr>
        <w:t> </w:t>
      </w:r>
      <w:r>
        <w:rPr>
          <w:color w:val="231F20"/>
        </w:rPr>
        <w:t>(a</w:t>
      </w:r>
      <w:r>
        <w:rPr>
          <w:color w:val="231F20"/>
          <w:spacing w:val="40"/>
        </w:rPr>
        <w:t> </w:t>
      </w:r>
      <w:r>
        <w:rPr>
          <w:color w:val="231F20"/>
        </w:rPr>
        <w:t>subspecialty</w:t>
      </w:r>
      <w:r>
        <w:rPr>
          <w:color w:val="231F20"/>
          <w:spacing w:val="40"/>
        </w:rPr>
        <w:t> </w:t>
      </w:r>
      <w:r>
        <w:rPr>
          <w:color w:val="231F20"/>
        </w:rPr>
        <w:t>hospital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children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Mashhad</w:t>
      </w:r>
      <w:r>
        <w:rPr>
          <w:rFonts w:ascii="Gill Sans MT"/>
          <w:b/>
          <w:color w:val="231F20"/>
        </w:rPr>
        <w:t>,</w:t>
      </w:r>
      <w:r>
        <w:rPr>
          <w:rFonts w:ascii="Gill Sans MT"/>
          <w:b/>
          <w:color w:val="231F20"/>
          <w:spacing w:val="40"/>
        </w:rPr>
        <w:t> </w:t>
      </w:r>
      <w:r>
        <w:rPr>
          <w:color w:val="231F20"/>
        </w:rPr>
        <w:t>Iran)</w:t>
      </w:r>
      <w:r>
        <w:rPr>
          <w:color w:val="231F20"/>
          <w:spacing w:val="40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color w:val="231F20"/>
        </w:rPr>
        <w:t>November</w:t>
      </w:r>
      <w:r>
        <w:rPr>
          <w:color w:val="231F20"/>
          <w:spacing w:val="40"/>
        </w:rPr>
        <w:t> </w:t>
      </w:r>
      <w:r>
        <w:rPr>
          <w:color w:val="231F20"/>
        </w:rPr>
        <w:t>2002</w:t>
      </w:r>
      <w:r>
        <w:rPr>
          <w:color w:val="231F20"/>
          <w:spacing w:val="40"/>
        </w:rPr>
        <w:t> </w:t>
      </w:r>
      <w:r>
        <w:rPr>
          <w:color w:val="231F20"/>
        </w:rPr>
        <w:t>and March 2004.</w:t>
      </w:r>
    </w:p>
    <w:p>
      <w:pPr>
        <w:pStyle w:val="BodyText"/>
        <w:spacing w:line="244" w:lineRule="auto" w:before="79"/>
        <w:ind w:left="599" w:right="596"/>
      </w:pPr>
      <w:r>
        <w:rPr>
          <w:rFonts w:ascii="Gill Sans MT" w:hAnsi="Gill Sans MT"/>
          <w:b/>
          <w:color w:val="231F20"/>
          <w:w w:val="105"/>
        </w:rPr>
        <w:t>Subjects and Methods: </w:t>
      </w:r>
      <w:r>
        <w:rPr>
          <w:color w:val="231F20"/>
          <w:w w:val="105"/>
        </w:rPr>
        <w:t>Two-stage ascertainment procedure was used to select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subjects. The first stage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patient’s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referral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clinic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child </w:t>
      </w:r>
      <w:r>
        <w:rPr>
          <w:color w:val="231F20"/>
        </w:rPr>
        <w:t>psychiatrist.</w:t>
      </w:r>
      <w:r>
        <w:rPr>
          <w:color w:val="231F20"/>
          <w:spacing w:val="40"/>
        </w:rPr>
        <w:t> </w:t>
      </w:r>
      <w:r>
        <w:rPr>
          <w:color w:val="231F20"/>
        </w:rPr>
        <w:t>A second stage confirmed</w:t>
      </w:r>
      <w:r>
        <w:rPr>
          <w:color w:val="231F20"/>
          <w:spacing w:val="-12"/>
        </w:rPr>
        <w:t> </w:t>
      </w:r>
      <w:r>
        <w:rPr>
          <w:color w:val="231F20"/>
        </w:rPr>
        <w:t>the diagnosis of ADHD made</w:t>
      </w:r>
      <w:r>
        <w:rPr>
          <w:color w:val="231F20"/>
          <w:spacing w:val="-14"/>
        </w:rPr>
        <w:t> </w:t>
      </w:r>
      <w:r>
        <w:rPr>
          <w:color w:val="231F20"/>
        </w:rPr>
        <w:t>on face-to-face</w:t>
      </w:r>
      <w:r>
        <w:rPr>
          <w:color w:val="231F20"/>
          <w:spacing w:val="-12"/>
        </w:rPr>
        <w:t> </w:t>
      </w:r>
      <w:r>
        <w:rPr>
          <w:color w:val="231F20"/>
        </w:rPr>
        <w:t>structured interviews with the mother. Only patients who received</w:t>
      </w:r>
      <w:r>
        <w:rPr>
          <w:color w:val="231F20"/>
          <w:spacing w:val="-14"/>
        </w:rPr>
        <w:t> </w:t>
      </w:r>
      <w:r>
        <w:rPr>
          <w:color w:val="231F20"/>
        </w:rPr>
        <w:t>a diagnosis of ADHD at all two stages were included in the </w:t>
      </w:r>
      <w:r>
        <w:rPr>
          <w:color w:val="231F20"/>
          <w:w w:val="105"/>
        </w:rPr>
        <w:t>final analysis. The clinical interview and the Schedule for Affective Disorders and Schizophrenia for School – Age Children Present and Lifetime version (K – SADS – PL) were used for making diagnosis according to DSM-IV.</w:t>
      </w:r>
    </w:p>
    <w:p>
      <w:pPr>
        <w:pStyle w:val="BodyText"/>
        <w:spacing w:line="244" w:lineRule="auto" w:before="79"/>
        <w:ind w:left="600" w:right="596"/>
      </w:pPr>
      <w:r>
        <w:rPr>
          <w:rFonts w:ascii="Gill Sans MT"/>
          <w:b/>
          <w:color w:val="231F20"/>
        </w:rPr>
        <w:t>Results</w:t>
      </w:r>
      <w:r>
        <w:rPr>
          <w:color w:val="231F20"/>
        </w:rPr>
        <w:t>: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There is no meaningful statistically significant differences in the sex of probands. the propor-</w:t>
      </w:r>
      <w:r>
        <w:rPr>
          <w:color w:val="231F20"/>
          <w:spacing w:val="80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male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48.3</w:t>
      </w:r>
      <w:r>
        <w:rPr>
          <w:color w:val="231F20"/>
          <w:spacing w:val="-3"/>
        </w:rPr>
        <w:t> </w:t>
      </w:r>
      <w:r>
        <w:rPr>
          <w:color w:val="231F20"/>
        </w:rPr>
        <w:t>%(</w:t>
      </w:r>
      <w:r>
        <w:rPr>
          <w:color w:val="231F20"/>
          <w:spacing w:val="-3"/>
        </w:rPr>
        <w:t> </w:t>
      </w:r>
      <w:r>
        <w:rPr>
          <w:color w:val="231F20"/>
        </w:rPr>
        <w:t>n=71)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female</w:t>
      </w:r>
      <w:r>
        <w:rPr>
          <w:color w:val="231F20"/>
          <w:spacing w:val="-3"/>
        </w:rPr>
        <w:t> </w:t>
      </w:r>
      <w:r>
        <w:rPr>
          <w:color w:val="231F20"/>
        </w:rPr>
        <w:t>51.7</w:t>
      </w:r>
      <w:r>
        <w:rPr>
          <w:color w:val="231F20"/>
          <w:spacing w:val="-3"/>
        </w:rPr>
        <w:t> </w:t>
      </w:r>
      <w:r>
        <w:rPr>
          <w:color w:val="231F20"/>
        </w:rPr>
        <w:t>%(</w:t>
      </w:r>
      <w:r>
        <w:rPr>
          <w:color w:val="231F20"/>
          <w:spacing w:val="-3"/>
        </w:rPr>
        <w:t> </w:t>
      </w:r>
      <w:r>
        <w:rPr>
          <w:color w:val="231F20"/>
        </w:rPr>
        <w:t>n=76).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majority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probands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7-12 years old (68%).</w:t>
      </w:r>
      <w:r>
        <w:rPr>
          <w:color w:val="231F20"/>
          <w:spacing w:val="40"/>
        </w:rPr>
        <w:t> </w:t>
      </w:r>
      <w:r>
        <w:rPr>
          <w:color w:val="231F20"/>
        </w:rPr>
        <w:t>Although mood disorders (depressive disorders and bipolar), anxiety disorders and enuresis were more common in males but there were no significant differences between them. OCD and Learning</w:t>
      </w:r>
      <w:r>
        <w:rPr>
          <w:color w:val="231F20"/>
          <w:spacing w:val="40"/>
        </w:rPr>
        <w:t> </w:t>
      </w:r>
      <w:r>
        <w:rPr>
          <w:color w:val="231F20"/>
        </w:rPr>
        <w:t>disorders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prevalent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girls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difference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statistically</w:t>
      </w:r>
      <w:r>
        <w:rPr>
          <w:color w:val="231F20"/>
          <w:spacing w:val="40"/>
        </w:rPr>
        <w:t> </w:t>
      </w:r>
      <w:r>
        <w:rPr>
          <w:color w:val="231F20"/>
        </w:rPr>
        <w:t>significant.</w:t>
      </w:r>
    </w:p>
    <w:p>
      <w:pPr>
        <w:pStyle w:val="BodyText"/>
        <w:spacing w:line="244" w:lineRule="auto" w:before="81"/>
        <w:ind w:left="600" w:right="597"/>
      </w:pPr>
      <w:r>
        <w:rPr>
          <w:rFonts w:ascii="Gill Sans MT"/>
          <w:b/>
          <w:color w:val="231F20"/>
        </w:rPr>
        <w:t>Conclusion: </w:t>
      </w:r>
      <w:r>
        <w:rPr>
          <w:color w:val="231F20"/>
        </w:rPr>
        <w:t>Our results suggest that boys and girls do not differ in the co-morbid disorders with ADHD. </w:t>
      </w:r>
      <w:r>
        <w:rPr>
          <w:color w:val="231F20"/>
          <w:w w:val="105"/>
        </w:rPr>
        <w:t>Although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suggesting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psychiatric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co-morbidity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boys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girls,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conclusions,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replication studies are needed.</w:t>
      </w:r>
    </w:p>
    <w:p>
      <w:pPr>
        <w:pStyle w:val="BodyText"/>
        <w:spacing w:before="79"/>
        <w:ind w:left="600"/>
      </w:pPr>
      <w:r>
        <w:rPr/>
        <w:pict>
          <v:line style="position:absolute;mso-position-horizontal-relative:page;mso-position-vertical-relative:paragraph;z-index:15730176" from="72pt,18.493904pt" to="540pt,18.493904pt" stroked="true" strokeweight=".48pt" strokecolor="#231f20">
            <v:stroke dashstyle="solid"/>
            <w10:wrap type="none"/>
          </v:line>
        </w:pict>
      </w:r>
      <w:r>
        <w:rPr>
          <w:rFonts w:ascii="Gill Sans MT"/>
          <w:b/>
          <w:color w:val="231F20"/>
        </w:rPr>
        <w:t>Key</w:t>
      </w:r>
      <w:r>
        <w:rPr>
          <w:rFonts w:ascii="Gill Sans MT"/>
          <w:b/>
          <w:color w:val="231F20"/>
          <w:spacing w:val="15"/>
        </w:rPr>
        <w:t> </w:t>
      </w:r>
      <w:r>
        <w:rPr>
          <w:rFonts w:ascii="Gill Sans MT"/>
          <w:b/>
          <w:color w:val="231F20"/>
        </w:rPr>
        <w:t>words:</w:t>
      </w:r>
      <w:r>
        <w:rPr>
          <w:rFonts w:ascii="Gill Sans MT"/>
          <w:b/>
          <w:color w:val="231F20"/>
          <w:spacing w:val="17"/>
        </w:rPr>
        <w:t> </w:t>
      </w:r>
      <w:r>
        <w:rPr>
          <w:color w:val="231F20"/>
        </w:rPr>
        <w:t>ADHD,</w:t>
      </w:r>
      <w:r>
        <w:rPr>
          <w:color w:val="231F20"/>
          <w:spacing w:val="9"/>
        </w:rPr>
        <w:t> </w:t>
      </w:r>
      <w:r>
        <w:rPr>
          <w:color w:val="231F20"/>
        </w:rPr>
        <w:t>Gender</w:t>
      </w:r>
      <w:r>
        <w:rPr>
          <w:color w:val="231F20"/>
          <w:spacing w:val="9"/>
        </w:rPr>
        <w:t> </w:t>
      </w:r>
      <w:r>
        <w:rPr>
          <w:color w:val="231F20"/>
        </w:rPr>
        <w:t>Differences,</w:t>
      </w:r>
      <w:r>
        <w:rPr>
          <w:color w:val="231F20"/>
          <w:spacing w:val="9"/>
        </w:rPr>
        <w:t> </w:t>
      </w:r>
      <w:r>
        <w:rPr>
          <w:color w:val="231F20"/>
        </w:rPr>
        <w:t>Co-morbid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Disorders.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92"/>
        </w:sectPr>
      </w:pPr>
    </w:p>
    <w:p>
      <w:pPr>
        <w:pStyle w:val="Heading1"/>
        <w:spacing w:before="156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8"/>
        <w:ind w:right="38" w:firstLine="480"/>
      </w:pPr>
      <w:r>
        <w:rPr>
          <w:color w:val="231F20"/>
        </w:rPr>
        <w:t>Attention</w:t>
      </w:r>
      <w:r>
        <w:rPr>
          <w:color w:val="231F20"/>
          <w:spacing w:val="-3"/>
        </w:rPr>
        <w:t> </w:t>
      </w:r>
      <w:r>
        <w:rPr>
          <w:color w:val="231F20"/>
        </w:rPr>
        <w:t>Deficit</w:t>
      </w:r>
      <w:r>
        <w:rPr>
          <w:color w:val="231F20"/>
          <w:spacing w:val="-2"/>
        </w:rPr>
        <w:t> </w:t>
      </w:r>
      <w:r>
        <w:rPr>
          <w:color w:val="231F20"/>
        </w:rPr>
        <w:t>Hyperactivity</w:t>
      </w:r>
      <w:r>
        <w:rPr>
          <w:color w:val="231F20"/>
          <w:spacing w:val="-3"/>
        </w:rPr>
        <w:t> </w:t>
      </w:r>
      <w:r>
        <w:rPr>
          <w:color w:val="231F20"/>
        </w:rPr>
        <w:t>Disorder</w:t>
      </w:r>
      <w:r>
        <w:rPr>
          <w:color w:val="231F20"/>
          <w:spacing w:val="-2"/>
        </w:rPr>
        <w:t> </w:t>
      </w:r>
      <w:r>
        <w:rPr>
          <w:color w:val="231F20"/>
        </w:rPr>
        <w:t>(ADHD)</w:t>
      </w:r>
      <w:r>
        <w:rPr>
          <w:color w:val="231F20"/>
          <w:spacing w:val="-2"/>
        </w:rPr>
        <w:t> </w:t>
      </w:r>
      <w:r>
        <w:rPr>
          <w:color w:val="231F20"/>
        </w:rPr>
        <w:t>is a common, heterogeneous disorder, </w:t>
      </w:r>
      <w:r>
        <w:rPr>
          <w:color w:val="231F20"/>
        </w:rPr>
        <w:t>conservatively estimated to affect 3-5% of school age children</w:t>
      </w:r>
      <w:r>
        <w:rPr>
          <w:color w:val="231F20"/>
          <w:position w:val="6"/>
          <w:sz w:val="10"/>
        </w:rPr>
        <w:t>1-4</w:t>
      </w:r>
      <w:r>
        <w:rPr>
          <w:color w:val="231F20"/>
        </w:rPr>
        <w:t>. Al- though ADHD is more prevalent in boys than in girls, little doubt exists that it is also an important cause of psychiatric disability in girls. While the exact prevalence 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disorder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females</w:t>
      </w:r>
      <w:r>
        <w:rPr>
          <w:color w:val="231F20"/>
          <w:spacing w:val="37"/>
        </w:rPr>
        <w:t> </w:t>
      </w:r>
      <w:r>
        <w:rPr>
          <w:color w:val="231F20"/>
        </w:rPr>
        <w:t>remain</w:t>
      </w:r>
      <w:r>
        <w:rPr>
          <w:color w:val="231F20"/>
          <w:spacing w:val="37"/>
        </w:rPr>
        <w:t> </w:t>
      </w:r>
      <w:r>
        <w:rPr>
          <w:color w:val="231F20"/>
        </w:rPr>
        <w:t>unclear,</w:t>
      </w:r>
      <w:r>
        <w:rPr>
          <w:color w:val="231F20"/>
          <w:spacing w:val="37"/>
        </w:rPr>
        <w:t> </w:t>
      </w:r>
      <w:r>
        <w:rPr>
          <w:color w:val="231F20"/>
        </w:rPr>
        <w:t>it</w:t>
      </w:r>
      <w:r>
        <w:rPr>
          <w:color w:val="231F20"/>
          <w:spacing w:val="37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not be minor</w:t>
      </w:r>
      <w:r>
        <w:rPr>
          <w:color w:val="231F20"/>
          <w:position w:val="6"/>
          <w:sz w:val="10"/>
        </w:rPr>
        <w:t>1,5,6</w:t>
      </w:r>
      <w:r>
        <w:rPr>
          <w:color w:val="231F20"/>
        </w:rPr>
        <w:t>.</w:t>
      </w:r>
    </w:p>
    <w:p>
      <w:pPr>
        <w:pStyle w:val="BodyText"/>
        <w:spacing w:line="244" w:lineRule="auto" w:before="118"/>
        <w:ind w:left="120" w:right="43" w:firstLine="480"/>
      </w:pPr>
      <w:r>
        <w:rPr>
          <w:color w:val="231F20"/>
        </w:rPr>
        <w:t>Despite the fact that a large number of girls might be suffering</w:t>
      </w:r>
      <w:r>
        <w:rPr>
          <w:color w:val="231F20"/>
          <w:spacing w:val="-14"/>
        </w:rPr>
        <w:t> </w:t>
      </w:r>
      <w:r>
        <w:rPr>
          <w:color w:val="231F20"/>
        </w:rPr>
        <w:t>from attention deficit hyperactivity disorder (ADHD), the scientific</w:t>
      </w:r>
      <w:r>
        <w:rPr>
          <w:color w:val="231F20"/>
          <w:spacing w:val="-10"/>
        </w:rPr>
        <w:t> </w:t>
      </w:r>
      <w:r>
        <w:rPr>
          <w:color w:val="231F20"/>
        </w:rPr>
        <w:t>literature on ADHD is almost ex- clusively based on boys. There</w:t>
      </w:r>
      <w:r>
        <w:rPr>
          <w:color w:val="231F20"/>
          <w:spacing w:val="40"/>
        </w:rPr>
        <w:t> </w:t>
      </w:r>
      <w:r>
        <w:rPr>
          <w:color w:val="231F20"/>
        </w:rPr>
        <w:t>is a substantial discrep- ancy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male-to-female</w:t>
      </w:r>
      <w:r>
        <w:rPr>
          <w:color w:val="231F20"/>
          <w:spacing w:val="17"/>
        </w:rPr>
        <w:t> </w:t>
      </w:r>
      <w:r>
        <w:rPr>
          <w:color w:val="231F20"/>
        </w:rPr>
        <w:t>ratio</w:t>
      </w:r>
      <w:r>
        <w:rPr>
          <w:color w:val="231F20"/>
          <w:spacing w:val="18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</w:rPr>
        <w:t>clinic-</w:t>
      </w:r>
      <w:r>
        <w:rPr>
          <w:color w:val="231F20"/>
          <w:spacing w:val="-2"/>
        </w:rPr>
        <w:t>referred</w:t>
      </w:r>
    </w:p>
    <w:p>
      <w:pPr>
        <w:pStyle w:val="BodyText"/>
        <w:spacing w:before="4"/>
        <w:ind w:left="0"/>
        <w:jc w:val="left"/>
        <w:rPr>
          <w:sz w:val="9"/>
        </w:rPr>
      </w:pPr>
      <w:r>
        <w:rPr/>
        <w:pict>
          <v:shape style="position:absolute;margin-left:72pt;margin-top:6.840488pt;width:225pt;height:.1pt;mso-position-horizontal-relative:page;mso-position-vertical-relative:paragraph;z-index:-15727616;mso-wrap-distance-left:0;mso-wrap-distance-right:0" id="docshape4" coordorigin="1440,137" coordsize="4500,0" path="m1440,137l5940,137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95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Paria Hebrani, </w:t>
      </w:r>
      <w:r>
        <w:rPr>
          <w:color w:val="231F20"/>
          <w:w w:val="105"/>
          <w:sz w:val="16"/>
        </w:rPr>
        <w:t>Assistant Professor, Child &amp; Adolescent Psy- chiatrist Mashhad University of Medical Sciences, Iran</w:t>
      </w:r>
    </w:p>
    <w:p>
      <w:pPr>
        <w:spacing w:line="249" w:lineRule="auto" w:before="62"/>
        <w:ind w:left="120" w:right="6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Fatemeh Behdani, </w:t>
      </w:r>
      <w:r>
        <w:rPr>
          <w:color w:val="231F20"/>
          <w:sz w:val="16"/>
        </w:rPr>
        <w:t>Mashhad University of Medical Sciences,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Iran</w:t>
      </w:r>
    </w:p>
    <w:p>
      <w:pPr>
        <w:spacing w:line="338" w:lineRule="auto" w:before="65"/>
        <w:ind w:left="120" w:right="3068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 Paria Hebrani</w:t>
      </w:r>
    </w:p>
    <w:p>
      <w:pPr>
        <w:pStyle w:val="BodyText"/>
        <w:spacing w:line="244" w:lineRule="auto" w:before="164"/>
        <w:ind w:right="115"/>
      </w:pPr>
      <w:r>
        <w:rPr/>
        <w:br w:type="column"/>
      </w:r>
      <w:r>
        <w:rPr>
          <w:color w:val="231F20"/>
        </w:rPr>
        <w:t>(10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1)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community</w:t>
      </w:r>
      <w:r>
        <w:rPr>
          <w:color w:val="231F20"/>
          <w:spacing w:val="-4"/>
        </w:rPr>
        <w:t> </w:t>
      </w:r>
      <w:r>
        <w:rPr>
          <w:color w:val="231F20"/>
        </w:rPr>
        <w:t>(3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1)</w:t>
      </w:r>
      <w:r>
        <w:rPr>
          <w:color w:val="231F20"/>
          <w:spacing w:val="-4"/>
        </w:rPr>
        <w:t> </w:t>
      </w:r>
      <w:r>
        <w:rPr>
          <w:color w:val="231F20"/>
        </w:rPr>
        <w:t>samples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children</w:t>
      </w:r>
      <w:r>
        <w:rPr>
          <w:color w:val="231F20"/>
          <w:spacing w:val="-4"/>
        </w:rPr>
        <w:t> </w:t>
      </w:r>
      <w:r>
        <w:rPr>
          <w:color w:val="231F20"/>
        </w:rPr>
        <w:t>with ADHD.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discrepancy</w:t>
      </w:r>
      <w:r>
        <w:rPr>
          <w:color w:val="231F20"/>
          <w:spacing w:val="-8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girls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ADHD</w:t>
      </w:r>
      <w:r>
        <w:rPr>
          <w:color w:val="231F20"/>
          <w:spacing w:val="-8"/>
        </w:rPr>
        <w:t> </w:t>
      </w:r>
      <w:r>
        <w:rPr>
          <w:color w:val="231F20"/>
        </w:rPr>
        <w:t>may </w:t>
      </w:r>
      <w:r>
        <w:rPr>
          <w:color w:val="231F20"/>
          <w:w w:val="105"/>
        </w:rPr>
        <w:t>be under identified and under treated</w:t>
      </w:r>
      <w:r>
        <w:rPr>
          <w:color w:val="231F20"/>
          <w:w w:val="105"/>
          <w:position w:val="6"/>
          <w:sz w:val="10"/>
        </w:rPr>
        <w:t>1,6,7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59"/>
        <w:ind w:right="109" w:firstLine="480"/>
      </w:pPr>
      <w:r>
        <w:rPr>
          <w:color w:val="231F20"/>
        </w:rPr>
        <w:t>Although the reasons for the apparent under iden- tification</w:t>
      </w:r>
      <w:r>
        <w:rPr>
          <w:color w:val="231F20"/>
          <w:spacing w:val="-11"/>
        </w:rPr>
        <w:t> </w:t>
      </w:r>
      <w:r>
        <w:rPr>
          <w:color w:val="231F20"/>
        </w:rPr>
        <w:t>of girls with ADHD remain unclear, Gaub and Carlson</w:t>
      </w:r>
      <w:r>
        <w:rPr>
          <w:color w:val="231F20"/>
          <w:position w:val="6"/>
          <w:sz w:val="10"/>
        </w:rPr>
        <w:t>7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suggested in their meta-analysis that gender differences in the phenotypic</w:t>
      </w:r>
      <w:r>
        <w:rPr>
          <w:color w:val="231F20"/>
          <w:spacing w:val="-9"/>
        </w:rPr>
        <w:t> </w:t>
      </w:r>
      <w:r>
        <w:rPr>
          <w:color w:val="231F20"/>
        </w:rPr>
        <w:t>expression of the disorder may be driving referral of more boys than girls, com- pared with boys. Girls with ADHD tend to have greater intellectual impairments, lower levels of hyperactivity, lower</w:t>
      </w:r>
      <w:r>
        <w:rPr>
          <w:color w:val="231F20"/>
          <w:spacing w:val="-11"/>
        </w:rPr>
        <w:t> </w:t>
      </w:r>
      <w:r>
        <w:rPr>
          <w:color w:val="231F20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conduct</w:t>
      </w:r>
      <w:r>
        <w:rPr>
          <w:color w:val="231F20"/>
          <w:spacing w:val="-10"/>
        </w:rPr>
        <w:t> </w:t>
      </w:r>
      <w:r>
        <w:rPr>
          <w:color w:val="231F20"/>
        </w:rPr>
        <w:t>disorder,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mood and anxiety disorders. Because co-morbidity with</w:t>
      </w:r>
      <w:r>
        <w:rPr>
          <w:color w:val="231F20"/>
          <w:spacing w:val="40"/>
        </w:rPr>
        <w:t> </w:t>
      </w:r>
      <w:r>
        <w:rPr>
          <w:color w:val="231F20"/>
        </w:rPr>
        <w:t>conduct disorder is commonly associated with family disruption and sever behavioral disturbances, if these problems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fact</w:t>
      </w:r>
      <w:r>
        <w:rPr>
          <w:color w:val="231F20"/>
          <w:spacing w:val="-12"/>
        </w:rPr>
        <w:t> </w:t>
      </w:r>
      <w:r>
        <w:rPr>
          <w:color w:val="231F20"/>
        </w:rPr>
        <w:t>less</w:t>
      </w:r>
      <w:r>
        <w:rPr>
          <w:color w:val="231F20"/>
          <w:spacing w:val="-12"/>
        </w:rPr>
        <w:t> </w:t>
      </w:r>
      <w:r>
        <w:rPr>
          <w:color w:val="231F20"/>
        </w:rPr>
        <w:t>frequent</w:t>
      </w:r>
      <w:r>
        <w:rPr>
          <w:color w:val="231F20"/>
          <w:spacing w:val="-12"/>
        </w:rPr>
        <w:t> </w:t>
      </w:r>
      <w:r>
        <w:rPr>
          <w:color w:val="231F20"/>
        </w:rPr>
        <w:t>among</w:t>
      </w:r>
      <w:r>
        <w:rPr>
          <w:color w:val="231F20"/>
          <w:spacing w:val="-12"/>
        </w:rPr>
        <w:t> </w:t>
      </w:r>
      <w:r>
        <w:rPr>
          <w:color w:val="231F20"/>
        </w:rPr>
        <w:t>girls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ADHD, they could explain why girls may be less likely to come</w:t>
      </w:r>
      <w:r>
        <w:rPr>
          <w:color w:val="231F20"/>
          <w:spacing w:val="40"/>
        </w:rPr>
        <w:t> </w:t>
      </w:r>
      <w:r>
        <w:rPr>
          <w:color w:val="231F20"/>
        </w:rPr>
        <w:t>to attention of health care providers</w:t>
      </w:r>
      <w:r>
        <w:rPr>
          <w:color w:val="231F20"/>
          <w:position w:val="6"/>
          <w:sz w:val="10"/>
        </w:rPr>
        <w:t>8,9</w:t>
      </w:r>
      <w:r>
        <w:rPr>
          <w:color w:val="231F20"/>
        </w:rPr>
        <w:t>.</w:t>
      </w:r>
    </w:p>
    <w:p>
      <w:pPr>
        <w:pStyle w:val="BodyText"/>
        <w:spacing w:line="244" w:lineRule="auto" w:before="58"/>
        <w:ind w:right="114" w:firstLine="480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co-morbid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ADHD are Conduct Disorder and Oppositional Defiant Disor- der. These affect 40-60% of children and adolescents with</w:t>
      </w:r>
      <w:r>
        <w:rPr>
          <w:color w:val="231F20"/>
          <w:spacing w:val="-3"/>
        </w:rPr>
        <w:t> </w:t>
      </w:r>
      <w:r>
        <w:rPr>
          <w:color w:val="231F20"/>
        </w:rPr>
        <w:t>ADHD</w:t>
      </w:r>
      <w:r>
        <w:rPr>
          <w:color w:val="231F20"/>
          <w:position w:val="6"/>
          <w:sz w:val="10"/>
        </w:rPr>
        <w:t>10,11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addition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conduct</w:t>
      </w:r>
      <w:r>
        <w:rPr>
          <w:color w:val="231F20"/>
          <w:spacing w:val="-3"/>
        </w:rPr>
        <w:t> </w:t>
      </w:r>
      <w:r>
        <w:rPr>
          <w:color w:val="231F20"/>
        </w:rPr>
        <w:t>disorder</w:t>
      </w:r>
      <w:r>
        <w:rPr>
          <w:color w:val="231F20"/>
          <w:spacing w:val="-3"/>
        </w:rPr>
        <w:t> </w:t>
      </w:r>
      <w:r>
        <w:rPr>
          <w:color w:val="231F20"/>
        </w:rPr>
        <w:t>probands with</w:t>
      </w:r>
      <w:r>
        <w:rPr>
          <w:color w:val="231F20"/>
          <w:spacing w:val="2"/>
        </w:rPr>
        <w:t> </w:t>
      </w:r>
      <w:r>
        <w:rPr>
          <w:color w:val="231F20"/>
        </w:rPr>
        <w:t>ADHD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likely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mood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anxiety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spacing w:line="244" w:lineRule="auto"/>
        <w:ind w:right="47"/>
      </w:pPr>
      <w:r>
        <w:rPr>
          <w:color w:val="231F20"/>
          <w:w w:val="105"/>
        </w:rPr>
        <w:t>disorders.Co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disorders is 15-75%</w:t>
      </w:r>
      <w:r>
        <w:rPr>
          <w:color w:val="231F20"/>
          <w:w w:val="105"/>
          <w:position w:val="6"/>
          <w:sz w:val="10"/>
        </w:rPr>
        <w:t>10,12,13</w:t>
      </w:r>
      <w:r>
        <w:rPr>
          <w:color w:val="231F20"/>
          <w:w w:val="105"/>
        </w:rPr>
        <w:t>. Association with anxiety disorders has reported in up to 25%</w:t>
      </w:r>
      <w:r>
        <w:rPr>
          <w:color w:val="231F20"/>
          <w:w w:val="105"/>
          <w:position w:val="6"/>
          <w:sz w:val="10"/>
        </w:rPr>
        <w:t>10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81"/>
        <w:ind w:left="120" w:right="38" w:firstLine="480"/>
      </w:pPr>
      <w:r>
        <w:rPr>
          <w:color w:val="231F20"/>
        </w:rPr>
        <w:t>Previous studies show that ADHD girls were more likely to have mood, and anxiety disorders</w:t>
      </w:r>
      <w:r>
        <w:rPr>
          <w:color w:val="231F20"/>
          <w:position w:val="6"/>
          <w:sz w:val="10"/>
        </w:rPr>
        <w:t>1,9,14</w:t>
      </w:r>
      <w:r>
        <w:rPr>
          <w:color w:val="231F20"/>
        </w:rPr>
        <w:t>. The prevalence of both conduct disorder and oppositional defiant</w:t>
      </w:r>
      <w:r>
        <w:rPr>
          <w:color w:val="231F20"/>
          <w:spacing w:val="40"/>
        </w:rPr>
        <w:t> </w:t>
      </w:r>
      <w:r>
        <w:rPr>
          <w:color w:val="231F20"/>
        </w:rPr>
        <w:t>disorder</w:t>
      </w:r>
      <w:r>
        <w:rPr>
          <w:color w:val="231F20"/>
          <w:spacing w:val="40"/>
        </w:rPr>
        <w:t> </w:t>
      </w:r>
      <w:r>
        <w:rPr>
          <w:color w:val="231F20"/>
        </w:rPr>
        <w:t>found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ADHD</w:t>
      </w:r>
      <w:r>
        <w:rPr>
          <w:color w:val="231F20"/>
          <w:spacing w:val="40"/>
        </w:rPr>
        <w:t> </w:t>
      </w:r>
      <w:r>
        <w:rPr>
          <w:color w:val="231F20"/>
        </w:rPr>
        <w:t>girls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half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of </w:t>
      </w:r>
      <w:r>
        <w:rPr>
          <w:color w:val="231F20"/>
        </w:rPr>
        <w:t>what has been found in boys suffering from ADHD</w:t>
      </w:r>
      <w:r>
        <w:rPr>
          <w:color w:val="231F20"/>
          <w:position w:val="6"/>
          <w:sz w:val="10"/>
        </w:rPr>
        <w:t>13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80"/>
        </w:rPr>
        <w:t> </w:t>
      </w:r>
      <w:r>
        <w:rPr>
          <w:color w:val="231F20"/>
        </w:rPr>
        <w:t>co-morbid</w:t>
      </w:r>
      <w:r>
        <w:rPr>
          <w:color w:val="231F20"/>
          <w:spacing w:val="80"/>
        </w:rPr>
        <w:t> </w:t>
      </w:r>
      <w:r>
        <w:rPr>
          <w:color w:val="231F20"/>
        </w:rPr>
        <w:t>conditions</w:t>
      </w:r>
      <w:r>
        <w:rPr>
          <w:color w:val="231F20"/>
          <w:spacing w:val="80"/>
        </w:rPr>
        <w:t> </w:t>
      </w:r>
      <w:r>
        <w:rPr>
          <w:color w:val="231F20"/>
        </w:rPr>
        <w:t>have</w:t>
      </w:r>
      <w:r>
        <w:rPr>
          <w:color w:val="231F20"/>
          <w:spacing w:val="80"/>
        </w:rPr>
        <w:t> </w:t>
      </w:r>
      <w:r>
        <w:rPr>
          <w:color w:val="231F20"/>
        </w:rPr>
        <w:t>been</w:t>
      </w:r>
      <w:r>
        <w:rPr>
          <w:color w:val="231F20"/>
          <w:spacing w:val="80"/>
        </w:rPr>
        <w:t> </w:t>
      </w:r>
      <w:r>
        <w:rPr>
          <w:color w:val="231F20"/>
        </w:rPr>
        <w:t>associated</w:t>
      </w:r>
      <w:r>
        <w:rPr>
          <w:color w:val="231F20"/>
          <w:spacing w:val="80"/>
        </w:rPr>
        <w:t> </w:t>
      </w:r>
      <w:r>
        <w:rPr>
          <w:color w:val="231F20"/>
        </w:rPr>
        <w:t>not only with a more complicated course of ADHD but also with lack of therapeutic response to stimulant </w:t>
      </w:r>
      <w:r>
        <w:rPr>
          <w:color w:val="231F20"/>
          <w:spacing w:val="-2"/>
        </w:rPr>
        <w:t>drugs</w:t>
      </w:r>
      <w:r>
        <w:rPr>
          <w:color w:val="231F20"/>
          <w:spacing w:val="-2"/>
          <w:position w:val="6"/>
          <w:sz w:val="10"/>
        </w:rPr>
        <w:t>1,9</w:t>
      </w:r>
      <w:r>
        <w:rPr>
          <w:color w:val="231F20"/>
          <w:spacing w:val="-2"/>
        </w:rPr>
        <w:t>.</w:t>
      </w:r>
    </w:p>
    <w:p>
      <w:pPr>
        <w:pStyle w:val="BodyText"/>
        <w:spacing w:line="244" w:lineRule="auto" w:before="79"/>
        <w:ind w:left="120" w:right="44" w:firstLine="480"/>
      </w:pPr>
      <w:r>
        <w:rPr>
          <w:color w:val="231F20"/>
          <w:w w:val="105"/>
        </w:rPr>
        <w:t>The limitations of the previous studies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gender and ADHD that have been published stems from the </w:t>
      </w:r>
      <w:r>
        <w:rPr>
          <w:color w:val="231F20"/>
        </w:rPr>
        <w:t>lack of direct interviews with children younger than 12</w:t>
      </w:r>
      <w:r>
        <w:rPr>
          <w:color w:val="231F20"/>
          <w:position w:val="6"/>
          <w:sz w:val="10"/>
        </w:rPr>
        <w:t>15</w:t>
      </w:r>
      <w:r>
        <w:rPr>
          <w:color w:val="231F20"/>
        </w:rPr>
        <w:t>.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psychopathology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children may have led to under-representation of psy- chopathology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group.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case for “internalizing” disorders, such as anxiety and </w:t>
      </w:r>
      <w:r>
        <w:rPr>
          <w:color w:val="231F20"/>
          <w:spacing w:val="-2"/>
          <w:w w:val="105"/>
        </w:rPr>
        <w:t>depression.</w:t>
      </w:r>
    </w:p>
    <w:p>
      <w:pPr>
        <w:pStyle w:val="BodyText"/>
        <w:spacing w:line="244" w:lineRule="auto" w:before="80"/>
        <w:ind w:right="39" w:firstLine="480"/>
      </w:pPr>
      <w:r>
        <w:rPr>
          <w:color w:val="231F20"/>
          <w:w w:val="110"/>
        </w:rPr>
        <w:t>We</w:t>
      </w:r>
      <w:r>
        <w:rPr>
          <w:color w:val="231F20"/>
          <w:w w:val="110"/>
        </w:rPr>
        <w:t> aimed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assess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gender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co- </w:t>
      </w:r>
      <w:r>
        <w:rPr>
          <w:color w:val="231F20"/>
        </w:rPr>
        <w:t>morbid conditions in patients presenting with to ADHD,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whether</w:t>
      </w:r>
      <w:r>
        <w:rPr>
          <w:color w:val="231F20"/>
          <w:w w:val="105"/>
        </w:rPr>
        <w:t> co-morbidity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ADHD</w:t>
      </w:r>
      <w:r>
        <w:rPr>
          <w:color w:val="231F20"/>
          <w:w w:val="105"/>
        </w:rPr>
        <w:t> could explain</w:t>
      </w:r>
      <w:r>
        <w:rPr>
          <w:color w:val="231F20"/>
          <w:w w:val="105"/>
        </w:rPr>
        <w:t> discrepancy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male-to-female</w:t>
      </w:r>
      <w:r>
        <w:rPr>
          <w:color w:val="231F20"/>
          <w:w w:val="105"/>
        </w:rPr>
        <w:t> ratio</w:t>
      </w:r>
      <w:r>
        <w:rPr>
          <w:color w:val="231F20"/>
          <w:w w:val="105"/>
        </w:rPr>
        <w:t> be- tween clinic-referred and community samples of chil- </w:t>
      </w:r>
      <w:r>
        <w:rPr>
          <w:color w:val="231F20"/>
        </w:rPr>
        <w:t>dren with ADHD. We predicted</w:t>
      </w:r>
      <w:r>
        <w:rPr>
          <w:color w:val="231F20"/>
          <w:spacing w:val="-14"/>
        </w:rPr>
        <w:t> </w:t>
      </w:r>
      <w:r>
        <w:rPr>
          <w:color w:val="231F20"/>
        </w:rPr>
        <w:t>that ADHD in girls who </w:t>
      </w:r>
      <w:r>
        <w:rPr>
          <w:color w:val="231F20"/>
          <w:w w:val="105"/>
        </w:rPr>
        <w:t>are referred to clinic would be characterized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 lower rates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co-morbid</w:t>
      </w:r>
      <w:r>
        <w:rPr>
          <w:color w:val="231F20"/>
          <w:w w:val="105"/>
        </w:rPr>
        <w:t> disruptive</w:t>
      </w:r>
      <w:r>
        <w:rPr>
          <w:color w:val="231F20"/>
          <w:w w:val="105"/>
        </w:rPr>
        <w:t> behavior</w:t>
      </w:r>
      <w:r>
        <w:rPr>
          <w:color w:val="231F20"/>
          <w:w w:val="105"/>
        </w:rPr>
        <w:t> disorder,</w:t>
      </w:r>
      <w:r>
        <w:rPr>
          <w:color w:val="231F20"/>
          <w:w w:val="105"/>
        </w:rPr>
        <w:t> and </w:t>
      </w:r>
      <w:r>
        <w:rPr>
          <w:color w:val="231F20"/>
          <w:w w:val="110"/>
        </w:rPr>
        <w:t>higher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rates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anxiety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depression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ADHD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 </w:t>
      </w:r>
      <w:r>
        <w:rPr>
          <w:color w:val="231F20"/>
          <w:spacing w:val="-4"/>
          <w:w w:val="110"/>
        </w:rPr>
        <w:t>boys.</w:t>
      </w:r>
    </w:p>
    <w:p>
      <w:pPr>
        <w:pStyle w:val="Heading1"/>
        <w:spacing w:before="151"/>
        <w:jc w:val="both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86"/>
        <w:ind w:right="43" w:firstLine="480"/>
      </w:pPr>
      <w:r>
        <w:rPr>
          <w:color w:val="231F20"/>
        </w:rPr>
        <w:t>This is a cross sectional study. We studied </w:t>
      </w:r>
      <w:r>
        <w:rPr>
          <w:color w:val="231F20"/>
        </w:rPr>
        <w:t>two groups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probands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ADHD:</w:t>
      </w:r>
      <w:r>
        <w:rPr>
          <w:color w:val="231F20"/>
          <w:spacing w:val="-6"/>
        </w:rPr>
        <w:t> </w:t>
      </w:r>
      <w:r>
        <w:rPr>
          <w:color w:val="231F20"/>
        </w:rPr>
        <w:t>76</w:t>
      </w:r>
      <w:r>
        <w:rPr>
          <w:color w:val="231F20"/>
          <w:spacing w:val="-6"/>
        </w:rPr>
        <w:t> </w:t>
      </w:r>
      <w:r>
        <w:rPr>
          <w:color w:val="231F20"/>
        </w:rPr>
        <w:t>girls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ADHD</w:t>
      </w:r>
      <w:r>
        <w:rPr>
          <w:color w:val="231F20"/>
          <w:spacing w:val="-6"/>
        </w:rPr>
        <w:t> </w:t>
      </w:r>
      <w:r>
        <w:rPr>
          <w:color w:val="231F20"/>
        </w:rPr>
        <w:t>and 71 comparison boys with ADHD. All probands were between the ages of 6 and 18 years. All of the ADHD probands met the DSM-IV diagnostic</w:t>
      </w:r>
      <w:r>
        <w:rPr>
          <w:color w:val="231F20"/>
          <w:spacing w:val="-9"/>
        </w:rPr>
        <w:t> </w:t>
      </w:r>
      <w:r>
        <w:rPr>
          <w:color w:val="231F20"/>
        </w:rPr>
        <w:t>criteria for ADHD</w:t>
      </w:r>
      <w:r>
        <w:rPr>
          <w:color w:val="231F20"/>
          <w:spacing w:val="40"/>
        </w:rPr>
        <w:t> </w:t>
      </w:r>
      <w:r>
        <w:rPr>
          <w:color w:val="231F20"/>
        </w:rPr>
        <w:t>at the time of the clinical referral; at the</w:t>
      </w:r>
      <w:r>
        <w:rPr>
          <w:color w:val="231F20"/>
          <w:spacing w:val="-14"/>
        </w:rPr>
        <w:t> </w:t>
      </w:r>
      <w:r>
        <w:rPr>
          <w:color w:val="231F20"/>
        </w:rPr>
        <w:t>time of recruit- ment they all had active symptoms of the disorder. After a description of the procedures and purpose of the study Parents gave written informed consent for participation of their children, and the children and adolescents pro- vided</w:t>
      </w:r>
      <w:r>
        <w:rPr>
          <w:color w:val="231F20"/>
          <w:spacing w:val="-9"/>
        </w:rPr>
        <w:t> </w:t>
      </w:r>
      <w:r>
        <w:rPr>
          <w:color w:val="231F20"/>
        </w:rPr>
        <w:t>written</w:t>
      </w:r>
      <w:r>
        <w:rPr>
          <w:color w:val="231F20"/>
          <w:spacing w:val="-9"/>
        </w:rPr>
        <w:t> </w:t>
      </w:r>
      <w:r>
        <w:rPr>
          <w:color w:val="231F20"/>
        </w:rPr>
        <w:t>assent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participation.</w:t>
      </w:r>
      <w:r>
        <w:rPr>
          <w:color w:val="231F20"/>
          <w:spacing w:val="36"/>
        </w:rPr>
        <w:t> </w:t>
      </w:r>
      <w:r>
        <w:rPr>
          <w:color w:val="231F20"/>
        </w:rPr>
        <w:t>Informed</w:t>
      </w:r>
      <w:r>
        <w:rPr>
          <w:color w:val="231F20"/>
          <w:spacing w:val="-9"/>
        </w:rPr>
        <w:t> </w:t>
      </w:r>
      <w:r>
        <w:rPr>
          <w:color w:val="231F20"/>
        </w:rPr>
        <w:t>con- sent (parent and children) was received before the ad- ministration of any study procedure in accordance with the ethical standards of the investigative site’s institu- tional review board and with the Helsinki declaration of 1975, as revised in 2000</w:t>
      </w:r>
      <w:r>
        <w:rPr>
          <w:color w:val="231F20"/>
          <w:position w:val="6"/>
          <w:sz w:val="10"/>
        </w:rPr>
        <w:t>16</w:t>
      </w:r>
      <w:r>
        <w:rPr>
          <w:color w:val="231F20"/>
        </w:rPr>
        <w:t>.</w:t>
      </w:r>
    </w:p>
    <w:p>
      <w:pPr>
        <w:pStyle w:val="BodyText"/>
        <w:spacing w:line="244" w:lineRule="auto" w:before="120"/>
        <w:ind w:right="44" w:firstLine="480"/>
      </w:pPr>
      <w:r>
        <w:rPr>
          <w:color w:val="231F20"/>
          <w:w w:val="105"/>
        </w:rPr>
        <w:t>Potential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excluded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 adopted,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nuclear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</w:rPr>
        <w:t>study.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excluded</w:t>
      </w:r>
      <w:r>
        <w:rPr>
          <w:color w:val="231F20"/>
          <w:spacing w:val="-5"/>
        </w:rPr>
        <w:t> </w:t>
      </w:r>
      <w:r>
        <w:rPr>
          <w:color w:val="231F20"/>
        </w:rPr>
        <w:t>subjects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sensorimo- </w:t>
      </w:r>
      <w:r>
        <w:rPr>
          <w:color w:val="231F20"/>
          <w:w w:val="105"/>
        </w:rPr>
        <w:t>tor handicaps (paralysis, deafness, and blindness), psy- chosis, autism, or a Full-Scale IQ less than 80</w:t>
      </w:r>
      <w:r>
        <w:rPr>
          <w:color w:val="231F20"/>
          <w:w w:val="105"/>
          <w:position w:val="6"/>
          <w:sz w:val="10"/>
        </w:rPr>
        <w:t>17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/>
        <w:ind w:right="116" w:firstLine="480"/>
      </w:pPr>
      <w:r>
        <w:rPr/>
        <w:br w:type="column"/>
      </w:r>
      <w:r>
        <w:rPr>
          <w:color w:val="231F20"/>
          <w:w w:val="105"/>
        </w:rPr>
        <w:t>We selected participants in the study from con- secutive referrals to a child and adolescent psychiatry clinic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Sheikh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Hospital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clinic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subspecialty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hos- pital for children in Mashhad, Iran) Subjects were en- </w:t>
      </w:r>
      <w:r>
        <w:rPr>
          <w:color w:val="231F20"/>
        </w:rPr>
        <w:t>rolled in the study between November 2002 and March </w:t>
      </w:r>
      <w:r>
        <w:rPr>
          <w:color w:val="231F20"/>
          <w:w w:val="105"/>
        </w:rPr>
        <w:t>2004, Parents, pediatricians, and schools had referred these children for psychiatric evaluations.</w:t>
      </w:r>
    </w:p>
    <w:p>
      <w:pPr>
        <w:pStyle w:val="BodyText"/>
        <w:spacing w:line="244" w:lineRule="auto" w:before="60"/>
        <w:ind w:right="112" w:firstLine="480"/>
      </w:pPr>
      <w:r>
        <w:rPr>
          <w:color w:val="231F20"/>
          <w:w w:val="105"/>
        </w:rPr>
        <w:t>Two-stage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ascertainment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w w:val="105"/>
        </w:rPr>
        <w:t> select</w:t>
      </w:r>
      <w:r>
        <w:rPr>
          <w:color w:val="231F20"/>
          <w:w w:val="105"/>
        </w:rPr>
        <w:t> the subjects.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children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ADHD,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w w:val="105"/>
        </w:rPr>
        <w:t> stage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patient’s referral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psychiatric clinic</w:t>
      </w:r>
      <w:r>
        <w:rPr>
          <w:color w:val="231F20"/>
          <w:w w:val="105"/>
        </w:rPr>
        <w:t> resulting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 clinical</w:t>
      </w:r>
      <w:r>
        <w:rPr>
          <w:color w:val="231F20"/>
          <w:w w:val="105"/>
        </w:rPr>
        <w:t> diagnosis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ADHD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 </w:t>
      </w:r>
      <w:r>
        <w:rPr>
          <w:color w:val="231F20"/>
        </w:rPr>
        <w:t>child</w:t>
      </w:r>
      <w:r>
        <w:rPr>
          <w:color w:val="231F20"/>
          <w:spacing w:val="-14"/>
        </w:rPr>
        <w:t> </w:t>
      </w:r>
      <w:r>
        <w:rPr>
          <w:color w:val="231F20"/>
        </w:rPr>
        <w:t>psychiatrist,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clinic</w:t>
      </w:r>
      <w:r>
        <w:rPr>
          <w:color w:val="231F20"/>
          <w:spacing w:val="-4"/>
        </w:rPr>
        <w:t> </w:t>
      </w:r>
      <w:r>
        <w:rPr>
          <w:color w:val="231F20"/>
        </w:rPr>
        <w:t>record.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confirmed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made </w:t>
      </w:r>
      <w:r>
        <w:rPr>
          <w:color w:val="231F20"/>
          <w:spacing w:val="-2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face-to-face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structured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interviews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mother.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Only </w:t>
      </w:r>
      <w:r>
        <w:rPr>
          <w:color w:val="231F20"/>
          <w:w w:val="105"/>
        </w:rPr>
        <w:t>patients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who received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diagnosis of ADHD at all two stages were included in the final analysis.</w:t>
      </w:r>
    </w:p>
    <w:p>
      <w:pPr>
        <w:pStyle w:val="BodyText"/>
        <w:spacing w:line="244" w:lineRule="auto" w:before="59"/>
        <w:ind w:right="114" w:firstLine="480"/>
      </w:pPr>
      <w:r>
        <w:rPr>
          <w:color w:val="231F20"/>
          <w:w w:val="105"/>
        </w:rPr>
        <w:t>Psychiatric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assessments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children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made by using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Persian version</w:t>
      </w:r>
      <w:r>
        <w:rPr>
          <w:color w:val="231F20"/>
          <w:w w:val="105"/>
          <w:position w:val="6"/>
          <w:sz w:val="10"/>
        </w:rPr>
        <w:t>*</w:t>
      </w:r>
      <w:r>
        <w:rPr>
          <w:color w:val="231F20"/>
          <w:spacing w:val="36"/>
          <w:w w:val="105"/>
          <w:position w:val="6"/>
          <w:sz w:val="10"/>
        </w:rPr>
        <w:t> </w:t>
      </w:r>
      <w:r>
        <w:rPr>
          <w:color w:val="231F20"/>
          <w:w w:val="105"/>
        </w:rPr>
        <w:t>of Schedule for Affective Disorders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Schizophrenia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School-Age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Children— Epidemiologic Version (K-SADS-E)</w:t>
      </w:r>
      <w:r>
        <w:rPr>
          <w:color w:val="231F20"/>
          <w:w w:val="105"/>
          <w:position w:val="6"/>
          <w:sz w:val="10"/>
        </w:rPr>
        <w:t>18,19</w:t>
      </w:r>
      <w:r>
        <w:rPr>
          <w:color w:val="231F20"/>
          <w:w w:val="105"/>
        </w:rPr>
        <w:t>. Diagnoses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were based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interviews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mothers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</w:rPr>
        <w:t>direct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interviews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children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older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younger </w:t>
      </w:r>
      <w:r>
        <w:rPr>
          <w:color w:val="231F20"/>
          <w:w w:val="105"/>
        </w:rPr>
        <w:t>than</w:t>
      </w:r>
      <w:r>
        <w:rPr>
          <w:color w:val="231F20"/>
          <w:w w:val="105"/>
        </w:rPr>
        <w:t> 12</w:t>
      </w:r>
      <w:r>
        <w:rPr>
          <w:color w:val="231F20"/>
          <w:w w:val="105"/>
        </w:rPr>
        <w:t> years.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assessments were</w:t>
      </w:r>
      <w:r>
        <w:rPr>
          <w:color w:val="231F20"/>
          <w:w w:val="105"/>
        </w:rPr>
        <w:t> made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raters </w:t>
      </w:r>
      <w:r>
        <w:rPr>
          <w:color w:val="231F20"/>
        </w:rPr>
        <w:t>who were blind to the child’s diagnosis</w:t>
      </w:r>
      <w:r>
        <w:rPr>
          <w:color w:val="231F20"/>
          <w:spacing w:val="-12"/>
        </w:rPr>
        <w:t> </w:t>
      </w:r>
      <w:r>
        <w:rPr>
          <w:color w:val="231F20"/>
        </w:rPr>
        <w:t>. Different inter- viewers</w:t>
      </w:r>
      <w:r>
        <w:rPr>
          <w:color w:val="231F20"/>
          <w:spacing w:val="-14"/>
        </w:rPr>
        <w:t> </w:t>
      </w:r>
      <w:r>
        <w:rPr>
          <w:color w:val="231F20"/>
        </w:rPr>
        <w:t>met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mothers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children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maintain</w:t>
      </w:r>
      <w:r>
        <w:rPr>
          <w:color w:val="231F20"/>
          <w:spacing w:val="-6"/>
        </w:rPr>
        <w:t> </w:t>
      </w:r>
      <w:r>
        <w:rPr>
          <w:color w:val="231F20"/>
        </w:rPr>
        <w:t>blind- </w:t>
      </w:r>
      <w:r>
        <w:rPr>
          <w:color w:val="231F20"/>
          <w:w w:val="105"/>
        </w:rPr>
        <w:t>ness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ADHD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status and to prevent information from one informant influencing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 assessment of the other.</w:t>
      </w:r>
    </w:p>
    <w:p>
      <w:pPr>
        <w:pStyle w:val="BodyText"/>
        <w:spacing w:line="244" w:lineRule="auto" w:before="58"/>
        <w:ind w:right="116" w:firstLine="480"/>
      </w:pPr>
      <w:r>
        <w:rPr>
          <w:color w:val="231F20"/>
          <w:w w:val="105"/>
        </w:rPr>
        <w:t>A committee of three psychiatrists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board certified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adult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psychiatry,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resolved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 diagnostic uncertainties.</w:t>
      </w:r>
    </w:p>
    <w:p>
      <w:pPr>
        <w:pStyle w:val="BodyText"/>
        <w:spacing w:line="244" w:lineRule="auto" w:before="60"/>
        <w:ind w:right="112" w:firstLine="480"/>
      </w:pPr>
      <w:r>
        <w:rPr>
          <w:color w:val="231F20"/>
          <w:w w:val="105"/>
        </w:rPr>
        <w:t>Chi-square tests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compare</w:t>
      </w:r>
      <w:r>
        <w:rPr>
          <w:color w:val="231F20"/>
          <w:w w:val="105"/>
        </w:rPr>
        <w:t> risk</w:t>
      </w:r>
      <w:r>
        <w:rPr>
          <w:color w:val="231F20"/>
          <w:w w:val="105"/>
        </w:rPr>
        <w:t> of </w:t>
      </w:r>
      <w:r>
        <w:rPr>
          <w:color w:val="231F20"/>
        </w:rPr>
        <w:t>ADHD in the relatives of ADHD probands between girls </w:t>
      </w:r>
      <w:r>
        <w:rPr>
          <w:color w:val="231F20"/>
          <w:w w:val="105"/>
        </w:rPr>
        <w:t>and boys groups. The statistical significance was set at P value less than .05.</w:t>
      </w:r>
    </w:p>
    <w:p>
      <w:pPr>
        <w:pStyle w:val="Heading1"/>
        <w:spacing w:before="113"/>
        <w:ind w:left="119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 w:before="68"/>
        <w:ind w:right="112" w:firstLine="480"/>
      </w:pPr>
      <w:r>
        <w:rPr>
          <w:color w:val="231F20"/>
        </w:rPr>
        <w:t>There is no meaningful statistically significant differences in the sex of probands.the proportion of</w:t>
      </w:r>
      <w:r>
        <w:rPr>
          <w:color w:val="231F20"/>
          <w:spacing w:val="80"/>
        </w:rPr>
        <w:t> </w:t>
      </w:r>
      <w:r>
        <w:rPr>
          <w:color w:val="231F20"/>
        </w:rPr>
        <w:t>male was 48.3 %( n=71) and female 51.7 %( n=76).</w:t>
      </w:r>
      <w:r>
        <w:rPr>
          <w:color w:val="231F20"/>
          <w:spacing w:val="40"/>
        </w:rPr>
        <w:t> </w:t>
      </w:r>
      <w:r>
        <w:rPr>
          <w:color w:val="231F20"/>
        </w:rPr>
        <w:t>The majority of probands were between 7-12 years old </w:t>
      </w:r>
      <w:r>
        <w:rPr>
          <w:color w:val="231F20"/>
          <w:spacing w:val="-2"/>
        </w:rPr>
        <w:t>(68%).</w:t>
      </w:r>
    </w:p>
    <w:p>
      <w:pPr>
        <w:pStyle w:val="BodyText"/>
        <w:spacing w:line="244" w:lineRule="auto" w:before="59"/>
        <w:ind w:right="116" w:firstLine="480"/>
      </w:pPr>
      <w:r>
        <w:rPr>
          <w:color w:val="231F20"/>
          <w:w w:val="110"/>
        </w:rPr>
        <w:t>Demographic characteristics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subjects are presented in Table 1</w:t>
      </w:r>
    </w:p>
    <w:p>
      <w:pPr>
        <w:pStyle w:val="BodyText"/>
        <w:spacing w:line="244" w:lineRule="auto" w:before="61"/>
        <w:ind w:right="113" w:firstLine="480"/>
      </w:pPr>
      <w:r>
        <w:rPr>
          <w:color w:val="231F20"/>
          <w:w w:val="95"/>
        </w:rPr>
        <w:t>The profile of psychiatric co-morbidity of ADHD was </w:t>
      </w:r>
      <w:r>
        <w:rPr>
          <w:color w:val="231F20"/>
          <w:w w:val="105"/>
        </w:rPr>
        <w:t>broadly</w:t>
      </w:r>
      <w:r>
        <w:rPr>
          <w:color w:val="231F20"/>
          <w:w w:val="105"/>
        </w:rPr>
        <w:t> similar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boys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girls</w:t>
      </w:r>
      <w:r>
        <w:rPr>
          <w:color w:val="231F20"/>
          <w:w w:val="105"/>
        </w:rPr>
        <w:t> (Table</w:t>
      </w:r>
      <w:r>
        <w:rPr>
          <w:color w:val="231F20"/>
          <w:w w:val="105"/>
        </w:rPr>
        <w:t> 2).</w:t>
      </w:r>
      <w:r>
        <w:rPr>
          <w:color w:val="231F20"/>
          <w:w w:val="105"/>
        </w:rPr>
        <w:t> Although mood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(depressive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bipolar), anxiety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enuresis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common in males but there were no significant differences be- tween them. OCD and Learning disorders were more prevalent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girls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statistically </w:t>
      </w:r>
      <w:r>
        <w:rPr>
          <w:color w:val="231F20"/>
          <w:spacing w:val="-2"/>
          <w:w w:val="105"/>
        </w:rPr>
        <w:t>significant.</w:t>
      </w:r>
    </w:p>
    <w:p>
      <w:pPr>
        <w:pStyle w:val="BodyText"/>
        <w:spacing w:line="244" w:lineRule="auto" w:before="59"/>
        <w:ind w:left="120" w:right="107" w:firstLine="480"/>
      </w:pPr>
      <w:r>
        <w:rPr>
          <w:color w:val="231F20"/>
          <w:w w:val="105"/>
        </w:rPr>
        <w:t>For substance use disorders 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was a signifi- cant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2"/>
          <w:w w:val="105"/>
        </w:rPr>
        <w:t>gender-by-</w:t>
      </w:r>
      <w:r>
        <w:rPr>
          <w:color w:val="231F20"/>
          <w:spacing w:val="10"/>
          <w:w w:val="105"/>
        </w:rPr>
        <w:t>diagnosis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1"/>
          <w:w w:val="105"/>
        </w:rPr>
        <w:t>interaction,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0"/>
          <w:w w:val="105"/>
        </w:rPr>
        <w:t>indicating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before="6"/>
        <w:ind w:left="0"/>
        <w:jc w:val="left"/>
        <w:rPr>
          <w:sz w:val="4"/>
        </w:rPr>
      </w:pPr>
    </w:p>
    <w:p>
      <w:pPr>
        <w:pStyle w:val="BodyText"/>
        <w:spacing w:line="20" w:lineRule="exact" w:before="0"/>
        <w:ind w:left="120"/>
        <w:jc w:val="left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id="docshapegroup5" coordorigin="0,0" coordsize="9360,10">
            <v:line style="position:absolute" from="0,5" to="9360,5" stroked="true" strokeweight=".4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56" w:lineRule="auto" w:before="50"/>
        <w:ind w:left="360" w:right="113" w:hanging="240"/>
        <w:jc w:val="both"/>
        <w:rPr>
          <w:rFonts w:ascii="Trebuchet MS" w:hAnsi="Trebuchet MS"/>
          <w:i/>
          <w:sz w:val="16"/>
        </w:rPr>
      </w:pPr>
      <w:r>
        <w:rPr>
          <w:color w:val="231F20"/>
          <w:sz w:val="16"/>
        </w:rPr>
        <w:t>*</w:t>
      </w:r>
      <w:r>
        <w:rPr>
          <w:color w:val="231F20"/>
          <w:spacing w:val="4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Reliability and validity of the Farsi (Persian) version of (K-SADS-PL) was done in Iran. There was sufficient validity and test-</w:t>
      </w:r>
      <w:r>
        <w:rPr>
          <w:rFonts w:ascii="Trebuchet MS" w:hAnsi="Trebuchet MS"/>
          <w:i/>
          <w:color w:val="231F20"/>
          <w:sz w:val="16"/>
        </w:rPr>
        <w:t> </w:t>
      </w:r>
      <w:r>
        <w:rPr>
          <w:rFonts w:ascii="Trebuchet MS" w:hAnsi="Trebuchet MS"/>
          <w:i/>
          <w:color w:val="231F20"/>
          <w:w w:val="95"/>
          <w:sz w:val="16"/>
        </w:rPr>
        <w:t>retest and inter-rater reliability and good to excellent sensitivity and specifity and positive and negative predictive validity for </w:t>
      </w:r>
      <w:r>
        <w:rPr>
          <w:rFonts w:ascii="Trebuchet MS" w:hAnsi="Trebuchet MS"/>
          <w:i/>
          <w:color w:val="231F20"/>
          <w:sz w:val="16"/>
        </w:rPr>
        <w:t>nearly all of the disorders. Validity for ADHD, ODD, tic disorder and …were 0.69, 0.41, 0.42; respectively. Reliabilities of ADHD,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ODD,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tic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disorder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and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…were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0.8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0.67,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0.56.sensitivity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of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ADHD,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ODD,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tic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disorder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and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…were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0.77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0.40,</w:t>
      </w:r>
      <w:r>
        <w:rPr>
          <w:rFonts w:ascii="Trebuchet MS" w:hAnsi="Trebuchet MS"/>
          <w:i/>
          <w:color w:val="231F20"/>
          <w:spacing w:val="20"/>
          <w:sz w:val="16"/>
        </w:rPr>
        <w:t> </w:t>
      </w:r>
      <w:r>
        <w:rPr>
          <w:rFonts w:ascii="Trebuchet MS" w:hAnsi="Trebuchet MS"/>
          <w:i/>
          <w:color w:val="231F20"/>
          <w:sz w:val="16"/>
        </w:rPr>
        <w:t>0.47.</w:t>
      </w:r>
    </w:p>
    <w:p>
      <w:pPr>
        <w:spacing w:after="0" w:line="256" w:lineRule="auto"/>
        <w:jc w:val="both"/>
        <w:rPr>
          <w:rFonts w:ascii="Trebuchet MS" w:hAnsi="Trebuchet MS"/>
          <w:sz w:val="16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ind w:left="207" w:right="134"/>
        <w:jc w:val="center"/>
      </w:pPr>
      <w:r>
        <w:rPr>
          <w:color w:val="231F20"/>
          <w:w w:val="115"/>
        </w:rPr>
        <w:t>Table</w:t>
      </w:r>
      <w:r>
        <w:rPr>
          <w:color w:val="231F20"/>
          <w:spacing w:val="52"/>
          <w:w w:val="120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line="244" w:lineRule="auto" w:before="65"/>
        <w:ind w:left="221" w:right="134"/>
        <w:jc w:val="center"/>
      </w:pPr>
      <w:r>
        <w:rPr>
          <w:color w:val="231F20"/>
          <w:spacing w:val="11"/>
          <w:w w:val="105"/>
        </w:rPr>
        <w:t>Demographic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2"/>
          <w:w w:val="105"/>
        </w:rPr>
        <w:t>Characteristics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2"/>
          <w:w w:val="105"/>
        </w:rPr>
        <w:t>Subjects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3"/>
          <w:w w:val="105"/>
        </w:rPr>
        <w:t>with Attention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2"/>
          <w:w w:val="105"/>
        </w:rPr>
        <w:t>Deficit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3"/>
          <w:w w:val="105"/>
        </w:rPr>
        <w:t>Hyperactivity</w:t>
      </w:r>
      <w:r>
        <w:rPr>
          <w:color w:val="231F20"/>
          <w:spacing w:val="15"/>
          <w:w w:val="105"/>
        </w:rPr>
        <w:t> Disorder</w:t>
      </w:r>
    </w:p>
    <w:p>
      <w:pPr>
        <w:pStyle w:val="BodyText"/>
        <w:spacing w:line="215" w:lineRule="exact" w:before="0"/>
        <w:ind w:left="221" w:right="126"/>
        <w:jc w:val="center"/>
      </w:pPr>
      <w:r>
        <w:rPr>
          <w:color w:val="231F20"/>
          <w:spacing w:val="14"/>
        </w:rPr>
        <w:t>(ADHD) </w:t>
      </w:r>
    </w:p>
    <w:p>
      <w:pPr>
        <w:pStyle w:val="BodyText"/>
        <w:spacing w:before="3"/>
        <w:ind w:left="0"/>
        <w:jc w:val="left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090"/>
      </w:tblGrid>
      <w:tr>
        <w:trPr>
          <w:trHeight w:val="383" w:hRule="atLeast"/>
        </w:trPr>
        <w:tc>
          <w:tcPr>
            <w:tcW w:w="2400" w:type="dxa"/>
          </w:tcPr>
          <w:p>
            <w:pPr>
              <w:pStyle w:val="TableParagraph"/>
              <w:spacing w:before="46"/>
              <w:ind w:left="71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5"/>
                <w:sz w:val="18"/>
              </w:rPr>
              <w:t>Sex</w:t>
            </w:r>
          </w:p>
        </w:tc>
        <w:tc>
          <w:tcPr>
            <w:tcW w:w="2090" w:type="dxa"/>
          </w:tcPr>
          <w:p>
            <w:pPr>
              <w:pStyle w:val="TableParagraph"/>
              <w:spacing w:before="46"/>
              <w:ind w:left="71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N(%)</w:t>
            </w:r>
          </w:p>
        </w:tc>
      </w:tr>
      <w:tr>
        <w:trPr>
          <w:trHeight w:val="371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5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Male</w:t>
            </w:r>
          </w:p>
        </w:tc>
        <w:tc>
          <w:tcPr>
            <w:tcW w:w="209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4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71</w:t>
            </w:r>
            <w:r>
              <w:rPr>
                <w:color w:val="231F20"/>
                <w:spacing w:val="39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(48/3)</w:t>
            </w:r>
          </w:p>
        </w:tc>
      </w:tr>
      <w:tr>
        <w:trPr>
          <w:trHeight w:val="406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ind w:left="715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Female</w:t>
            </w:r>
          </w:p>
        </w:tc>
        <w:tc>
          <w:tcPr>
            <w:tcW w:w="2090" w:type="dxa"/>
            <w:tcBorders>
              <w:top w:val="nil"/>
            </w:tcBorders>
          </w:tcPr>
          <w:p>
            <w:pPr>
              <w:pStyle w:val="TableParagraph"/>
              <w:ind w:left="71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76</w:t>
            </w:r>
            <w:r>
              <w:rPr>
                <w:color w:val="231F20"/>
                <w:spacing w:val="2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(51/7)</w:t>
            </w:r>
          </w:p>
        </w:tc>
      </w:tr>
      <w:tr>
        <w:trPr>
          <w:trHeight w:val="436" w:hRule="atLeast"/>
        </w:trPr>
        <w:tc>
          <w:tcPr>
            <w:tcW w:w="2400" w:type="dxa"/>
          </w:tcPr>
          <w:p>
            <w:pPr>
              <w:pStyle w:val="TableParagraph"/>
              <w:spacing w:before="99"/>
              <w:ind w:left="71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Age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(years)</w:t>
            </w:r>
          </w:p>
        </w:tc>
        <w:tc>
          <w:tcPr>
            <w:tcW w:w="20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240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5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4–6</w:t>
            </w:r>
          </w:p>
        </w:tc>
        <w:tc>
          <w:tcPr>
            <w:tcW w:w="209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1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  <w:r>
              <w:rPr>
                <w:color w:val="231F20"/>
                <w:spacing w:val="16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(15)</w:t>
            </w:r>
          </w:p>
        </w:tc>
      </w:tr>
      <w:tr>
        <w:trPr>
          <w:trHeight w:val="340" w:hRule="atLeast"/>
        </w:trPr>
        <w:tc>
          <w:tcPr>
            <w:tcW w:w="2400" w:type="dxa"/>
            <w:tcBorders>
              <w:top w:val="nil"/>
              <w:bottom w:val="nil"/>
            </w:tcBorders>
          </w:tcPr>
          <w:p>
            <w:pPr>
              <w:pStyle w:val="TableParagraph"/>
              <w:ind w:left="715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7–12</w:t>
            </w:r>
          </w:p>
        </w:tc>
        <w:tc>
          <w:tcPr>
            <w:tcW w:w="2090" w:type="dxa"/>
            <w:tcBorders>
              <w:top w:val="nil"/>
              <w:bottom w:val="nil"/>
            </w:tcBorders>
          </w:tcPr>
          <w:p>
            <w:pPr>
              <w:pStyle w:val="TableParagraph"/>
              <w:ind w:left="7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  <w:r>
              <w:rPr>
                <w:color w:val="231F20"/>
                <w:spacing w:val="41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(68)</w:t>
            </w:r>
          </w:p>
        </w:tc>
      </w:tr>
      <w:tr>
        <w:trPr>
          <w:trHeight w:val="421" w:hRule="atLeast"/>
        </w:trPr>
        <w:tc>
          <w:tcPr>
            <w:tcW w:w="2400" w:type="dxa"/>
            <w:tcBorders>
              <w:top w:val="nil"/>
            </w:tcBorders>
          </w:tcPr>
          <w:p>
            <w:pPr>
              <w:pStyle w:val="TableParagraph"/>
              <w:ind w:left="715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w w:val="110"/>
                <w:sz w:val="18"/>
              </w:rPr>
              <w:t>13–18</w:t>
            </w:r>
          </w:p>
        </w:tc>
        <w:tc>
          <w:tcPr>
            <w:tcW w:w="2090" w:type="dxa"/>
            <w:tcBorders>
              <w:top w:val="nil"/>
            </w:tcBorders>
          </w:tcPr>
          <w:p>
            <w:pPr>
              <w:pStyle w:val="TableParagraph"/>
              <w:ind w:left="71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  <w:r>
              <w:rPr>
                <w:color w:val="231F20"/>
                <w:spacing w:val="1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(16.3)</w:t>
            </w:r>
          </w:p>
        </w:tc>
      </w:tr>
    </w:tbl>
    <w:p>
      <w:pPr>
        <w:pStyle w:val="BodyText"/>
        <w:spacing w:line="244" w:lineRule="auto" w:before="135"/>
        <w:ind w:right="38"/>
      </w:pPr>
      <w:r>
        <w:rPr>
          <w:color w:val="231F20"/>
          <w:w w:val="105"/>
        </w:rPr>
        <w:t>that</w:t>
      </w:r>
      <w:r>
        <w:rPr>
          <w:color w:val="231F20"/>
          <w:w w:val="105"/>
        </w:rPr>
        <w:t> ADHD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weaker</w:t>
      </w:r>
      <w:r>
        <w:rPr>
          <w:color w:val="231F20"/>
          <w:w w:val="105"/>
        </w:rPr>
        <w:t> risk</w:t>
      </w:r>
      <w:r>
        <w:rPr>
          <w:color w:val="231F20"/>
          <w:w w:val="105"/>
        </w:rPr>
        <w:t> factor</w:t>
      </w:r>
      <w:r>
        <w:rPr>
          <w:color w:val="231F20"/>
          <w:w w:val="105"/>
        </w:rPr>
        <w:t> for substance 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boys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girls. For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the gender-by-diagnosis</w:t>
      </w:r>
      <w:r>
        <w:rPr>
          <w:color w:val="231F20"/>
          <w:w w:val="105"/>
        </w:rPr>
        <w:t> inter- 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 not significant, indicating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 other gender differences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boys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girls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ADHD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were the same.</w:t>
      </w:r>
    </w:p>
    <w:p>
      <w:pPr>
        <w:pStyle w:val="Heading1"/>
        <w:spacing w:before="115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65"/>
        <w:ind w:right="38" w:firstLine="480"/>
      </w:pP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study,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assessed</w:t>
      </w:r>
      <w:r>
        <w:rPr>
          <w:color w:val="231F20"/>
          <w:spacing w:val="40"/>
        </w:rPr>
        <w:t> </w:t>
      </w:r>
      <w:r>
        <w:rPr>
          <w:color w:val="231F20"/>
        </w:rPr>
        <w:t>co-morbid</w:t>
      </w:r>
      <w:r>
        <w:rPr>
          <w:color w:val="231F20"/>
          <w:spacing w:val="40"/>
        </w:rPr>
        <w:t> </w:t>
      </w:r>
      <w:r>
        <w:rPr>
          <w:color w:val="231F20"/>
        </w:rPr>
        <w:t>disorders with</w:t>
      </w:r>
      <w:r>
        <w:rPr>
          <w:color w:val="231F20"/>
          <w:spacing w:val="-9"/>
        </w:rPr>
        <w:t> </w:t>
      </w:r>
      <w:r>
        <w:rPr>
          <w:color w:val="231F20"/>
        </w:rPr>
        <w:t>ADHD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girls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boys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determine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co-morbidity of ADHD could explain discrepancy in the male-to-fe- male ratio between clinic-referred</w:t>
      </w:r>
      <w:r>
        <w:rPr>
          <w:color w:val="231F20"/>
          <w:spacing w:val="40"/>
        </w:rPr>
        <w:t> </w:t>
      </w:r>
      <w:r>
        <w:rPr>
          <w:color w:val="231F20"/>
        </w:rPr>
        <w:t>and community samples of children with ADHD.</w:t>
      </w:r>
    </w:p>
    <w:p>
      <w:pPr>
        <w:pStyle w:val="BodyText"/>
        <w:spacing w:line="244" w:lineRule="auto" w:before="80"/>
        <w:ind w:right="42" w:firstLine="480"/>
      </w:pPr>
      <w:r>
        <w:rPr>
          <w:color w:val="231F20"/>
          <w:w w:val="105"/>
        </w:rPr>
        <w:t>Our finding refutes our hypothesis that we pre- </w:t>
      </w:r>
      <w:r>
        <w:rPr>
          <w:color w:val="231F20"/>
        </w:rPr>
        <w:t>dicted,</w:t>
      </w:r>
      <w:r>
        <w:rPr>
          <w:color w:val="231F20"/>
          <w:spacing w:val="-5"/>
        </w:rPr>
        <w:t> </w:t>
      </w:r>
      <w:r>
        <w:rPr>
          <w:color w:val="231F20"/>
        </w:rPr>
        <w:t>ADHD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girls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referred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clinic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be characterized</w:t>
      </w:r>
      <w:r>
        <w:rPr>
          <w:color w:val="231F20"/>
          <w:spacing w:val="-14"/>
        </w:rPr>
        <w:t> </w:t>
      </w:r>
      <w:r>
        <w:rPr>
          <w:color w:val="231F20"/>
        </w:rPr>
        <w:t>by lower rates of co-morbid disruptive be- </w:t>
      </w:r>
      <w:r>
        <w:rPr>
          <w:color w:val="231F20"/>
          <w:w w:val="105"/>
        </w:rPr>
        <w:t>havior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disorder,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anxiety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depres- sion than ADHD in boys.</w:t>
      </w:r>
    </w:p>
    <w:p>
      <w:pPr>
        <w:pStyle w:val="BodyText"/>
        <w:spacing w:line="244" w:lineRule="auto"/>
        <w:ind w:right="115" w:firstLine="480"/>
      </w:pPr>
      <w:r>
        <w:rPr/>
        <w:br w:type="column"/>
      </w:r>
      <w:r>
        <w:rPr>
          <w:color w:val="231F20"/>
        </w:rPr>
        <w:t>According prior reports</w:t>
      </w:r>
      <w:r>
        <w:rPr>
          <w:color w:val="231F20"/>
          <w:position w:val="6"/>
          <w:sz w:val="10"/>
        </w:rPr>
        <w:t>15</w:t>
      </w:r>
      <w:r>
        <w:rPr>
          <w:color w:val="231F20"/>
        </w:rPr>
        <w:t>, girls with ADHD were at </w:t>
      </w:r>
      <w:r>
        <w:rPr>
          <w:color w:val="231F20"/>
          <w:w w:val="105"/>
        </w:rPr>
        <w:t>significant risk for substance use disorder, but current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doesn’t</w:t>
      </w:r>
      <w:r>
        <w:rPr>
          <w:color w:val="231F20"/>
          <w:spacing w:val="-1"/>
        </w:rPr>
        <w:t> </w:t>
      </w:r>
      <w:r>
        <w:rPr>
          <w:color w:val="231F20"/>
        </w:rPr>
        <w:t>show</w:t>
      </w:r>
      <w:r>
        <w:rPr>
          <w:color w:val="231F20"/>
          <w:spacing w:val="-1"/>
        </w:rPr>
        <w:t> </w:t>
      </w:r>
      <w:r>
        <w:rPr>
          <w:color w:val="231F20"/>
        </w:rPr>
        <w:t>it.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finding</w:t>
      </w:r>
      <w:r>
        <w:rPr>
          <w:color w:val="231F20"/>
          <w:spacing w:val="-1"/>
        </w:rPr>
        <w:t> </w:t>
      </w:r>
      <w:r>
        <w:rPr>
          <w:color w:val="231F20"/>
        </w:rPr>
        <w:t>shows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gender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substance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girls. This finding should be interpreted by considering the </w:t>
      </w:r>
      <w:r>
        <w:rPr>
          <w:color w:val="231F20"/>
        </w:rPr>
        <w:t>ages of our participants. The ages of onset of ADHD and </w:t>
      </w:r>
      <w:r>
        <w:rPr>
          <w:color w:val="231F20"/>
          <w:w w:val="105"/>
        </w:rPr>
        <w:t>substance use disorder are separated by at least a de- cade so the longitudinal studies are needed to confirm this finding</w:t>
      </w:r>
      <w:r>
        <w:rPr>
          <w:color w:val="231F20"/>
          <w:w w:val="105"/>
          <w:position w:val="6"/>
          <w:sz w:val="10"/>
        </w:rPr>
        <w:t>20,21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81"/>
        <w:ind w:left="120" w:right="114" w:firstLine="480"/>
      </w:pPr>
      <w:r>
        <w:rPr>
          <w:color w:val="231F20"/>
        </w:rPr>
        <w:t>According the previous studies, boys with ADHD had significantly higher rates of co-morbid disruptive behavior disorder than girls in both clinical and referral samples</w:t>
      </w:r>
      <w:r>
        <w:rPr>
          <w:color w:val="231F20"/>
          <w:position w:val="6"/>
          <w:sz w:val="10"/>
        </w:rPr>
        <w:t>22-25</w:t>
      </w:r>
      <w:r>
        <w:rPr>
          <w:color w:val="231F20"/>
        </w:rPr>
        <w:t>. But current study doesn’t show many dif- ferences between girls and boys, thus gender and ADHD appear to be independent risk factors for co-morbid psy- </w:t>
      </w:r>
      <w:r>
        <w:rPr>
          <w:color w:val="231F20"/>
          <w:spacing w:val="-2"/>
        </w:rPr>
        <w:t>chopathology.</w:t>
      </w:r>
    </w:p>
    <w:p>
      <w:pPr>
        <w:pStyle w:val="BodyText"/>
        <w:spacing w:line="244" w:lineRule="auto" w:before="57"/>
        <w:ind w:left="120" w:right="115" w:firstLine="480"/>
      </w:pPr>
      <w:r>
        <w:rPr>
          <w:color w:val="231F20"/>
        </w:rPr>
        <w:t>Our results must be interpreted in the context of methodological limitations. Because our sample </w:t>
      </w:r>
      <w:r>
        <w:rPr>
          <w:color w:val="231F20"/>
        </w:rPr>
        <w:t>was psychiatrically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pediatrically</w:t>
      </w:r>
      <w:r>
        <w:rPr>
          <w:color w:val="231F20"/>
          <w:spacing w:val="-13"/>
        </w:rPr>
        <w:t> </w:t>
      </w:r>
      <w:r>
        <w:rPr>
          <w:color w:val="231F20"/>
        </w:rPr>
        <w:t>referred,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know to what degree these findings will generalize to ADHD children in the community, also this result can explain that the girls who are referred to clinic have a more be- havior</w:t>
      </w:r>
      <w:r>
        <w:rPr>
          <w:color w:val="231F20"/>
          <w:spacing w:val="40"/>
        </w:rPr>
        <w:t> </w:t>
      </w:r>
      <w:r>
        <w:rPr>
          <w:color w:val="231F20"/>
        </w:rPr>
        <w:t>disruptive</w:t>
      </w:r>
      <w:r>
        <w:rPr>
          <w:color w:val="231F20"/>
          <w:spacing w:val="40"/>
        </w:rPr>
        <w:t> </w:t>
      </w:r>
      <w:r>
        <w:rPr>
          <w:color w:val="231F20"/>
        </w:rPr>
        <w:t>than</w:t>
      </w:r>
      <w:r>
        <w:rPr>
          <w:color w:val="231F20"/>
          <w:spacing w:val="40"/>
        </w:rPr>
        <w:t> </w:t>
      </w:r>
      <w:r>
        <w:rPr>
          <w:color w:val="231F20"/>
        </w:rPr>
        <w:t>community</w:t>
      </w:r>
      <w:r>
        <w:rPr>
          <w:color w:val="231F20"/>
          <w:spacing w:val="40"/>
        </w:rPr>
        <w:t> </w:t>
      </w:r>
      <w:r>
        <w:rPr>
          <w:color w:val="231F20"/>
        </w:rPr>
        <w:t>samples</w:t>
      </w:r>
      <w:r>
        <w:rPr>
          <w:color w:val="231F20"/>
          <w:spacing w:val="40"/>
        </w:rPr>
        <w:t> </w:t>
      </w:r>
      <w:r>
        <w:rPr>
          <w:color w:val="231F20"/>
        </w:rPr>
        <w:t>so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is no difference between girls and boys who are referred. Although our findings consist with some previous stud- ies</w:t>
      </w:r>
      <w:r>
        <w:rPr>
          <w:color w:val="231F20"/>
          <w:position w:val="6"/>
          <w:sz w:val="10"/>
        </w:rPr>
        <w:t>13,14</w:t>
      </w:r>
      <w:r>
        <w:rPr>
          <w:color w:val="231F20"/>
          <w:spacing w:val="30"/>
          <w:position w:val="6"/>
          <w:sz w:val="10"/>
        </w:rPr>
        <w:t> </w:t>
      </w:r>
      <w:r>
        <w:rPr>
          <w:color w:val="231F20"/>
        </w:rPr>
        <w:t>but it isn’t consistent with our hypothesis. We pre- dicted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mood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anxiety</w:t>
      </w:r>
      <w:r>
        <w:rPr>
          <w:color w:val="231F20"/>
          <w:spacing w:val="-6"/>
        </w:rPr>
        <w:t> </w:t>
      </w:r>
      <w:r>
        <w:rPr>
          <w:color w:val="231F20"/>
        </w:rPr>
        <w:t>co-morbid</w:t>
      </w:r>
      <w:r>
        <w:rPr>
          <w:color w:val="231F20"/>
          <w:spacing w:val="-6"/>
        </w:rPr>
        <w:t> </w:t>
      </w:r>
      <w:r>
        <w:rPr>
          <w:color w:val="231F20"/>
        </w:rPr>
        <w:t>in girls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lead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recognition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ADHD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girls.</w:t>
      </w:r>
    </w:p>
    <w:p>
      <w:pPr>
        <w:pStyle w:val="BodyText"/>
        <w:spacing w:line="244" w:lineRule="auto" w:before="81"/>
        <w:ind w:left="120" w:right="115" w:firstLine="480"/>
      </w:pPr>
      <w:r>
        <w:rPr>
          <w:color w:val="231F20"/>
        </w:rPr>
        <w:t>Methodological limitations of this study are our sample that was psychiatrically and pediatrically re- ferred, and we can’t generalize these findings to ADHD children in the community. Our results should be inter- preted in the context of the statistical power to detect significant interactions between gender and the diag- nosis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ADHD.</w:t>
      </w:r>
      <w:r>
        <w:rPr>
          <w:color w:val="231F20"/>
          <w:spacing w:val="23"/>
        </w:rPr>
        <w:t> </w:t>
      </w:r>
      <w:r>
        <w:rPr>
          <w:color w:val="231F20"/>
        </w:rPr>
        <w:t>Thus,</w:t>
      </w:r>
      <w:r>
        <w:rPr>
          <w:color w:val="231F20"/>
          <w:spacing w:val="23"/>
        </w:rPr>
        <w:t> </w:t>
      </w:r>
      <w:r>
        <w:rPr>
          <w:color w:val="231F20"/>
        </w:rPr>
        <w:t>replication</w:t>
      </w:r>
      <w:r>
        <w:rPr>
          <w:color w:val="231F20"/>
          <w:spacing w:val="23"/>
        </w:rPr>
        <w:t> </w:t>
      </w:r>
      <w:r>
        <w:rPr>
          <w:color w:val="231F20"/>
        </w:rPr>
        <w:t>studies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needed</w:t>
      </w:r>
      <w:r>
        <w:rPr>
          <w:color w:val="231F20"/>
          <w:spacing w:val="23"/>
        </w:rPr>
        <w:t> </w:t>
      </w:r>
      <w:r>
        <w:rPr>
          <w:color w:val="231F20"/>
          <w:spacing w:val="-5"/>
        </w:rPr>
        <w:t>to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spacing w:before="16"/>
        <w:ind w:left="678" w:right="678"/>
        <w:jc w:val="center"/>
      </w:pPr>
      <w:r>
        <w:rPr>
          <w:color w:val="231F20"/>
        </w:rPr>
        <w:t>Table</w:t>
      </w:r>
      <w:r>
        <w:rPr>
          <w:color w:val="231F20"/>
          <w:spacing w:val="38"/>
        </w:rPr>
        <w:t>  </w:t>
      </w:r>
      <w:r>
        <w:rPr>
          <w:color w:val="231F20"/>
          <w:spacing w:val="-10"/>
        </w:rPr>
        <w:t>2</w:t>
      </w:r>
    </w:p>
    <w:p>
      <w:pPr>
        <w:pStyle w:val="BodyText"/>
        <w:spacing w:line="244" w:lineRule="auto" w:before="43"/>
        <w:ind w:left="687" w:right="669"/>
        <w:jc w:val="center"/>
      </w:pPr>
      <w:r>
        <w:rPr>
          <w:color w:val="231F20"/>
          <w:spacing w:val="11"/>
        </w:rPr>
        <w:t>Lifetime</w:t>
      </w:r>
      <w:r>
        <w:rPr>
          <w:color w:val="231F20"/>
          <w:spacing w:val="80"/>
        </w:rPr>
        <w:t> </w:t>
      </w:r>
      <w:r>
        <w:rPr>
          <w:color w:val="231F20"/>
          <w:spacing w:val="11"/>
        </w:rPr>
        <w:t>Prevalence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80"/>
        </w:rPr>
        <w:t> </w:t>
      </w:r>
      <w:r>
        <w:rPr>
          <w:color w:val="231F20"/>
          <w:spacing w:val="11"/>
        </w:rPr>
        <w:t>psychiatric</w:t>
      </w:r>
      <w:r>
        <w:rPr>
          <w:color w:val="231F20"/>
          <w:spacing w:val="80"/>
        </w:rPr>
        <w:t> </w:t>
      </w:r>
      <w:r>
        <w:rPr>
          <w:color w:val="231F20"/>
          <w:spacing w:val="11"/>
        </w:rPr>
        <w:t>disorder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80"/>
        </w:rPr>
        <w:t> </w:t>
      </w:r>
      <w:r>
        <w:rPr>
          <w:color w:val="231F20"/>
          <w:spacing w:val="11"/>
        </w:rPr>
        <w:t>Subjects</w:t>
      </w:r>
      <w:r>
        <w:rPr>
          <w:color w:val="231F20"/>
          <w:spacing w:val="80"/>
        </w:rPr>
        <w:t> </w:t>
      </w:r>
      <w:r>
        <w:rPr>
          <w:color w:val="231F20"/>
          <w:spacing w:val="9"/>
        </w:rPr>
        <w:t>with</w:t>
      </w:r>
      <w:r>
        <w:rPr>
          <w:color w:val="231F20"/>
          <w:spacing w:val="80"/>
        </w:rPr>
        <w:t> </w:t>
      </w:r>
      <w:r>
        <w:rPr>
          <w:color w:val="231F20"/>
          <w:spacing w:val="11"/>
        </w:rPr>
        <w:t>Attention</w:t>
      </w:r>
      <w:r>
        <w:rPr>
          <w:color w:val="231F20"/>
          <w:spacing w:val="80"/>
        </w:rPr>
        <w:t> </w:t>
      </w:r>
      <w:r>
        <w:rPr>
          <w:color w:val="231F20"/>
          <w:spacing w:val="13"/>
        </w:rPr>
        <w:t>Deficit Hyperactivity</w:t>
      </w:r>
      <w:r>
        <w:rPr>
          <w:color w:val="231F20"/>
          <w:spacing w:val="40"/>
        </w:rPr>
        <w:t> </w:t>
      </w:r>
      <w:r>
        <w:rPr>
          <w:color w:val="231F20"/>
          <w:spacing w:val="13"/>
        </w:rPr>
        <w:t>Disorder</w:t>
      </w:r>
      <w:r>
        <w:rPr>
          <w:color w:val="231F20"/>
          <w:spacing w:val="40"/>
        </w:rPr>
        <w:t> </w:t>
      </w:r>
      <w:r>
        <w:rPr>
          <w:color w:val="231F20"/>
          <w:spacing w:val="15"/>
        </w:rPr>
        <w:t>(ADHD)</w:t>
      </w:r>
    </w:p>
    <w:p>
      <w:pPr>
        <w:pStyle w:val="BodyText"/>
        <w:spacing w:before="11"/>
        <w:ind w:left="0"/>
        <w:jc w:val="left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1"/>
        <w:gridCol w:w="900"/>
        <w:gridCol w:w="948"/>
        <w:gridCol w:w="751"/>
        <w:gridCol w:w="950"/>
        <w:gridCol w:w="1298"/>
        <w:gridCol w:w="1891"/>
      </w:tblGrid>
      <w:tr>
        <w:trPr>
          <w:trHeight w:val="329" w:hRule="atLeast"/>
        </w:trPr>
        <w:tc>
          <w:tcPr>
            <w:tcW w:w="2611" w:type="dxa"/>
            <w:vMerge w:val="restart"/>
          </w:tcPr>
          <w:p>
            <w:pPr>
              <w:pStyle w:val="TableParagraph"/>
              <w:spacing w:before="71"/>
              <w:ind w:left="115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105"/>
                <w:sz w:val="18"/>
              </w:rPr>
              <w:t>Psychiatric</w:t>
            </w:r>
            <w:r>
              <w:rPr>
                <w:rFonts w:ascii="Gill Sans MT"/>
                <w:b/>
                <w:color w:val="231F20"/>
                <w:spacing w:val="9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1848" w:type="dxa"/>
            <w:gridSpan w:val="2"/>
          </w:tcPr>
          <w:p>
            <w:pPr>
              <w:pStyle w:val="TableParagraph"/>
              <w:spacing w:before="71"/>
              <w:ind w:left="263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Female</w:t>
            </w:r>
            <w:r>
              <w:rPr>
                <w:rFonts w:ascii="Gill Sans MT"/>
                <w:b/>
                <w:color w:val="231F20"/>
                <w:spacing w:val="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Subjects</w:t>
            </w:r>
          </w:p>
        </w:tc>
        <w:tc>
          <w:tcPr>
            <w:tcW w:w="1701" w:type="dxa"/>
            <w:gridSpan w:val="2"/>
          </w:tcPr>
          <w:p>
            <w:pPr>
              <w:pStyle w:val="TableParagraph"/>
              <w:spacing w:before="71"/>
              <w:ind w:left="207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Male</w:t>
            </w:r>
            <w:r>
              <w:rPr>
                <w:rFonts w:ascii="Gill Sans MT"/>
                <w:b/>
                <w:color w:val="231F20"/>
                <w:spacing w:val="1"/>
                <w:w w:val="10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Subjects</w:t>
            </w:r>
          </w:p>
        </w:tc>
        <w:tc>
          <w:tcPr>
            <w:tcW w:w="1298" w:type="dxa"/>
            <w:vMerge w:val="restart"/>
          </w:tcPr>
          <w:p>
            <w:pPr>
              <w:pStyle w:val="TableParagraph"/>
              <w:spacing w:line="319" w:lineRule="auto" w:before="71"/>
              <w:ind w:left="360" w:right="206" w:hanging="46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Statistic </w:t>
            </w:r>
            <w:r>
              <w:rPr>
                <w:rFonts w:ascii="Gill Sans MT"/>
                <w:b/>
                <w:color w:val="231F20"/>
                <w:sz w:val="18"/>
              </w:rPr>
              <w:t>P value</w:t>
            </w:r>
          </w:p>
        </w:tc>
        <w:tc>
          <w:tcPr>
            <w:tcW w:w="1891" w:type="dxa"/>
            <w:vMerge w:val="restart"/>
          </w:tcPr>
          <w:p>
            <w:pPr>
              <w:pStyle w:val="TableParagraph"/>
              <w:spacing w:before="71"/>
              <w:ind w:left="404"/>
              <w:jc w:val="lef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z w:val="18"/>
              </w:rPr>
              <w:t>OR/(95%</w:t>
            </w:r>
            <w:r>
              <w:rPr>
                <w:rFonts w:ascii="Gill Sans MT"/>
                <w:b/>
                <w:color w:val="231F20"/>
                <w:spacing w:val="22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5"/>
                <w:sz w:val="18"/>
              </w:rPr>
              <w:t>CI)</w:t>
            </w:r>
          </w:p>
        </w:tc>
      </w:tr>
      <w:tr>
        <w:trPr>
          <w:trHeight w:val="347" w:hRule="atLeast"/>
        </w:trPr>
        <w:tc>
          <w:tcPr>
            <w:tcW w:w="26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4"/>
              <w:ind w:right="321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N</w:t>
            </w:r>
          </w:p>
        </w:tc>
        <w:tc>
          <w:tcPr>
            <w:tcW w:w="948" w:type="dxa"/>
          </w:tcPr>
          <w:p>
            <w:pPr>
              <w:pStyle w:val="TableParagraph"/>
              <w:spacing w:before="10"/>
              <w:ind w:right="36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5"/>
                <w:w w:val="105"/>
                <w:sz w:val="18"/>
              </w:rPr>
              <w:t>(%)</w:t>
            </w:r>
          </w:p>
        </w:tc>
        <w:tc>
          <w:tcPr>
            <w:tcW w:w="751" w:type="dxa"/>
          </w:tcPr>
          <w:p>
            <w:pPr>
              <w:pStyle w:val="TableParagraph"/>
              <w:spacing w:before="4"/>
              <w:ind w:left="268"/>
              <w:jc w:val="left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N</w:t>
            </w:r>
          </w:p>
        </w:tc>
        <w:tc>
          <w:tcPr>
            <w:tcW w:w="950" w:type="dxa"/>
          </w:tcPr>
          <w:p>
            <w:pPr>
              <w:pStyle w:val="TableParagraph"/>
              <w:spacing w:before="10"/>
              <w:ind w:left="349" w:right="200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5"/>
                <w:w w:val="105"/>
                <w:sz w:val="18"/>
              </w:rPr>
              <w:t>(%)</w:t>
            </w:r>
          </w:p>
        </w:tc>
        <w:tc>
          <w:tcPr>
            <w:tcW w:w="12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261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114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Depressive</w:t>
            </w:r>
            <w:r>
              <w:rPr>
                <w:color w:val="231F20"/>
                <w:spacing w:val="45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before="93"/>
              <w:ind w:right="33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948" w:type="dxa"/>
            <w:tcBorders>
              <w:bottom w:val="nil"/>
            </w:tcBorders>
          </w:tcPr>
          <w:p>
            <w:pPr>
              <w:pStyle w:val="TableParagraph"/>
              <w:spacing w:before="93"/>
              <w:ind w:right="36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7.9</w:t>
            </w:r>
          </w:p>
        </w:tc>
        <w:tc>
          <w:tcPr>
            <w:tcW w:w="75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282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9</w:t>
            </w:r>
          </w:p>
        </w:tc>
        <w:tc>
          <w:tcPr>
            <w:tcW w:w="95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355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12.7</w:t>
            </w:r>
          </w:p>
        </w:tc>
        <w:tc>
          <w:tcPr>
            <w:tcW w:w="1298" w:type="dxa"/>
            <w:tcBorders>
              <w:bottom w:val="nil"/>
            </w:tcBorders>
          </w:tcPr>
          <w:p>
            <w:pPr>
              <w:pStyle w:val="TableParagraph"/>
              <w:spacing w:before="93"/>
              <w:ind w:right="372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0.339</w:t>
            </w:r>
          </w:p>
        </w:tc>
        <w:tc>
          <w:tcPr>
            <w:tcW w:w="1891" w:type="dxa"/>
            <w:tcBorders>
              <w:bottom w:val="nil"/>
            </w:tcBorders>
          </w:tcPr>
          <w:p>
            <w:pPr>
              <w:pStyle w:val="TableParagraph"/>
              <w:spacing w:before="93"/>
              <w:ind w:right="10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0.590(0.199-</w:t>
            </w:r>
            <w:r>
              <w:rPr>
                <w:color w:val="231F20"/>
                <w:spacing w:val="-2"/>
                <w:sz w:val="18"/>
              </w:rPr>
              <w:t>1.753)</w:t>
            </w:r>
          </w:p>
        </w:tc>
      </w:tr>
      <w:tr>
        <w:trPr>
          <w:trHeight w:val="340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Bipolar</w:t>
            </w:r>
            <w:r>
              <w:rPr>
                <w:color w:val="231F20"/>
                <w:spacing w:val="27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7.9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82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349" w:right="20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9.9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0.675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0.784(0.250-</w:t>
            </w:r>
            <w:r>
              <w:rPr>
                <w:color w:val="231F20"/>
                <w:spacing w:val="-2"/>
                <w:sz w:val="18"/>
              </w:rPr>
              <w:t>2.455)</w:t>
            </w:r>
          </w:p>
        </w:tc>
      </w:tr>
      <w:tr>
        <w:trPr>
          <w:trHeight w:val="339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Anxiety</w:t>
            </w:r>
            <w:r>
              <w:rPr>
                <w:color w:val="231F20"/>
                <w:spacing w:val="12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24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89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16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29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21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357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29.6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0.792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color w:val="231F20"/>
                <w:sz w:val="18"/>
              </w:rPr>
              <w:t>1.099(0.544-</w:t>
            </w:r>
            <w:r>
              <w:rPr>
                <w:color w:val="231F20"/>
                <w:spacing w:val="-2"/>
                <w:sz w:val="18"/>
              </w:rPr>
              <w:t>2.219)</w:t>
            </w:r>
          </w:p>
        </w:tc>
      </w:tr>
      <w:tr>
        <w:trPr>
          <w:trHeight w:val="339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4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OCD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280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21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30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27.6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30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14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55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19.7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35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0.260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95"/>
              <w:rPr>
                <w:sz w:val="18"/>
              </w:rPr>
            </w:pPr>
            <w:r>
              <w:rPr>
                <w:color w:val="231F20"/>
                <w:sz w:val="18"/>
              </w:rPr>
              <w:t>1.555(0.719-</w:t>
            </w:r>
            <w:r>
              <w:rPr>
                <w:color w:val="231F20"/>
                <w:spacing w:val="-2"/>
                <w:sz w:val="18"/>
              </w:rPr>
              <w:t>3.360)</w:t>
            </w:r>
          </w:p>
        </w:tc>
      </w:tr>
      <w:tr>
        <w:trPr>
          <w:trHeight w:val="340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Tic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80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13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31F20"/>
                <w:spacing w:val="-4"/>
                <w:w w:val="115"/>
                <w:sz w:val="18"/>
              </w:rPr>
              <w:t>17.1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30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13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355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18.3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0.848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color w:val="231F20"/>
                <w:sz w:val="18"/>
              </w:rPr>
              <w:t>0.921(0.394-</w:t>
            </w:r>
            <w:r>
              <w:rPr>
                <w:color w:val="231F20"/>
                <w:spacing w:val="-2"/>
                <w:sz w:val="18"/>
              </w:rPr>
              <w:t>2.149)</w:t>
            </w:r>
          </w:p>
        </w:tc>
      </w:tr>
      <w:tr>
        <w:trPr>
          <w:trHeight w:val="339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Substance</w:t>
            </w:r>
            <w:r>
              <w:rPr>
                <w:color w:val="231F20"/>
                <w:spacing w:val="28"/>
                <w:w w:val="110"/>
                <w:sz w:val="18"/>
              </w:rPr>
              <w:t> </w:t>
            </w:r>
            <w:r>
              <w:rPr>
                <w:color w:val="231F20"/>
                <w:w w:val="110"/>
                <w:sz w:val="18"/>
              </w:rPr>
              <w:t>abuse</w:t>
            </w:r>
            <w:r>
              <w:rPr>
                <w:color w:val="231F20"/>
                <w:spacing w:val="28"/>
                <w:w w:val="110"/>
                <w:sz w:val="18"/>
              </w:rPr>
              <w:t> </w:t>
            </w:r>
            <w:r>
              <w:rPr>
                <w:color w:val="231F20"/>
                <w:spacing w:val="-2"/>
                <w:w w:val="110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8"/>
              <w:rPr>
                <w:sz w:val="18"/>
              </w:rPr>
            </w:pPr>
            <w:r>
              <w:rPr>
                <w:color w:val="231F20"/>
                <w:w w:val="93"/>
                <w:sz w:val="18"/>
              </w:rPr>
              <w:t>0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55"/>
              <w:jc w:val="center"/>
              <w:rPr>
                <w:sz w:val="18"/>
              </w:rPr>
            </w:pPr>
            <w:r>
              <w:rPr>
                <w:color w:val="231F20"/>
                <w:w w:val="93"/>
                <w:sz w:val="18"/>
              </w:rPr>
              <w:t>0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82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4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349" w:right="20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5.6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0.036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0.469(0.393-</w:t>
            </w:r>
            <w:r>
              <w:rPr>
                <w:color w:val="231F20"/>
                <w:spacing w:val="-2"/>
                <w:sz w:val="18"/>
              </w:rPr>
              <w:t>0.558)</w:t>
            </w:r>
          </w:p>
        </w:tc>
      </w:tr>
      <w:tr>
        <w:trPr>
          <w:trHeight w:val="339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4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ODD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280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16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307"/>
              <w:rPr>
                <w:sz w:val="18"/>
              </w:rPr>
            </w:pPr>
            <w:r>
              <w:rPr>
                <w:color w:val="231F20"/>
                <w:spacing w:val="-4"/>
                <w:w w:val="115"/>
                <w:sz w:val="18"/>
              </w:rPr>
              <w:t>21.1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30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16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57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22.5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0.828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9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0.917(0.419-</w:t>
            </w:r>
            <w:r>
              <w:rPr>
                <w:color w:val="231F20"/>
                <w:spacing w:val="-2"/>
                <w:sz w:val="18"/>
              </w:rPr>
              <w:t>2.007)</w:t>
            </w:r>
          </w:p>
        </w:tc>
      </w:tr>
      <w:tr>
        <w:trPr>
          <w:trHeight w:val="340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Conduct</w:t>
            </w:r>
            <w:r>
              <w:rPr>
                <w:color w:val="231F20"/>
                <w:spacing w:val="3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8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2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2.6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83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6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350" w:right="200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8.5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0.120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0.293(0.057-</w:t>
            </w:r>
            <w:r>
              <w:rPr>
                <w:color w:val="231F20"/>
                <w:spacing w:val="-2"/>
                <w:sz w:val="18"/>
              </w:rPr>
              <w:t>1.501)</w:t>
            </w:r>
          </w:p>
        </w:tc>
      </w:tr>
      <w:tr>
        <w:trPr>
          <w:trHeight w:val="339" w:hRule="atLeast"/>
        </w:trPr>
        <w:tc>
          <w:tcPr>
            <w:tcW w:w="261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Learning</w:t>
            </w:r>
            <w:r>
              <w:rPr>
                <w:color w:val="231F20"/>
                <w:spacing w:val="28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81"/>
              <w:rPr>
                <w:sz w:val="18"/>
              </w:rPr>
            </w:pPr>
            <w:r>
              <w:rPr>
                <w:color w:val="231F20"/>
                <w:spacing w:val="-5"/>
                <w:w w:val="135"/>
                <w:sz w:val="18"/>
              </w:rPr>
              <w:t>11</w:t>
            </w:r>
          </w:p>
        </w:tc>
        <w:tc>
          <w:tcPr>
            <w:tcW w:w="9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04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14.5</w:t>
            </w:r>
          </w:p>
        </w:tc>
        <w:tc>
          <w:tcPr>
            <w:tcW w:w="751" w:type="dxa"/>
            <w:tcBorders>
              <w:top w:val="nil"/>
              <w:bottom w:val="nil"/>
            </w:tcBorders>
          </w:tcPr>
          <w:p>
            <w:pPr>
              <w:pStyle w:val="TableParagraph"/>
              <w:ind w:left="285"/>
              <w:jc w:val="left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5</w:t>
            </w:r>
          </w:p>
        </w:tc>
        <w:tc>
          <w:tcPr>
            <w:tcW w:w="950" w:type="dxa"/>
            <w:tcBorders>
              <w:top w:val="nil"/>
              <w:bottom w:val="nil"/>
            </w:tcBorders>
          </w:tcPr>
          <w:p>
            <w:pPr>
              <w:pStyle w:val="TableParagraph"/>
              <w:ind w:left="147"/>
              <w:jc w:val="center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7</w:t>
            </w:r>
          </w:p>
        </w:tc>
        <w:tc>
          <w:tcPr>
            <w:tcW w:w="12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0.148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2.234(0.735-</w:t>
            </w:r>
            <w:r>
              <w:rPr>
                <w:color w:val="231F20"/>
                <w:spacing w:val="-2"/>
                <w:w w:val="95"/>
                <w:sz w:val="18"/>
              </w:rPr>
              <w:t>6.787)</w:t>
            </w:r>
          </w:p>
        </w:tc>
      </w:tr>
      <w:tr>
        <w:trPr>
          <w:trHeight w:val="412" w:hRule="atLeast"/>
        </w:trPr>
        <w:tc>
          <w:tcPr>
            <w:tcW w:w="2611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114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15"/>
                <w:sz w:val="18"/>
              </w:rPr>
              <w:t>Enuresis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2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20</w:t>
            </w:r>
          </w:p>
        </w:tc>
        <w:tc>
          <w:tcPr>
            <w:tcW w:w="948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307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26.3</w:t>
            </w:r>
          </w:p>
        </w:tc>
        <w:tc>
          <w:tcPr>
            <w:tcW w:w="751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230"/>
              <w:jc w:val="lef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23</w:t>
            </w:r>
          </w:p>
        </w:tc>
        <w:tc>
          <w:tcPr>
            <w:tcW w:w="950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357" w:right="200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32.4</w:t>
            </w:r>
          </w:p>
        </w:tc>
        <w:tc>
          <w:tcPr>
            <w:tcW w:w="1298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0.418</w:t>
            </w: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9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1.259(0.272-</w:t>
            </w:r>
            <w:r>
              <w:rPr>
                <w:color w:val="231F20"/>
                <w:spacing w:val="-2"/>
                <w:sz w:val="18"/>
              </w:rPr>
              <w:t>5.834)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 w:before="93"/>
        <w:ind w:left="120" w:right="39"/>
      </w:pPr>
      <w:r>
        <w:rPr>
          <w:color w:val="231F20"/>
        </w:rPr>
        <w:t>see</w:t>
      </w:r>
      <w:r>
        <w:rPr>
          <w:color w:val="231F20"/>
          <w:spacing w:val="-1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pattern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findings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observed</w:t>
      </w:r>
      <w:r>
        <w:rPr>
          <w:color w:val="231F20"/>
          <w:spacing w:val="-1"/>
        </w:rPr>
        <w:t> </w:t>
      </w:r>
      <w:r>
        <w:rPr>
          <w:color w:val="231F20"/>
        </w:rPr>
        <w:t>holds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other samples.</w:t>
      </w:r>
      <w:r>
        <w:rPr>
          <w:color w:val="231F20"/>
          <w:spacing w:val="40"/>
        </w:rPr>
        <w:t> </w:t>
      </w:r>
      <w:r>
        <w:rPr>
          <w:color w:val="231F20"/>
        </w:rPr>
        <w:t>In addition, although raters were blind to the diagnosis of probands, parents were not. Structured in- terviews were done with only one parent, usually </w:t>
      </w:r>
      <w:r>
        <w:rPr>
          <w:color w:val="231F20"/>
        </w:rPr>
        <w:t>the mother, and we relied on maternal reports which might have</w:t>
      </w:r>
      <w:r>
        <w:rPr>
          <w:color w:val="231F20"/>
          <w:spacing w:val="-1"/>
        </w:rPr>
        <w:t> </w:t>
      </w:r>
      <w:r>
        <w:rPr>
          <w:color w:val="231F20"/>
        </w:rPr>
        <w:t>led</w:t>
      </w:r>
      <w:r>
        <w:rPr>
          <w:color w:val="231F20"/>
          <w:spacing w:val="-1"/>
        </w:rPr>
        <w:t> </w:t>
      </w:r>
      <w:r>
        <w:rPr>
          <w:color w:val="231F20"/>
        </w:rPr>
        <w:t>to a</w:t>
      </w:r>
      <w:r>
        <w:rPr>
          <w:color w:val="231F20"/>
          <w:spacing w:val="-1"/>
        </w:rPr>
        <w:t> </w:t>
      </w:r>
      <w:r>
        <w:rPr>
          <w:color w:val="231F20"/>
        </w:rPr>
        <w:t>bias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reporting</w:t>
      </w:r>
      <w:r>
        <w:rPr>
          <w:color w:val="231F20"/>
          <w:spacing w:val="-1"/>
        </w:rPr>
        <w:t> </w:t>
      </w:r>
      <w:r>
        <w:rPr>
          <w:color w:val="231F20"/>
        </w:rPr>
        <w:t>problems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their own </w:t>
      </w:r>
      <w:r>
        <w:rPr>
          <w:color w:val="231F20"/>
          <w:spacing w:val="-2"/>
        </w:rPr>
        <w:t>children.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1"/>
      </w:pPr>
      <w:r>
        <w:rPr>
          <w:color w:val="231F20"/>
          <w:spacing w:val="9"/>
        </w:rPr>
        <w:t>CONCLUSION</w:t>
      </w:r>
    </w:p>
    <w:p>
      <w:pPr>
        <w:pStyle w:val="BodyText"/>
        <w:spacing w:line="244" w:lineRule="auto" w:before="197"/>
        <w:ind w:right="38" w:firstLine="480"/>
      </w:pPr>
      <w:r>
        <w:rPr>
          <w:color w:val="231F20"/>
          <w:w w:val="105"/>
        </w:rPr>
        <w:t>Despite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limitations,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similar patterns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co-morbid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boys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girls. Thus, although ADHD is associated with the co- morbid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disorders,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 influenced by the proband’s gender. These similar pat- terns provide further evidence for the idea that, when ADHD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diagnosed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girls,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 disorder diagnosed in boys. Our data support the idea 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risk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 co-morbid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psychopathology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girls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boys 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impairment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mul- tiple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co-mor- </w:t>
      </w:r>
      <w:r>
        <w:rPr>
          <w:color w:val="231F20"/>
        </w:rPr>
        <w:t>bid</w:t>
      </w:r>
      <w:r>
        <w:rPr>
          <w:color w:val="231F20"/>
          <w:spacing w:val="-7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implicate</w:t>
      </w:r>
      <w:r>
        <w:rPr>
          <w:color w:val="231F20"/>
          <w:spacing w:val="-7"/>
        </w:rPr>
        <w:t> </w:t>
      </w:r>
      <w:r>
        <w:rPr>
          <w:color w:val="231F20"/>
        </w:rPr>
        <w:t>similarities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domains like course, prognosis and responding to treatment. Thus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girls 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ADHD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aggressive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boys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ADHD.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1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96" w:after="0"/>
        <w:ind w:left="599" w:right="40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Biederman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J,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Faraone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SV,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Mick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E,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Williamson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SL,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Wilens </w:t>
      </w:r>
      <w:r>
        <w:rPr>
          <w:color w:val="231F20"/>
          <w:sz w:val="17"/>
        </w:rPr>
        <w:t>TE,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Spencer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T,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Clinical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Correlates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ADHD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Fe- </w:t>
      </w:r>
      <w:r>
        <w:rPr>
          <w:color w:val="231F20"/>
          <w:w w:val="105"/>
          <w:sz w:val="17"/>
        </w:rPr>
        <w:t>males: Findings From a Large Group of Girls Ascer- </w:t>
      </w:r>
      <w:r>
        <w:rPr>
          <w:color w:val="231F20"/>
          <w:sz w:val="17"/>
        </w:rPr>
        <w:t>tained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From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Pediatric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Psychiatric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Referral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Sources. J Am Acad Child Adolesc Psychiatry 1999. 38:966-75.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2" w:lineRule="auto" w:before="61" w:after="0"/>
        <w:ind w:left="599" w:right="40" w:hanging="480"/>
        <w:jc w:val="both"/>
        <w:rPr>
          <w:sz w:val="17"/>
        </w:rPr>
      </w:pPr>
      <w:r>
        <w:rPr>
          <w:color w:val="231F20"/>
          <w:sz w:val="17"/>
        </w:rPr>
        <w:t>Anderson JC, Williams S, McGee R, Silva PA. DSM-III </w:t>
      </w:r>
      <w:r>
        <w:rPr>
          <w:color w:val="231F20"/>
          <w:w w:val="105"/>
          <w:sz w:val="17"/>
        </w:rPr>
        <w:t>disorders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pre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Adolescent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children:Prevalance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 large sample population. Arch Gen Psychiatry1987</w:t>
      </w:r>
      <w:r>
        <w:rPr>
          <w:rFonts w:ascii="Corbel"/>
          <w:b/>
          <w:i/>
          <w:color w:val="231F20"/>
          <w:w w:val="105"/>
          <w:sz w:val="17"/>
        </w:rPr>
        <w:t>;</w:t>
      </w:r>
      <w:r>
        <w:rPr>
          <w:rFonts w:ascii="Corbel"/>
          <w:b/>
          <w:i/>
          <w:color w:val="231F20"/>
          <w:spacing w:val="4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44:69-7.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4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Bird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HR,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Canino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Rubio-Stipec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Gould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MS,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Ribera J, Sesman M, et al. Estimates of prevalence of child- hood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maladjustment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community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survey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Puerto Rico. Arch Gen Psychiatry 1988; 45:1120-26.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Shaffer D, Fisher P, Dulcan M, Davies M, Piaceytini J, </w:t>
      </w:r>
      <w:r>
        <w:rPr>
          <w:color w:val="231F20"/>
          <w:spacing w:val="-2"/>
          <w:sz w:val="17"/>
        </w:rPr>
        <w:t>Schwab-Stone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M,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et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al.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NIMH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Diagnostic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Interview </w:t>
      </w:r>
      <w:r>
        <w:rPr>
          <w:color w:val="231F20"/>
          <w:sz w:val="17"/>
        </w:rPr>
        <w:t>schedule for children Version2.3. J Am Acad Child Adolesc Psychiatry 1996; 35:865-77.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58" w:after="0"/>
        <w:ind w:left="599" w:right="44" w:hanging="480"/>
        <w:jc w:val="both"/>
        <w:rPr>
          <w:sz w:val="17"/>
        </w:rPr>
      </w:pPr>
      <w:r>
        <w:rPr>
          <w:color w:val="231F20"/>
          <w:sz w:val="17"/>
        </w:rPr>
        <w:t>Arnold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L.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ADHD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Sex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differences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Abnor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Psychol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1995; </w:t>
      </w:r>
      <w:r>
        <w:rPr>
          <w:color w:val="231F20"/>
          <w:w w:val="105"/>
          <w:sz w:val="17"/>
        </w:rPr>
        <w:t>23: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555–69.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59" w:after="0"/>
        <w:ind w:left="599" w:right="41" w:hanging="480"/>
        <w:jc w:val="both"/>
        <w:rPr>
          <w:sz w:val="17"/>
        </w:rPr>
      </w:pPr>
      <w:r>
        <w:rPr>
          <w:color w:val="231F20"/>
          <w:sz w:val="17"/>
        </w:rPr>
        <w:t>Arnold L. Sex differences in ADHD: Conference sum- </w:t>
      </w:r>
      <w:r>
        <w:rPr>
          <w:color w:val="231F20"/>
          <w:w w:val="105"/>
          <w:sz w:val="17"/>
        </w:rPr>
        <w:t>mary.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Abnor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Child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1996;</w:t>
      </w:r>
      <w:r>
        <w:rPr>
          <w:color w:val="231F20"/>
          <w:spacing w:val="29"/>
          <w:w w:val="105"/>
          <w:sz w:val="17"/>
        </w:rPr>
        <w:t> </w:t>
      </w:r>
      <w:r>
        <w:rPr>
          <w:color w:val="231F20"/>
          <w:w w:val="105"/>
          <w:sz w:val="17"/>
        </w:rPr>
        <w:t>24: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555–69.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35" w:lineRule="auto" w:before="62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Mand G, Carlson CL. Gender differences in ADHD: A </w:t>
      </w:r>
      <w:r>
        <w:rPr>
          <w:color w:val="231F20"/>
          <w:w w:val="105"/>
          <w:sz w:val="17"/>
        </w:rPr>
        <w:t>meta-analysis and critical review. J Am Acad Child Adolesc Psychiatry 1997; 36: 1036–45.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0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Safer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DJ,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Krager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JM.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survey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medication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treatment for hyperactive/inattentive students. J Am Med Assoc </w:t>
      </w:r>
      <w:r>
        <w:rPr>
          <w:color w:val="231F20"/>
          <w:w w:val="105"/>
          <w:sz w:val="17"/>
        </w:rPr>
        <w:t>1988;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260: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2256–8.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43" w:hanging="480"/>
        <w:jc w:val="both"/>
        <w:rPr>
          <w:sz w:val="17"/>
        </w:rPr>
      </w:pPr>
      <w:r>
        <w:rPr>
          <w:color w:val="231F20"/>
          <w:sz w:val="17"/>
        </w:rPr>
        <w:t>Wilens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T,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Biederman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stimulants.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In: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Psychiat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Clin </w:t>
      </w:r>
      <w:r>
        <w:rPr>
          <w:color w:val="231F20"/>
          <w:w w:val="105"/>
          <w:sz w:val="17"/>
        </w:rPr>
        <w:t>North Am 1992; 15: 191–222.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7" w:hanging="480"/>
        <w:jc w:val="both"/>
        <w:rPr>
          <w:sz w:val="17"/>
        </w:rPr>
      </w:pPr>
      <w:r>
        <w:rPr>
          <w:color w:val="231F20"/>
          <w:spacing w:val="2"/>
          <w:w w:val="104"/>
          <w:sz w:val="17"/>
        </w:rPr>
        <w:br w:type="column"/>
      </w:r>
      <w:r>
        <w:rPr>
          <w:color w:val="231F20"/>
          <w:w w:val="105"/>
          <w:sz w:val="17"/>
        </w:rPr>
        <w:t>Biederman</w:t>
      </w:r>
      <w:r>
        <w:rPr>
          <w:color w:val="231F20"/>
          <w:w w:val="105"/>
          <w:sz w:val="17"/>
        </w:rPr>
        <w:t> J,</w:t>
      </w:r>
      <w:r>
        <w:rPr>
          <w:color w:val="231F20"/>
          <w:w w:val="105"/>
          <w:sz w:val="17"/>
        </w:rPr>
        <w:t> Faraone</w:t>
      </w:r>
      <w:r>
        <w:rPr>
          <w:color w:val="231F20"/>
          <w:w w:val="105"/>
          <w:sz w:val="17"/>
        </w:rPr>
        <w:t> SV,</w:t>
      </w:r>
      <w:r>
        <w:rPr>
          <w:color w:val="231F20"/>
          <w:w w:val="105"/>
          <w:sz w:val="17"/>
        </w:rPr>
        <w:t> Keenak</w:t>
      </w:r>
      <w:r>
        <w:rPr>
          <w:color w:val="231F20"/>
          <w:w w:val="105"/>
          <w:sz w:val="17"/>
        </w:rPr>
        <w:t> K,</w:t>
      </w:r>
      <w:r>
        <w:rPr>
          <w:color w:val="231F20"/>
          <w:w w:val="105"/>
          <w:sz w:val="17"/>
        </w:rPr>
        <w:t> Benjamin</w:t>
      </w:r>
      <w:r>
        <w:rPr>
          <w:color w:val="231F20"/>
          <w:w w:val="105"/>
          <w:sz w:val="17"/>
        </w:rPr>
        <w:t> J, Krifcher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B.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Further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evidence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family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–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genetic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risk </w:t>
      </w:r>
      <w:r>
        <w:rPr>
          <w:color w:val="231F20"/>
          <w:sz w:val="17"/>
        </w:rPr>
        <w:t>factor of ADHD. Arch Gen Psychiatry1992; 49: 728 – </w:t>
      </w:r>
      <w:r>
        <w:rPr>
          <w:color w:val="231F20"/>
          <w:spacing w:val="-4"/>
          <w:w w:val="105"/>
          <w:sz w:val="17"/>
        </w:rPr>
        <w:t>38.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3" w:after="0"/>
        <w:ind w:left="599" w:right="116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Smalley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S,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McGough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JJ,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Homme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M,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Newdelman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J,</w:t>
      </w:r>
      <w:r>
        <w:rPr>
          <w:color w:val="231F20"/>
          <w:spacing w:val="-5"/>
          <w:sz w:val="17"/>
        </w:rPr>
        <w:t> </w:t>
      </w:r>
      <w:r>
        <w:rPr>
          <w:color w:val="231F20"/>
          <w:spacing w:val="-4"/>
          <w:sz w:val="17"/>
        </w:rPr>
        <w:t>Gor- </w:t>
      </w:r>
      <w:r>
        <w:rPr>
          <w:color w:val="231F20"/>
          <w:w w:val="105"/>
          <w:sz w:val="17"/>
        </w:rPr>
        <w:t>don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E.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Familial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clustering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syptoms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disruptive </w:t>
      </w:r>
      <w:r>
        <w:rPr>
          <w:color w:val="231F20"/>
          <w:sz w:val="17"/>
        </w:rPr>
        <w:t>behavior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multiplex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familial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ADHD.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Am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Acad </w:t>
      </w:r>
      <w:r>
        <w:rPr>
          <w:color w:val="231F20"/>
          <w:w w:val="105"/>
          <w:sz w:val="17"/>
        </w:rPr>
        <w:t>Child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Adolesc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2000;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39: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1135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–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43.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7" w:hanging="480"/>
        <w:jc w:val="both"/>
        <w:rPr>
          <w:sz w:val="17"/>
        </w:rPr>
      </w:pPr>
      <w:r>
        <w:rPr>
          <w:color w:val="231F20"/>
          <w:w w:val="105"/>
          <w:sz w:val="17"/>
        </w:rPr>
        <w:t>Butler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20"/>
          <w:sz w:val="17"/>
        </w:rPr>
        <w:t>S</w:t>
      </w:r>
      <w:r>
        <w:rPr>
          <w:color w:val="231F20"/>
          <w:spacing w:val="-14"/>
          <w:w w:val="120"/>
          <w:sz w:val="17"/>
        </w:rPr>
        <w:t> </w:t>
      </w:r>
      <w:r>
        <w:rPr>
          <w:color w:val="231F20"/>
          <w:w w:val="105"/>
          <w:sz w:val="17"/>
        </w:rPr>
        <w:t>,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Arredondo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D,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McCloskey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V.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Affective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Co- </w:t>
      </w:r>
      <w:r>
        <w:rPr>
          <w:color w:val="231F20"/>
          <w:sz w:val="17"/>
        </w:rPr>
        <w:t>morbidity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children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adolescent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ADHD.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An- </w:t>
      </w:r>
      <w:r>
        <w:rPr>
          <w:color w:val="231F20"/>
          <w:w w:val="105"/>
          <w:sz w:val="17"/>
        </w:rPr>
        <w:t>nals Clin Psychiatry 1995; 7: 51-3.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0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Newcorn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BJ,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Sprich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S.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Comorbidity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attention</w:t>
      </w:r>
      <w:r>
        <w:rPr>
          <w:color w:val="231F20"/>
          <w:spacing w:val="-9"/>
          <w:sz w:val="17"/>
        </w:rPr>
        <w:t> </w:t>
      </w:r>
      <w:r>
        <w:rPr>
          <w:color w:val="231F20"/>
          <w:sz w:val="17"/>
        </w:rPr>
        <w:t>deficit hyperactivity disorder with conduct, depressive, anxi- </w:t>
      </w:r>
      <w:r>
        <w:rPr>
          <w:color w:val="231F20"/>
          <w:w w:val="105"/>
          <w:sz w:val="17"/>
        </w:rPr>
        <w:t>ety and other disorders. Am J Psychiatry 1991; 148: </w:t>
      </w:r>
      <w:r>
        <w:rPr>
          <w:color w:val="231F20"/>
          <w:spacing w:val="-2"/>
          <w:w w:val="105"/>
          <w:sz w:val="17"/>
        </w:rPr>
        <w:t>564–70.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Faraone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SV,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Biederman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Mick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Doyle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AE,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Wilens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T, </w:t>
      </w:r>
      <w:r>
        <w:rPr>
          <w:color w:val="231F20"/>
          <w:spacing w:val="-4"/>
          <w:sz w:val="17"/>
        </w:rPr>
        <w:t>Spencer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T,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et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al.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A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family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study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psychiatric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4"/>
          <w:sz w:val="17"/>
        </w:rPr>
        <w:t>comorbidity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girls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boys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with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attention-deficit/hyperactivity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dis-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order. Biolog Psychiatry 2001; 50: 586–92.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3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Biederman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Mick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Faraone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SV,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Braaten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Doyle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A, </w:t>
      </w:r>
      <w:r>
        <w:rPr>
          <w:color w:val="231F20"/>
          <w:spacing w:val="-2"/>
          <w:sz w:val="17"/>
        </w:rPr>
        <w:t>Spencer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T,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et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al.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Influence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gender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Attention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Deficit Hyperactivity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Disorder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Children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Referred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to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a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Psychi- </w:t>
      </w:r>
      <w:r>
        <w:rPr>
          <w:color w:val="231F20"/>
          <w:w w:val="105"/>
          <w:sz w:val="17"/>
        </w:rPr>
        <w:t>atric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Clinic.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Am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2002;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159: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36-42.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0" w:after="0"/>
        <w:ind w:left="599" w:right="12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World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Medical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Association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Declaration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Helsinki: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Ethi-</w:t>
      </w:r>
      <w:r>
        <w:rPr>
          <w:color w:val="231F20"/>
          <w:spacing w:val="-2"/>
          <w:sz w:val="17"/>
        </w:rPr>
        <w:t> cal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principles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medical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research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involving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human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sub- </w:t>
      </w:r>
      <w:r>
        <w:rPr>
          <w:color w:val="231F20"/>
          <w:sz w:val="17"/>
        </w:rPr>
        <w:t>jects.</w:t>
      </w:r>
      <w:r>
        <w:rPr>
          <w:color w:val="231F20"/>
          <w:spacing w:val="-19"/>
          <w:sz w:val="17"/>
        </w:rPr>
        <w:t> </w:t>
      </w:r>
      <w:hyperlink r:id="rId6">
        <w:r>
          <w:rPr>
            <w:color w:val="231F20"/>
            <w:sz w:val="17"/>
          </w:rPr>
          <w:t>2000[http://www.wma.net].</w:t>
        </w:r>
      </w:hyperlink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Wechsler D. Examinationer’s Manual: Wechser Intelli- </w:t>
      </w:r>
      <w:r>
        <w:rPr>
          <w:color w:val="231F20"/>
          <w:w w:val="105"/>
          <w:sz w:val="17"/>
        </w:rPr>
        <w:t>gence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Scale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Children.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3rd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ed.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New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York: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Psycho- logical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Corporation,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1991.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Orvaschel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H,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Pig-Antich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Schedule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Affective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Disor- der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Schizophrenia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School-Age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Children: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Epide- </w:t>
      </w:r>
      <w:r>
        <w:rPr>
          <w:color w:val="231F20"/>
          <w:spacing w:val="-4"/>
          <w:sz w:val="17"/>
        </w:rPr>
        <w:t>miologic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Version.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Fort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Lauderdale: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Nova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University;</w:t>
      </w:r>
      <w:r>
        <w:rPr>
          <w:color w:val="231F20"/>
          <w:spacing w:val="-25"/>
          <w:sz w:val="17"/>
        </w:rPr>
        <w:t> </w:t>
      </w:r>
      <w:r>
        <w:rPr>
          <w:color w:val="231F20"/>
          <w:spacing w:val="-4"/>
          <w:sz w:val="17"/>
        </w:rPr>
        <w:t>1987.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Ghanizadeh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Mohammadi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MR,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Yazdanshenas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Psy- </w:t>
      </w:r>
      <w:r>
        <w:rPr>
          <w:color w:val="231F20"/>
          <w:spacing w:val="-4"/>
          <w:sz w:val="17"/>
        </w:rPr>
        <w:t>chometric properties of the Farsi translation of the Kiddy </w:t>
      </w:r>
      <w:r>
        <w:rPr>
          <w:color w:val="231F20"/>
          <w:w w:val="105"/>
          <w:sz w:val="17"/>
        </w:rPr>
        <w:t>Schedule for Affective Disorders and schizophrenia- </w:t>
      </w:r>
      <w:r>
        <w:rPr>
          <w:color w:val="231F20"/>
          <w:sz w:val="17"/>
        </w:rPr>
        <w:t>Present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Lifetime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Version.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Bio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Med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Central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Psychia- </w:t>
      </w:r>
      <w:r>
        <w:rPr>
          <w:color w:val="231F20"/>
          <w:w w:val="105"/>
          <w:sz w:val="17"/>
        </w:rPr>
        <w:t>try 2006 ;15: 10.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2" w:after="0"/>
        <w:ind w:left="599" w:right="117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Biederman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J,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Wilens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TE,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Mick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E,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Faraone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SV,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Weber</w:t>
      </w:r>
      <w:r>
        <w:rPr>
          <w:color w:val="231F20"/>
          <w:spacing w:val="-9"/>
          <w:sz w:val="17"/>
        </w:rPr>
        <w:t> </w:t>
      </w:r>
      <w:r>
        <w:rPr>
          <w:color w:val="231F20"/>
          <w:spacing w:val="-2"/>
          <w:sz w:val="17"/>
        </w:rPr>
        <w:t>W, </w:t>
      </w:r>
      <w:r>
        <w:rPr>
          <w:color w:val="231F20"/>
          <w:w w:val="105"/>
          <w:sz w:val="17"/>
        </w:rPr>
        <w:t>Curtis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et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al.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Is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ADHD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risk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factor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psychoactive </w:t>
      </w:r>
      <w:r>
        <w:rPr>
          <w:color w:val="231F20"/>
          <w:sz w:val="17"/>
        </w:rPr>
        <w:t>substance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use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disorders?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findings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from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four-year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pro- spective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follow-up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study.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Am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Acad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Child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Adolesc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Psy- </w:t>
      </w:r>
      <w:r>
        <w:rPr>
          <w:color w:val="231F20"/>
          <w:w w:val="105"/>
          <w:sz w:val="17"/>
        </w:rPr>
        <w:t>chiatry 1997; 36: 21-9.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0" w:after="0"/>
        <w:ind w:left="599" w:right="117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Mannuzza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Klein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RG,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Bessler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Malloy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LaPadula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M. </w:t>
      </w:r>
      <w:r>
        <w:rPr>
          <w:color w:val="231F20"/>
          <w:spacing w:val="-4"/>
          <w:sz w:val="17"/>
        </w:rPr>
        <w:t>Adult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outcome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of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hyperactive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boys: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educational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4"/>
          <w:sz w:val="17"/>
        </w:rPr>
        <w:t>achieve- </w:t>
      </w:r>
      <w:r>
        <w:rPr>
          <w:color w:val="231F20"/>
          <w:w w:val="105"/>
          <w:sz w:val="17"/>
        </w:rPr>
        <w:t>ment,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occupational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rank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psychiatric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status.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Arch Gen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1993;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50: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565-76.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3" w:after="0"/>
        <w:ind w:left="599" w:right="121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Erne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RF.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Selective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female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affliction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developmental </w:t>
      </w:r>
      <w:r>
        <w:rPr>
          <w:color w:val="231F20"/>
          <w:spacing w:val="-4"/>
          <w:sz w:val="17"/>
        </w:rPr>
        <w:t>disorders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of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childhood: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a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literature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review.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J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Clin</w:t>
      </w:r>
      <w:r>
        <w:rPr>
          <w:color w:val="231F20"/>
          <w:spacing w:val="-7"/>
          <w:sz w:val="17"/>
        </w:rPr>
        <w:t> </w:t>
      </w:r>
      <w:r>
        <w:rPr>
          <w:color w:val="231F20"/>
          <w:spacing w:val="-4"/>
          <w:sz w:val="17"/>
        </w:rPr>
        <w:t>Psychol </w:t>
      </w:r>
      <w:r>
        <w:rPr>
          <w:color w:val="231F20"/>
          <w:sz w:val="17"/>
        </w:rPr>
        <w:t>1992;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21: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354-64.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0" w:after="0"/>
        <w:ind w:left="599" w:right="117" w:hanging="480"/>
        <w:jc w:val="both"/>
        <w:rPr>
          <w:sz w:val="17"/>
        </w:rPr>
      </w:pPr>
      <w:r>
        <w:rPr>
          <w:color w:val="231F20"/>
          <w:w w:val="105"/>
          <w:sz w:val="17"/>
        </w:rPr>
        <w:t>Keenan K, Loeber R, Green S. Conduct disorder in </w:t>
      </w:r>
      <w:r>
        <w:rPr>
          <w:color w:val="231F20"/>
          <w:w w:val="95"/>
          <w:sz w:val="17"/>
        </w:rPr>
        <w:t>girls: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review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literature.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Clin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Child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Family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Psychol </w:t>
      </w:r>
      <w:r>
        <w:rPr>
          <w:color w:val="231F20"/>
          <w:w w:val="105"/>
          <w:sz w:val="17"/>
        </w:rPr>
        <w:t>Rev 1999; 2: 3-19.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Loeber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Keenan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K.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Interaction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conduct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dis- order and its comorbid conditions: effects of age and gender. Clin Psychol Rev 1994; 14: 497-523.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6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Kataoka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SH,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Zima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BT,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Dupre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DA,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Moreno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KA,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Yang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X, McCracen JT. Mental health problems and service use among female juvenile offenders: their relationship to criminal history. J Am Acad Child Adolesc Psychiatry 2001;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40: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549-55.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rbel">
    <w:altName w:val="Corbe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94675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92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120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9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8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4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0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687" w:right="678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61"/>
      <w:ind w:left="599" w:right="117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62"/>
      <w:jc w:val="right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ma.net/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705F6-9DEE-4A53-BD36-60B3F69A0BB4}"/>
</file>

<file path=customXml/itemProps2.xml><?xml version="1.0" encoding="utf-8"?>
<ds:datastoreItem xmlns:ds="http://schemas.openxmlformats.org/officeDocument/2006/customXml" ds:itemID="{D99EE197-A44B-4ACB-B614-763620C639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10-Original.pmd</dc:title>
  <dcterms:created xsi:type="dcterms:W3CDTF">2022-07-28T16:46:13Z</dcterms:created>
  <dcterms:modified xsi:type="dcterms:W3CDTF">2022-07-28T16:46:13Z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