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6904" w:val="left" w:leader="none"/>
        </w:tabs>
        <w:spacing w:before="73"/>
        <w:ind w:left="151"/>
        <w:jc w:val="left"/>
      </w:pPr>
      <w:r>
        <w:rPr>
          <w:color w:val="231F20"/>
          <w:spacing w:val="11"/>
          <w:w w:val="105"/>
        </w:rPr>
        <w:t>JPPS</w:t>
      </w:r>
      <w:r>
        <w:rPr>
          <w:color w:val="231F20"/>
          <w:spacing w:val="67"/>
          <w:w w:val="105"/>
        </w:rPr>
        <w:t> </w:t>
      </w:r>
      <w:r>
        <w:rPr>
          <w:color w:val="231F20"/>
          <w:spacing w:val="11"/>
          <w:w w:val="105"/>
        </w:rPr>
        <w:t>2007;</w:t>
      </w:r>
      <w:r>
        <w:rPr>
          <w:color w:val="231F20"/>
          <w:spacing w:val="68"/>
          <w:w w:val="105"/>
        </w:rPr>
        <w:t> </w:t>
      </w:r>
      <w:r>
        <w:rPr>
          <w:color w:val="231F20"/>
          <w:spacing w:val="11"/>
          <w:w w:val="105"/>
        </w:rPr>
        <w:t>4(2):</w:t>
      </w:r>
      <w:r>
        <w:rPr>
          <w:color w:val="231F20"/>
          <w:spacing w:val="67"/>
          <w:w w:val="105"/>
        </w:rPr>
        <w:t> </w:t>
      </w:r>
      <w:r>
        <w:rPr>
          <w:color w:val="231F20"/>
          <w:spacing w:val="14"/>
          <w:w w:val="105"/>
        </w:rPr>
        <w:t>118-</w:t>
      </w:r>
      <w:r>
        <w:rPr>
          <w:color w:val="231F20"/>
          <w:spacing w:val="4"/>
          <w:w w:val="105"/>
        </w:rPr>
        <w:t>120</w:t>
      </w:r>
      <w:r>
        <w:rPr>
          <w:color w:val="231F20"/>
        </w:rPr>
        <w:tab/>
      </w:r>
      <w:r>
        <w:rPr>
          <w:color w:val="231F20"/>
          <w:spacing w:val="12"/>
          <w:w w:val="105"/>
          <w:position w:val="2"/>
        </w:rPr>
        <w:t>SHORT</w:t>
      </w:r>
      <w:r>
        <w:rPr>
          <w:color w:val="231F20"/>
          <w:spacing w:val="48"/>
          <w:w w:val="105"/>
          <w:position w:val="2"/>
        </w:rPr>
        <w:t> </w:t>
      </w:r>
      <w:r>
        <w:rPr>
          <w:color w:val="231F20"/>
          <w:spacing w:val="13"/>
          <w:position w:val="2"/>
        </w:rPr>
        <w:t>COMMUNICATION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Title"/>
        <w:tabs>
          <w:tab w:pos="5083" w:val="left" w:leader="none"/>
        </w:tabs>
      </w:pPr>
      <w:r>
        <w:rPr>
          <w:color w:val="231F20"/>
        </w:rPr>
        <w:t>THE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MANAGEMENT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OF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SUBSTANCE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DEPENDENT PREGNANT WOMEN — A</w:t>
        <w:tab/>
        <w:t>CLINICAL AUDIT</w:t>
      </w:r>
    </w:p>
    <w:p>
      <w:pPr>
        <w:pStyle w:val="BodyText"/>
        <w:spacing w:before="267"/>
        <w:ind w:left="794" w:right="782"/>
        <w:jc w:val="center"/>
      </w:pPr>
      <w:r>
        <w:rPr>
          <w:color w:val="231F20"/>
          <w:w w:val="105"/>
        </w:rPr>
        <w:t>M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Kashmiri,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K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Dar,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M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Gul,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4"/>
          <w:w w:val="105"/>
        </w:rPr>
        <w:t> </w:t>
      </w:r>
      <w:r>
        <w:rPr>
          <w:color w:val="231F20"/>
          <w:spacing w:val="-2"/>
          <w:w w:val="105"/>
        </w:rPr>
        <w:t>Sabir</w:t>
      </w:r>
    </w:p>
    <w:p>
      <w:pPr>
        <w:pStyle w:val="BodyText"/>
        <w:spacing w:before="3"/>
        <w:ind w:left="0"/>
        <w:jc w:val="left"/>
        <w:rPr>
          <w:sz w:val="26"/>
        </w:rPr>
      </w:pPr>
      <w:r>
        <w:rPr/>
        <w:pict>
          <v:shape style="position:absolute;margin-left:72pt;margin-top:16.98205pt;width:468pt;height:.1pt;mso-position-horizontal-relative:page;mso-position-vertical-relative:paragraph;z-index:-15728128;mso-wrap-distance-left:0;mso-wrap-distance-right:0" id="docshape3" coordorigin="1440,340" coordsize="9360,0" path="m1440,340l10800,340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0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12240" w:h="15840"/>
          <w:pgMar w:footer="1008" w:header="0" w:top="900" w:bottom="1200" w:left="1320" w:right="1320"/>
          <w:pgNumType w:start="118"/>
        </w:sectPr>
      </w:pPr>
    </w:p>
    <w:p>
      <w:pPr>
        <w:pStyle w:val="Heading1"/>
        <w:spacing w:before="100"/>
        <w:ind w:left="120"/>
      </w:pPr>
      <w:r>
        <w:rPr>
          <w:color w:val="231F20"/>
          <w:spacing w:val="11"/>
        </w:rPr>
        <w:t>INTRODUCTION</w:t>
      </w:r>
    </w:p>
    <w:p>
      <w:pPr>
        <w:pStyle w:val="BodyText"/>
        <w:spacing w:line="244" w:lineRule="auto" w:before="125"/>
        <w:ind w:right="39" w:firstLine="480"/>
      </w:pPr>
      <w:r>
        <w:rPr>
          <w:color w:val="231F20"/>
          <w:w w:val="105"/>
        </w:rPr>
        <w:t>Use of any type of drugs can lead to a range of medical,</w:t>
      </w:r>
      <w:r>
        <w:rPr>
          <w:color w:val="231F20"/>
          <w:w w:val="105"/>
        </w:rPr>
        <w:t> psychiatric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social</w:t>
      </w:r>
      <w:r>
        <w:rPr>
          <w:color w:val="231F20"/>
          <w:w w:val="105"/>
        </w:rPr>
        <w:t> problems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 </w:t>
      </w:r>
      <w:r>
        <w:rPr>
          <w:color w:val="231F20"/>
        </w:rPr>
        <w:t>situation becomes further complicated if the user is preg- </w:t>
      </w:r>
      <w:r>
        <w:rPr>
          <w:color w:val="231F20"/>
          <w:w w:val="105"/>
        </w:rPr>
        <w:t>nant. Prescribed and non-prescribed substances can affect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pregnancy and substances are seldom used in </w:t>
      </w:r>
      <w:r>
        <w:rPr>
          <w:color w:val="231F20"/>
          <w:spacing w:val="-2"/>
          <w:w w:val="105"/>
        </w:rPr>
        <w:t>isolation.</w:t>
      </w:r>
    </w:p>
    <w:p>
      <w:pPr>
        <w:pStyle w:val="BodyText"/>
        <w:spacing w:line="244" w:lineRule="auto"/>
        <w:ind w:right="38" w:firstLine="480"/>
      </w:pPr>
      <w:r>
        <w:rPr>
          <w:color w:val="231F20"/>
          <w:w w:val="105"/>
        </w:rPr>
        <w:t>About 1/3 of drug users in treatment in the U.K are</w:t>
      </w:r>
      <w:r>
        <w:rPr>
          <w:color w:val="231F20"/>
          <w:w w:val="105"/>
        </w:rPr>
        <w:t> female,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over</w:t>
      </w:r>
      <w:r>
        <w:rPr>
          <w:color w:val="231F20"/>
          <w:w w:val="105"/>
        </w:rPr>
        <w:t> 90%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these</w:t>
      </w:r>
      <w:r>
        <w:rPr>
          <w:color w:val="231F20"/>
          <w:w w:val="105"/>
        </w:rPr>
        <w:t> women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of childbearing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age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(15-39).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National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Pregnancy 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Health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Survey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conducted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USA,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found over</w:t>
      </w:r>
      <w:r>
        <w:rPr>
          <w:color w:val="231F20"/>
          <w:w w:val="105"/>
        </w:rPr>
        <w:t> 5%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those</w:t>
      </w:r>
      <w:r>
        <w:rPr>
          <w:color w:val="231F20"/>
          <w:w w:val="105"/>
        </w:rPr>
        <w:t> who</w:t>
      </w:r>
      <w:r>
        <w:rPr>
          <w:color w:val="231F20"/>
          <w:w w:val="105"/>
        </w:rPr>
        <w:t> gave</w:t>
      </w:r>
      <w:r>
        <w:rPr>
          <w:color w:val="231F20"/>
          <w:w w:val="105"/>
        </w:rPr>
        <w:t> birth</w:t>
      </w:r>
      <w:r>
        <w:rPr>
          <w:color w:val="231F20"/>
          <w:w w:val="105"/>
        </w:rPr>
        <w:t> during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study period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illicit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drugs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pregnant, with 2.9% using cannabis and 1.1% using cocaine at some</w:t>
      </w:r>
      <w:r>
        <w:rPr>
          <w:color w:val="231F20"/>
          <w:w w:val="105"/>
        </w:rPr>
        <w:t> point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their</w:t>
      </w:r>
      <w:r>
        <w:rPr>
          <w:color w:val="231F20"/>
          <w:w w:val="105"/>
        </w:rPr>
        <w:t> pregnancy(compared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20% </w:t>
      </w:r>
      <w:r>
        <w:rPr>
          <w:color w:val="231F20"/>
        </w:rPr>
        <w:t>smoking</w:t>
      </w:r>
      <w:r>
        <w:rPr>
          <w:color w:val="231F20"/>
          <w:spacing w:val="-5"/>
        </w:rPr>
        <w:t> </w:t>
      </w:r>
      <w:r>
        <w:rPr>
          <w:color w:val="231F20"/>
        </w:rPr>
        <w:t>tobacco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18.5%</w:t>
      </w:r>
      <w:r>
        <w:rPr>
          <w:color w:val="231F20"/>
          <w:spacing w:val="-5"/>
        </w:rPr>
        <w:t> </w:t>
      </w:r>
      <w:r>
        <w:rPr>
          <w:color w:val="231F20"/>
        </w:rPr>
        <w:t>drinking</w:t>
      </w:r>
      <w:r>
        <w:rPr>
          <w:color w:val="231F20"/>
          <w:spacing w:val="-5"/>
        </w:rPr>
        <w:t> </w:t>
      </w:r>
      <w:r>
        <w:rPr>
          <w:color w:val="231F20"/>
        </w:rPr>
        <w:t>alcohol).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prob- </w:t>
      </w:r>
      <w:r>
        <w:rPr>
          <w:color w:val="231F20"/>
          <w:w w:val="105"/>
        </w:rPr>
        <w:t>lem is therefore a significant one, particularly as it has implications for both mother and child</w:t>
      </w:r>
      <w:r>
        <w:rPr>
          <w:color w:val="231F20"/>
          <w:w w:val="105"/>
          <w:position w:val="6"/>
          <w:sz w:val="10"/>
        </w:rPr>
        <w:t>1</w:t>
      </w:r>
      <w:r>
        <w:rPr>
          <w:color w:val="231F20"/>
          <w:w w:val="105"/>
        </w:rPr>
        <w:t>.</w:t>
      </w:r>
    </w:p>
    <w:p>
      <w:pPr>
        <w:pStyle w:val="BodyText"/>
        <w:spacing w:line="244" w:lineRule="auto" w:before="178"/>
        <w:ind w:right="43" w:firstLine="480"/>
      </w:pP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pregnant,</w:t>
      </w:r>
      <w:r>
        <w:rPr>
          <w:color w:val="231F20"/>
          <w:spacing w:val="40"/>
        </w:rPr>
        <w:t> </w:t>
      </w:r>
      <w:r>
        <w:rPr>
          <w:color w:val="231F20"/>
        </w:rPr>
        <w:t>substance</w:t>
      </w:r>
      <w:r>
        <w:rPr>
          <w:color w:val="231F20"/>
          <w:spacing w:val="40"/>
        </w:rPr>
        <w:t> </w:t>
      </w:r>
      <w:r>
        <w:rPr>
          <w:color w:val="231F20"/>
        </w:rPr>
        <w:t>–using</w:t>
      </w:r>
      <w:r>
        <w:rPr>
          <w:color w:val="231F20"/>
          <w:spacing w:val="40"/>
        </w:rPr>
        <w:t> </w:t>
      </w:r>
      <w:r>
        <w:rPr>
          <w:color w:val="231F20"/>
        </w:rPr>
        <w:t>woman</w:t>
      </w:r>
      <w:r>
        <w:rPr>
          <w:color w:val="231F20"/>
          <w:spacing w:val="40"/>
        </w:rPr>
        <w:t> </w:t>
      </w:r>
      <w:r>
        <w:rPr>
          <w:color w:val="231F20"/>
        </w:rPr>
        <w:t>requires a continuum of care that includes a broad range of sup- portive services provided over an extended period of time. This continuum of care should reflect the complex- ity of her multiple roles as a person in recovery, parent, partner and frequently, single head of a household. Nor- mally</w:t>
      </w:r>
      <w:r>
        <w:rPr>
          <w:color w:val="231F20"/>
          <w:spacing w:val="40"/>
        </w:rPr>
        <w:t> </w:t>
      </w:r>
      <w:r>
        <w:rPr>
          <w:color w:val="231F20"/>
        </w:rPr>
        <w:t>multidisciplinary</w:t>
      </w:r>
      <w:r>
        <w:rPr>
          <w:color w:val="231F20"/>
          <w:spacing w:val="40"/>
        </w:rPr>
        <w:t> </w:t>
      </w:r>
      <w:r>
        <w:rPr>
          <w:color w:val="231F20"/>
        </w:rPr>
        <w:t>case</w:t>
      </w:r>
      <w:r>
        <w:rPr>
          <w:color w:val="231F20"/>
          <w:spacing w:val="40"/>
        </w:rPr>
        <w:t> </w:t>
      </w:r>
      <w:r>
        <w:rPr>
          <w:color w:val="231F20"/>
        </w:rPr>
        <w:t>management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essential</w:t>
      </w:r>
      <w:r>
        <w:rPr>
          <w:color w:val="231F20"/>
          <w:spacing w:val="40"/>
        </w:rPr>
        <w:t> </w:t>
      </w:r>
      <w:r>
        <w:rPr>
          <w:color w:val="231F20"/>
        </w:rPr>
        <w:t>for the recovery and well being of the substance using woman and her family. It helps to ensure that patients receive and appropriately utilise a variety of services necessary for their improved functioning</w:t>
      </w:r>
      <w:r>
        <w:rPr>
          <w:color w:val="231F20"/>
          <w:position w:val="6"/>
          <w:sz w:val="10"/>
        </w:rPr>
        <w:t>2</w:t>
      </w:r>
      <w:r>
        <w:rPr>
          <w:color w:val="231F20"/>
        </w:rPr>
        <w:t>.</w:t>
      </w:r>
    </w:p>
    <w:p>
      <w:pPr>
        <w:pStyle w:val="BodyText"/>
        <w:spacing w:before="1"/>
        <w:ind w:left="0"/>
        <w:jc w:val="left"/>
        <w:rPr>
          <w:sz w:val="21"/>
        </w:rPr>
      </w:pPr>
    </w:p>
    <w:p>
      <w:pPr>
        <w:pStyle w:val="Heading1"/>
        <w:ind w:left="120"/>
      </w:pPr>
      <w:r>
        <w:rPr>
          <w:color w:val="231F20"/>
          <w:spacing w:val="9"/>
          <w:w w:val="105"/>
        </w:rPr>
        <w:t>SUBJECTS</w:t>
      </w:r>
      <w:r>
        <w:rPr>
          <w:color w:val="231F20"/>
          <w:spacing w:val="65"/>
          <w:w w:val="150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66"/>
          <w:w w:val="150"/>
        </w:rPr>
        <w:t> </w:t>
      </w:r>
      <w:r>
        <w:rPr>
          <w:color w:val="231F20"/>
          <w:spacing w:val="9"/>
          <w:w w:val="105"/>
        </w:rPr>
        <w:t>METHODS</w:t>
      </w:r>
    </w:p>
    <w:p>
      <w:pPr>
        <w:pStyle w:val="BodyText"/>
        <w:spacing w:line="244" w:lineRule="auto" w:before="207"/>
        <w:ind w:right="44" w:firstLine="480"/>
      </w:pPr>
      <w:r>
        <w:rPr>
          <w:color w:val="231F20"/>
        </w:rPr>
        <w:t>8 in-patients who were pregnant opiate depen- dent were included in the audit. This was the total num- ber identified from existing case records on the Max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Glatt</w:t>
      </w:r>
      <w:r>
        <w:rPr>
          <w:color w:val="231F20"/>
          <w:spacing w:val="2"/>
        </w:rPr>
        <w:t> </w:t>
      </w:r>
      <w:r>
        <w:rPr>
          <w:color w:val="231F20"/>
          <w:w w:val="95"/>
        </w:rPr>
        <w:t>Unit.</w:t>
      </w:r>
      <w:r>
        <w:rPr>
          <w:color w:val="231F20"/>
          <w:spacing w:val="2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w w:val="95"/>
        </w:rPr>
        <w:t>MGU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2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2"/>
        </w:rPr>
        <w:t> </w:t>
      </w:r>
      <w:r>
        <w:rPr>
          <w:color w:val="231F20"/>
          <w:w w:val="95"/>
        </w:rPr>
        <w:t>tertiary</w:t>
      </w:r>
      <w:r>
        <w:rPr>
          <w:color w:val="231F20"/>
          <w:spacing w:val="2"/>
        </w:rPr>
        <w:t> </w:t>
      </w:r>
      <w:r>
        <w:rPr>
          <w:color w:val="231F20"/>
          <w:w w:val="95"/>
        </w:rPr>
        <w:t>referral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centre</w:t>
      </w:r>
      <w:r>
        <w:rPr>
          <w:color w:val="231F20"/>
          <w:spacing w:val="2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2"/>
        </w:rPr>
        <w:t> </w:t>
      </w:r>
      <w:r>
        <w:rPr>
          <w:color w:val="231F20"/>
          <w:spacing w:val="-2"/>
          <w:w w:val="95"/>
        </w:rPr>
        <w:t>detoxi-</w:t>
      </w:r>
    </w:p>
    <w:p>
      <w:pPr>
        <w:pStyle w:val="BodyText"/>
        <w:spacing w:before="8"/>
        <w:ind w:left="0"/>
        <w:jc w:val="left"/>
        <w:rPr>
          <w:sz w:val="4"/>
        </w:rPr>
      </w:pPr>
    </w:p>
    <w:p>
      <w:pPr>
        <w:pStyle w:val="BodyText"/>
        <w:spacing w:line="20" w:lineRule="exact" w:before="0"/>
        <w:ind w:left="120" w:right="-15"/>
        <w:jc w:val="left"/>
        <w:rPr>
          <w:sz w:val="2"/>
        </w:rPr>
      </w:pPr>
      <w:r>
        <w:rPr>
          <w:sz w:val="2"/>
        </w:rPr>
        <w:pict>
          <v:group style="width:225pt;height:1pt;mso-position-horizontal-relative:char;mso-position-vertical-relative:line" id="docshapegroup4" coordorigin="0,0" coordsize="4500,20">
            <v:line style="position:absolute" from="0,10" to="4500,10" stroked="true" strokeweight=".96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75"/>
        <w:ind w:left="120" w:right="0" w:firstLine="0"/>
        <w:jc w:val="left"/>
        <w:rPr>
          <w:sz w:val="16"/>
        </w:rPr>
      </w:pPr>
      <w:r>
        <w:rPr>
          <w:rFonts w:ascii="Gill Sans MT"/>
          <w:b/>
          <w:color w:val="231F20"/>
          <w:sz w:val="16"/>
        </w:rPr>
        <w:t>M.</w:t>
      </w:r>
      <w:r>
        <w:rPr>
          <w:rFonts w:ascii="Gill Sans MT"/>
          <w:b/>
          <w:color w:val="231F20"/>
          <w:spacing w:val="40"/>
          <w:sz w:val="16"/>
        </w:rPr>
        <w:t> </w:t>
      </w:r>
      <w:r>
        <w:rPr>
          <w:rFonts w:ascii="Gill Sans MT"/>
          <w:b/>
          <w:color w:val="231F20"/>
          <w:sz w:val="16"/>
        </w:rPr>
        <w:t>Kashmiri,</w:t>
      </w:r>
      <w:r>
        <w:rPr>
          <w:rFonts w:ascii="Gill Sans MT"/>
          <w:b/>
          <w:color w:val="231F20"/>
          <w:spacing w:val="40"/>
          <w:sz w:val="16"/>
        </w:rPr>
        <w:t> </w:t>
      </w:r>
      <w:r>
        <w:rPr>
          <w:color w:val="231F20"/>
          <w:sz w:val="16"/>
        </w:rPr>
        <w:t>Substance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misuse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service,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St.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Bernards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Hospi- tal, Central &amp; North West London NHS Trust, UK</w:t>
      </w:r>
    </w:p>
    <w:p>
      <w:pPr>
        <w:spacing w:line="252" w:lineRule="auto" w:before="101"/>
        <w:ind w:left="120" w:right="0" w:firstLine="0"/>
        <w:jc w:val="left"/>
        <w:rPr>
          <w:sz w:val="16"/>
        </w:rPr>
      </w:pPr>
      <w:r>
        <w:rPr>
          <w:rFonts w:ascii="Gill Sans MT"/>
          <w:b/>
          <w:color w:val="231F20"/>
          <w:w w:val="105"/>
          <w:sz w:val="16"/>
        </w:rPr>
        <w:t>K.</w:t>
      </w:r>
      <w:r>
        <w:rPr>
          <w:rFonts w:ascii="Gill Sans MT"/>
          <w:b/>
          <w:color w:val="231F20"/>
          <w:spacing w:val="-6"/>
          <w:w w:val="105"/>
          <w:sz w:val="16"/>
        </w:rPr>
        <w:t> </w:t>
      </w:r>
      <w:r>
        <w:rPr>
          <w:rFonts w:ascii="Gill Sans MT"/>
          <w:b/>
          <w:color w:val="231F20"/>
          <w:w w:val="105"/>
          <w:sz w:val="16"/>
        </w:rPr>
        <w:t>Dar,</w:t>
      </w:r>
      <w:r>
        <w:rPr>
          <w:rFonts w:ascii="Gill Sans MT"/>
          <w:b/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Consultant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Psychiatrist,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Substance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misuse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service,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Max Glatt unit,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Central &amp; North West London NHS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Trust, UK</w:t>
      </w:r>
    </w:p>
    <w:p>
      <w:pPr>
        <w:spacing w:line="266" w:lineRule="auto" w:before="98"/>
        <w:ind w:left="120" w:right="32" w:firstLine="0"/>
        <w:jc w:val="left"/>
        <w:rPr>
          <w:sz w:val="16"/>
        </w:rPr>
      </w:pPr>
      <w:r>
        <w:rPr>
          <w:rFonts w:ascii="Gill Sans MT"/>
          <w:b/>
          <w:color w:val="231F20"/>
          <w:sz w:val="16"/>
        </w:rPr>
        <w:t>M. Gul,</w:t>
      </w:r>
      <w:r>
        <w:rPr>
          <w:rFonts w:ascii="Gill Sans MT"/>
          <w:b/>
          <w:color w:val="231F20"/>
          <w:spacing w:val="40"/>
          <w:sz w:val="16"/>
        </w:rPr>
        <w:t> </w:t>
      </w:r>
      <w:r>
        <w:rPr>
          <w:color w:val="231F20"/>
          <w:sz w:val="16"/>
        </w:rPr>
        <w:t>Substance Miuse Service, Central &amp; North West Lon-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don Mental Health NHS Trust, UK</w:t>
      </w:r>
    </w:p>
    <w:p>
      <w:pPr>
        <w:spacing w:before="107"/>
        <w:ind w:left="120" w:right="0" w:firstLine="0"/>
        <w:jc w:val="left"/>
        <w:rPr>
          <w:sz w:val="16"/>
        </w:rPr>
      </w:pPr>
      <w:r>
        <w:rPr>
          <w:rFonts w:ascii="Gill Sans MT"/>
          <w:b/>
          <w:color w:val="231F20"/>
          <w:sz w:val="16"/>
        </w:rPr>
        <w:t>A.</w:t>
      </w:r>
      <w:r>
        <w:rPr>
          <w:rFonts w:ascii="Gill Sans MT"/>
          <w:b/>
          <w:color w:val="231F20"/>
          <w:spacing w:val="14"/>
          <w:sz w:val="16"/>
        </w:rPr>
        <w:t> </w:t>
      </w:r>
      <w:r>
        <w:rPr>
          <w:rFonts w:ascii="Gill Sans MT"/>
          <w:b/>
          <w:color w:val="231F20"/>
          <w:sz w:val="16"/>
        </w:rPr>
        <w:t>Sabir,</w:t>
      </w:r>
      <w:r>
        <w:rPr>
          <w:rFonts w:ascii="Gill Sans MT"/>
          <w:b/>
          <w:color w:val="231F20"/>
          <w:spacing w:val="69"/>
          <w:sz w:val="16"/>
        </w:rPr>
        <w:t> </w:t>
      </w:r>
      <w:r>
        <w:rPr>
          <w:color w:val="231F20"/>
          <w:sz w:val="16"/>
        </w:rPr>
        <w:t>General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Practitioner,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Kohat,</w:t>
      </w:r>
      <w:r>
        <w:rPr>
          <w:color w:val="231F20"/>
          <w:spacing w:val="11"/>
          <w:sz w:val="16"/>
        </w:rPr>
        <w:t> </w:t>
      </w:r>
      <w:r>
        <w:rPr>
          <w:color w:val="231F20"/>
          <w:spacing w:val="-2"/>
          <w:sz w:val="16"/>
        </w:rPr>
        <w:t>Pakistan</w:t>
      </w:r>
    </w:p>
    <w:p>
      <w:pPr>
        <w:spacing w:line="388" w:lineRule="auto" w:before="121"/>
        <w:ind w:left="120" w:right="3069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color w:val="231F20"/>
          <w:spacing w:val="-2"/>
          <w:sz w:val="16"/>
        </w:rPr>
        <w:t>Correspondence: </w:t>
      </w:r>
      <w:r>
        <w:rPr>
          <w:rFonts w:ascii="Gill Sans MT"/>
          <w:b/>
          <w:color w:val="231F20"/>
          <w:sz w:val="16"/>
        </w:rPr>
        <w:t>Dr. M. Gul</w:t>
      </w:r>
    </w:p>
    <w:p>
      <w:pPr>
        <w:pStyle w:val="BodyText"/>
        <w:spacing w:line="244" w:lineRule="auto" w:before="105"/>
        <w:ind w:right="115"/>
      </w:pPr>
      <w:r>
        <w:rPr/>
        <w:br w:type="column"/>
      </w:r>
      <w:r>
        <w:rPr>
          <w:color w:val="231F20"/>
        </w:rPr>
        <w:t>fication in West London. Guidelines for the management of Opiate dependent pregnant women are available for use by medical/nursing staff on the MGU to ensure opti- mum co-ordination between agencies and safety of both </w:t>
      </w:r>
      <w:r>
        <w:rPr>
          <w:color w:val="231F20"/>
          <w:w w:val="105"/>
        </w:rPr>
        <w:t>mother and baby.</w:t>
      </w:r>
    </w:p>
    <w:p>
      <w:pPr>
        <w:pStyle w:val="BodyText"/>
        <w:spacing w:line="244" w:lineRule="auto" w:before="179"/>
        <w:ind w:firstLine="480"/>
        <w:jc w:val="left"/>
      </w:pPr>
      <w:r>
        <w:rPr>
          <w:color w:val="231F20"/>
          <w:w w:val="105"/>
        </w:rPr>
        <w:t>Current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procedures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staff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admis- sion as per the Guidelines include: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81" w:after="0"/>
        <w:ind w:left="600" w:right="114" w:hanging="480"/>
        <w:jc w:val="both"/>
        <w:rPr>
          <w:sz w:val="18"/>
        </w:rPr>
      </w:pPr>
      <w:r>
        <w:rPr>
          <w:color w:val="231F20"/>
          <w:sz w:val="18"/>
        </w:rPr>
        <w:t>On arrival of the patient on the ward check the referral from the local community </w:t>
      </w:r>
      <w:r>
        <w:rPr>
          <w:color w:val="231F20"/>
          <w:sz w:val="18"/>
        </w:rPr>
        <w:t>drug/alcohol</w:t>
      </w:r>
      <w:r>
        <w:rPr>
          <w:color w:val="231F20"/>
          <w:sz w:val="18"/>
        </w:rPr>
        <w:t> team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go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through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clinical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details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mentioned </w:t>
      </w:r>
      <w:r>
        <w:rPr>
          <w:color w:val="231F20"/>
          <w:spacing w:val="-2"/>
          <w:sz w:val="18"/>
        </w:rPr>
        <w:t>there.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4" w:lineRule="auto" w:before="178" w:after="0"/>
        <w:ind w:left="600" w:right="116" w:hanging="480"/>
        <w:jc w:val="both"/>
        <w:rPr>
          <w:sz w:val="18"/>
        </w:rPr>
      </w:pPr>
      <w:r>
        <w:rPr>
          <w:color w:val="231F20"/>
          <w:sz w:val="18"/>
        </w:rPr>
        <w:t>Check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from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referral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form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dose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prescribed Methadone and confirm from the referrer by tele- </w:t>
      </w:r>
      <w:r>
        <w:rPr>
          <w:color w:val="231F20"/>
          <w:spacing w:val="-2"/>
          <w:sz w:val="18"/>
        </w:rPr>
        <w:t>phone.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80" w:after="0"/>
        <w:ind w:left="600" w:right="118" w:hanging="480"/>
        <w:jc w:val="both"/>
        <w:rPr>
          <w:sz w:val="18"/>
        </w:rPr>
      </w:pPr>
      <w:r>
        <w:rPr>
          <w:color w:val="231F20"/>
          <w:w w:val="105"/>
          <w:sz w:val="18"/>
        </w:rPr>
        <w:t>Check the Urine Drug Screen results done in the </w:t>
      </w:r>
      <w:r>
        <w:rPr>
          <w:color w:val="231F20"/>
          <w:spacing w:val="-2"/>
          <w:w w:val="105"/>
          <w:sz w:val="18"/>
        </w:rPr>
        <w:t>community.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81" w:after="0"/>
        <w:ind w:left="600" w:right="115" w:hanging="480"/>
        <w:jc w:val="both"/>
        <w:rPr>
          <w:sz w:val="18"/>
        </w:rPr>
      </w:pPr>
      <w:r>
        <w:rPr>
          <w:color w:val="231F20"/>
          <w:sz w:val="18"/>
        </w:rPr>
        <w:t>Confirm the plan agreed by the referring team i.e, maintenance, reduction or detoxification as men- tioned in the referral form.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2" w:lineRule="auto" w:before="180" w:after="0"/>
        <w:ind w:left="600" w:right="118" w:hanging="480"/>
        <w:jc w:val="both"/>
        <w:rPr>
          <w:sz w:val="18"/>
        </w:rPr>
      </w:pPr>
      <w:r>
        <w:rPr>
          <w:color w:val="231F20"/>
          <w:sz w:val="18"/>
        </w:rPr>
        <w:t>Obtain a detailed health history, including alcohol </w:t>
      </w:r>
      <w:r>
        <w:rPr>
          <w:color w:val="231F20"/>
          <w:w w:val="105"/>
          <w:sz w:val="18"/>
        </w:rPr>
        <w:t>and other drug use.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84" w:after="0"/>
        <w:ind w:left="600" w:right="105" w:hanging="480"/>
        <w:jc w:val="both"/>
        <w:rPr>
          <w:sz w:val="18"/>
        </w:rPr>
      </w:pPr>
      <w:r>
        <w:rPr>
          <w:color w:val="231F20"/>
          <w:spacing w:val="11"/>
          <w:sz w:val="18"/>
        </w:rPr>
        <w:t>Enquire</w:t>
      </w:r>
      <w:r>
        <w:rPr>
          <w:color w:val="231F20"/>
          <w:spacing w:val="40"/>
          <w:sz w:val="18"/>
        </w:rPr>
        <w:t> </w:t>
      </w:r>
      <w:r>
        <w:rPr>
          <w:color w:val="231F20"/>
          <w:spacing w:val="10"/>
          <w:sz w:val="18"/>
        </w:rPr>
        <w:t>about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40"/>
          <w:sz w:val="18"/>
        </w:rPr>
        <w:t> </w:t>
      </w:r>
      <w:r>
        <w:rPr>
          <w:color w:val="231F20"/>
          <w:spacing w:val="11"/>
          <w:sz w:val="18"/>
        </w:rPr>
        <w:t>duration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40"/>
          <w:sz w:val="18"/>
        </w:rPr>
        <w:t> </w:t>
      </w:r>
      <w:r>
        <w:rPr>
          <w:color w:val="231F20"/>
          <w:spacing w:val="13"/>
          <w:sz w:val="18"/>
        </w:rPr>
        <w:t>pregnancy </w:t>
      </w:r>
      <w:r>
        <w:rPr>
          <w:color w:val="231F20"/>
          <w:sz w:val="18"/>
        </w:rPr>
        <w:t>and the </w:t>
      </w:r>
      <w:r>
        <w:rPr>
          <w:color w:val="231F20"/>
          <w:spacing w:val="10"/>
          <w:sz w:val="18"/>
        </w:rPr>
        <w:t>involvement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or </w:t>
      </w:r>
      <w:r>
        <w:rPr>
          <w:color w:val="231F20"/>
          <w:spacing w:val="10"/>
          <w:sz w:val="18"/>
        </w:rPr>
        <w:t>otherwise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of </w:t>
      </w:r>
      <w:r>
        <w:rPr>
          <w:color w:val="231F20"/>
          <w:sz w:val="18"/>
        </w:rPr>
        <w:t>social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services.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79" w:after="0"/>
        <w:ind w:left="600" w:right="113" w:hanging="480"/>
        <w:jc w:val="both"/>
        <w:rPr>
          <w:sz w:val="18"/>
        </w:rPr>
      </w:pPr>
      <w:r>
        <w:rPr>
          <w:color w:val="231F20"/>
          <w:sz w:val="18"/>
        </w:rPr>
        <w:t>Confirm that the patient has had an ante-natal check up including abdominal ultrasound.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79" w:after="0"/>
        <w:ind w:left="600" w:right="117" w:hanging="480"/>
        <w:jc w:val="both"/>
        <w:rPr>
          <w:sz w:val="18"/>
        </w:rPr>
      </w:pPr>
      <w:r>
        <w:rPr>
          <w:color w:val="231F20"/>
          <w:w w:val="105"/>
          <w:sz w:val="18"/>
        </w:rPr>
        <w:t>Enquire whether the patient has had blood tests done to screen for hepatitis or HIV.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82" w:after="0"/>
        <w:ind w:left="600" w:right="116" w:hanging="480"/>
        <w:jc w:val="both"/>
        <w:rPr>
          <w:sz w:val="18"/>
        </w:rPr>
      </w:pPr>
      <w:r>
        <w:rPr>
          <w:color w:val="231F20"/>
          <w:sz w:val="18"/>
        </w:rPr>
        <w:t>Enquire about whether the patient has been prac- tising safe sex and whether there is an indication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for referral to the local hospital GUM clinic.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2" w:lineRule="auto" w:before="179" w:after="0"/>
        <w:ind w:left="600" w:right="116" w:hanging="480"/>
        <w:jc w:val="both"/>
        <w:rPr>
          <w:sz w:val="18"/>
        </w:rPr>
      </w:pPr>
      <w:r>
        <w:rPr>
          <w:color w:val="231F20"/>
          <w:w w:val="105"/>
          <w:sz w:val="18"/>
        </w:rPr>
        <w:t>Request for routine blood tests, MSU and urine drug screen.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40" w:lineRule="auto" w:before="184" w:after="0"/>
        <w:ind w:left="600" w:right="0" w:hanging="482"/>
        <w:jc w:val="left"/>
        <w:rPr>
          <w:sz w:val="18"/>
        </w:rPr>
      </w:pPr>
      <w:r>
        <w:rPr>
          <w:color w:val="231F20"/>
          <w:w w:val="105"/>
          <w:sz w:val="18"/>
        </w:rPr>
        <w:t>Conduct</w:t>
      </w:r>
      <w:r>
        <w:rPr>
          <w:color w:val="231F20"/>
          <w:spacing w:val="16"/>
          <w:w w:val="105"/>
          <w:sz w:val="18"/>
        </w:rPr>
        <w:t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16"/>
          <w:w w:val="105"/>
          <w:sz w:val="18"/>
        </w:rPr>
        <w:t> </w:t>
      </w:r>
      <w:r>
        <w:rPr>
          <w:color w:val="231F20"/>
          <w:w w:val="105"/>
          <w:sz w:val="18"/>
        </w:rPr>
        <w:t>comprehensive</w:t>
      </w:r>
      <w:r>
        <w:rPr>
          <w:color w:val="231F20"/>
          <w:spacing w:val="16"/>
          <w:w w:val="105"/>
          <w:sz w:val="18"/>
        </w:rPr>
        <w:t> </w:t>
      </w:r>
      <w:r>
        <w:rPr>
          <w:color w:val="231F20"/>
          <w:w w:val="105"/>
          <w:sz w:val="18"/>
        </w:rPr>
        <w:t>physical</w:t>
      </w:r>
      <w:r>
        <w:rPr>
          <w:color w:val="231F20"/>
          <w:spacing w:val="17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examination.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85" w:after="0"/>
        <w:ind w:left="600" w:right="113" w:hanging="480"/>
        <w:jc w:val="both"/>
        <w:rPr>
          <w:sz w:val="18"/>
        </w:rPr>
      </w:pPr>
      <w:r>
        <w:rPr>
          <w:color w:val="231F20"/>
          <w:sz w:val="18"/>
        </w:rPr>
        <w:t>Liase with Key-worker in the community to ensure </w:t>
      </w:r>
      <w:r>
        <w:rPr>
          <w:color w:val="231F20"/>
          <w:w w:val="105"/>
          <w:sz w:val="18"/>
        </w:rPr>
        <w:t>there</w:t>
      </w:r>
      <w:r>
        <w:rPr>
          <w:color w:val="231F20"/>
          <w:w w:val="105"/>
          <w:sz w:val="18"/>
        </w:rPr>
        <w:t> is</w:t>
      </w:r>
      <w:r>
        <w:rPr>
          <w:color w:val="231F20"/>
          <w:w w:val="105"/>
          <w:sz w:val="18"/>
        </w:rPr>
        <w:t> a</w:t>
      </w:r>
      <w:r>
        <w:rPr>
          <w:color w:val="231F20"/>
          <w:w w:val="105"/>
          <w:sz w:val="18"/>
        </w:rPr>
        <w:t> care-planning</w:t>
      </w:r>
      <w:r>
        <w:rPr>
          <w:color w:val="231F20"/>
          <w:w w:val="105"/>
          <w:sz w:val="18"/>
        </w:rPr>
        <w:t> meeting</w:t>
      </w:r>
      <w:r>
        <w:rPr>
          <w:color w:val="231F20"/>
          <w:w w:val="105"/>
          <w:sz w:val="18"/>
        </w:rPr>
        <w:t> at</w:t>
      </w:r>
      <w:r>
        <w:rPr>
          <w:color w:val="231F20"/>
          <w:w w:val="105"/>
          <w:sz w:val="18"/>
        </w:rPr>
        <w:t> the</w:t>
      </w:r>
      <w:r>
        <w:rPr>
          <w:color w:val="231F20"/>
          <w:w w:val="105"/>
          <w:sz w:val="18"/>
        </w:rPr>
        <w:t> clinical review before discharge.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40" w:lineRule="auto" w:before="180" w:after="0"/>
        <w:ind w:left="600" w:right="0" w:hanging="482"/>
        <w:jc w:val="left"/>
        <w:rPr>
          <w:sz w:val="18"/>
        </w:rPr>
      </w:pPr>
      <w:r>
        <w:rPr>
          <w:color w:val="231F20"/>
          <w:sz w:val="18"/>
        </w:rPr>
        <w:t>Medical</w:t>
      </w:r>
      <w:r>
        <w:rPr>
          <w:color w:val="231F20"/>
          <w:spacing w:val="1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20"/>
          <w:sz w:val="18"/>
        </w:rPr>
        <w:t> </w:t>
      </w:r>
      <w:r>
        <w:rPr>
          <w:color w:val="231F20"/>
          <w:sz w:val="18"/>
        </w:rPr>
        <w:t>nursing</w:t>
      </w:r>
      <w:r>
        <w:rPr>
          <w:color w:val="231F20"/>
          <w:spacing w:val="20"/>
          <w:sz w:val="18"/>
        </w:rPr>
        <w:t> </w:t>
      </w:r>
      <w:r>
        <w:rPr>
          <w:color w:val="231F20"/>
          <w:sz w:val="18"/>
        </w:rPr>
        <w:t>staff</w:t>
      </w:r>
      <w:r>
        <w:rPr>
          <w:color w:val="231F20"/>
          <w:spacing w:val="19"/>
          <w:sz w:val="18"/>
        </w:rPr>
        <w:t> </w:t>
      </w:r>
      <w:r>
        <w:rPr>
          <w:color w:val="231F20"/>
          <w:sz w:val="18"/>
        </w:rPr>
        <w:t>should</w:t>
      </w:r>
      <w:r>
        <w:rPr>
          <w:color w:val="231F20"/>
          <w:spacing w:val="20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20"/>
          <w:sz w:val="18"/>
        </w:rPr>
        <w:t> </w:t>
      </w:r>
      <w:r>
        <w:rPr>
          <w:color w:val="231F20"/>
          <w:sz w:val="18"/>
        </w:rPr>
        <w:t>aware</w:t>
      </w:r>
      <w:r>
        <w:rPr>
          <w:color w:val="231F20"/>
          <w:spacing w:val="2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19"/>
          <w:sz w:val="18"/>
        </w:rPr>
        <w:t> </w:t>
      </w:r>
      <w:r>
        <w:rPr>
          <w:color w:val="231F20"/>
          <w:spacing w:val="-5"/>
          <w:sz w:val="18"/>
        </w:rPr>
        <w:t>the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header="0" w:footer="1008" w:top="900" w:bottom="1200" w:left="1320" w:right="1320"/>
          <w:cols w:num="2" w:equalWidth="0">
            <w:col w:w="4669" w:space="191"/>
            <w:col w:w="4740"/>
          </w:cols>
        </w:sectPr>
      </w:pPr>
    </w:p>
    <w:p>
      <w:pPr>
        <w:pStyle w:val="BodyText"/>
        <w:spacing w:line="244" w:lineRule="auto" w:before="73"/>
        <w:ind w:left="599" w:right="44"/>
      </w:pPr>
      <w:r>
        <w:rPr>
          <w:color w:val="231F20"/>
        </w:rPr>
        <w:t>risks of prescribing any medication particularly during the first trimester of pregnancy. If need arises then the service pharmacist and/or the con- sultant should be contacted.</w:t>
      </w:r>
    </w:p>
    <w:p>
      <w:pPr>
        <w:pStyle w:val="BodyText"/>
        <w:spacing w:line="244" w:lineRule="auto"/>
        <w:ind w:right="38" w:firstLine="480"/>
      </w:pPr>
      <w:r>
        <w:rPr>
          <w:color w:val="231F20"/>
          <w:w w:val="105"/>
        </w:rPr>
        <w:t>Data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collected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per</w:t>
      </w:r>
      <w:r>
        <w:rPr>
          <w:color w:val="231F20"/>
          <w:w w:val="105"/>
        </w:rPr>
        <w:t> proforma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a standardised sheet from case notes on demography, period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gestation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admission,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current substance</w:t>
      </w:r>
      <w:r>
        <w:rPr>
          <w:color w:val="231F20"/>
          <w:w w:val="105"/>
        </w:rPr>
        <w:t> use,</w:t>
      </w:r>
      <w:r>
        <w:rPr>
          <w:color w:val="231F20"/>
          <w:w w:val="105"/>
        </w:rPr>
        <w:t> </w:t>
      </w:r>
      <w:r>
        <w:rPr>
          <w:color w:val="231F20"/>
          <w:spacing w:val="9"/>
          <w:w w:val="105"/>
        </w:rPr>
        <w:t>hepatitis/HIV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status,</w:t>
      </w:r>
      <w:r>
        <w:rPr>
          <w:color w:val="231F20"/>
          <w:w w:val="105"/>
        </w:rPr>
        <w:t> presence</w:t>
      </w:r>
      <w:r>
        <w:rPr>
          <w:color w:val="231F20"/>
          <w:w w:val="105"/>
        </w:rPr>
        <w:t> </w:t>
      </w:r>
      <w:r>
        <w:rPr>
          <w:color w:val="231F20"/>
          <w:spacing w:val="10"/>
          <w:w w:val="105"/>
        </w:rPr>
        <w:t>of </w:t>
      </w:r>
      <w:r>
        <w:rPr>
          <w:color w:val="231F20"/>
        </w:rPr>
        <w:t>comorbid mental illness, reason for admission (whether detoxification or maintenance)after-care plan and unto- </w:t>
      </w:r>
      <w:r>
        <w:rPr>
          <w:color w:val="231F20"/>
          <w:w w:val="105"/>
        </w:rPr>
        <w:t>ward adverse events.</w:t>
      </w:r>
    </w:p>
    <w:p>
      <w:pPr>
        <w:pStyle w:val="BodyText"/>
        <w:spacing w:before="5"/>
        <w:ind w:left="0"/>
        <w:jc w:val="left"/>
        <w:rPr>
          <w:sz w:val="24"/>
        </w:rPr>
      </w:pPr>
    </w:p>
    <w:p>
      <w:pPr>
        <w:pStyle w:val="Heading1"/>
        <w:ind w:left="120"/>
      </w:pPr>
      <w:r>
        <w:rPr>
          <w:color w:val="231F20"/>
          <w:spacing w:val="11"/>
          <w:w w:val="115"/>
        </w:rPr>
        <w:t>RESULTS</w:t>
      </w:r>
    </w:p>
    <w:p>
      <w:pPr>
        <w:pStyle w:val="BodyText"/>
        <w:spacing w:before="8"/>
        <w:ind w:left="0"/>
        <w:jc w:val="left"/>
        <w:rPr>
          <w:sz w:val="20"/>
        </w:rPr>
      </w:pPr>
    </w:p>
    <w:p>
      <w:pPr>
        <w:pStyle w:val="BodyText"/>
        <w:spacing w:line="244" w:lineRule="auto" w:before="0"/>
        <w:ind w:left="120" w:right="46" w:firstLine="479"/>
      </w:pPr>
      <w:r>
        <w:rPr>
          <w:color w:val="231F20"/>
        </w:rPr>
        <w:t>All women were aged between 22 and 30. 62.5% were single. The rest were in a cohabiting relationship whose partners were all substance users. 50% had chil- dren (range 1-4) and none were living with their moth- ers. They were either in foster-care or living with grand parents</w:t>
      </w:r>
      <w:r>
        <w:rPr>
          <w:color w:val="231F20"/>
          <w:spacing w:val="40"/>
        </w:rPr>
        <w:t> </w:t>
      </w:r>
      <w:r>
        <w:rPr>
          <w:color w:val="231F20"/>
        </w:rPr>
        <w:t>under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guardianship</w:t>
      </w:r>
      <w:r>
        <w:rPr>
          <w:color w:val="231F20"/>
          <w:spacing w:val="40"/>
        </w:rPr>
        <w:t> </w:t>
      </w:r>
      <w:r>
        <w:rPr>
          <w:color w:val="231F20"/>
        </w:rPr>
        <w:t>order.</w:t>
      </w:r>
      <w:r>
        <w:rPr>
          <w:color w:val="231F20"/>
          <w:spacing w:val="40"/>
        </w:rPr>
        <w:t> </w:t>
      </w:r>
      <w:r>
        <w:rPr>
          <w:color w:val="231F20"/>
        </w:rPr>
        <w:t>There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only one current child care proceeding in court.</w:t>
      </w:r>
    </w:p>
    <w:p>
      <w:pPr>
        <w:pStyle w:val="BodyText"/>
        <w:spacing w:line="244" w:lineRule="auto" w:before="178"/>
        <w:ind w:right="46" w:firstLine="480"/>
      </w:pPr>
      <w:r>
        <w:rPr>
          <w:color w:val="231F20"/>
          <w:w w:val="105"/>
        </w:rPr>
        <w:t>75%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admitted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w w:val="105"/>
          <w:position w:val="6"/>
          <w:sz w:val="10"/>
        </w:rPr>
        <w:t>nd</w:t>
      </w:r>
      <w:r>
        <w:rPr>
          <w:color w:val="231F20"/>
          <w:spacing w:val="-7"/>
          <w:w w:val="105"/>
          <w:position w:val="6"/>
          <w:sz w:val="10"/>
        </w:rPr>
        <w:t> </w:t>
      </w:r>
      <w:r>
        <w:rPr>
          <w:color w:val="231F20"/>
          <w:w w:val="105"/>
        </w:rPr>
        <w:t>(5/ 8) and 3</w:t>
      </w:r>
      <w:r>
        <w:rPr>
          <w:color w:val="231F20"/>
          <w:w w:val="105"/>
          <w:position w:val="6"/>
          <w:sz w:val="10"/>
        </w:rPr>
        <w:t>rd</w:t>
      </w:r>
      <w:r>
        <w:rPr>
          <w:color w:val="231F20"/>
          <w:spacing w:val="29"/>
          <w:w w:val="105"/>
          <w:position w:val="6"/>
          <w:sz w:val="10"/>
        </w:rPr>
        <w:t> </w:t>
      </w:r>
      <w:r>
        <w:rPr>
          <w:color w:val="231F20"/>
          <w:w w:val="105"/>
        </w:rPr>
        <w:t>trimester (1/8). The rest in their 1</w:t>
      </w:r>
      <w:r>
        <w:rPr>
          <w:color w:val="231F20"/>
          <w:w w:val="105"/>
          <w:position w:val="6"/>
          <w:sz w:val="10"/>
        </w:rPr>
        <w:t>st</w:t>
      </w:r>
      <w:r>
        <w:rPr>
          <w:color w:val="231F20"/>
          <w:spacing w:val="32"/>
          <w:w w:val="105"/>
          <w:position w:val="6"/>
          <w:sz w:val="10"/>
        </w:rPr>
        <w:t> </w:t>
      </w:r>
      <w:r>
        <w:rPr>
          <w:color w:val="231F20"/>
          <w:w w:val="105"/>
        </w:rPr>
        <w:t>trimester (one admission at 6 weeks gestation).</w:t>
      </w:r>
    </w:p>
    <w:p>
      <w:pPr>
        <w:pStyle w:val="BodyText"/>
        <w:spacing w:line="244" w:lineRule="auto"/>
        <w:ind w:right="45" w:firstLine="480"/>
      </w:pPr>
      <w:r>
        <w:rPr>
          <w:color w:val="231F20"/>
        </w:rPr>
        <w:t>All cases were opiate dependent. 50% used hero- ine as their primary drug of choice whereas 50% were poly-drug users using heroine, cocaine, cannabis, ben- zodiazepines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alcohol.</w:t>
      </w:r>
      <w:r>
        <w:rPr>
          <w:color w:val="231F20"/>
          <w:spacing w:val="34"/>
        </w:rPr>
        <w:t> </w:t>
      </w:r>
      <w:r>
        <w:rPr>
          <w:color w:val="231F20"/>
        </w:rPr>
        <w:t>25%</w:t>
      </w:r>
      <w:r>
        <w:rPr>
          <w:color w:val="231F20"/>
          <w:spacing w:val="34"/>
        </w:rPr>
        <w:t> </w:t>
      </w:r>
      <w:r>
        <w:rPr>
          <w:color w:val="231F20"/>
        </w:rPr>
        <w:t>were</w:t>
      </w:r>
      <w:r>
        <w:rPr>
          <w:color w:val="231F20"/>
          <w:spacing w:val="34"/>
        </w:rPr>
        <w:t> </w:t>
      </w:r>
      <w:r>
        <w:rPr>
          <w:color w:val="231F20"/>
        </w:rPr>
        <w:t>actively</w:t>
      </w:r>
      <w:r>
        <w:rPr>
          <w:color w:val="231F20"/>
          <w:spacing w:val="34"/>
        </w:rPr>
        <w:t> </w:t>
      </w:r>
      <w:r>
        <w:rPr>
          <w:color w:val="231F20"/>
        </w:rPr>
        <w:t>injecting at time of admission. All cases used alcohol of which</w:t>
      </w:r>
      <w:r>
        <w:rPr>
          <w:color w:val="231F20"/>
          <w:spacing w:val="40"/>
        </w:rPr>
        <w:t> </w:t>
      </w:r>
      <w:r>
        <w:rPr>
          <w:color w:val="231F20"/>
        </w:rPr>
        <w:t>25% were dependent. 87.5% smoked nicotine, on aver- age</w:t>
      </w:r>
      <w:r>
        <w:rPr>
          <w:color w:val="231F20"/>
          <w:spacing w:val="-1"/>
        </w:rPr>
        <w:t> </w:t>
      </w:r>
      <w:r>
        <w:rPr>
          <w:color w:val="231F20"/>
        </w:rPr>
        <w:t>10-30</w:t>
      </w:r>
      <w:r>
        <w:rPr>
          <w:color w:val="231F20"/>
          <w:spacing w:val="-1"/>
        </w:rPr>
        <w:t> </w:t>
      </w:r>
      <w:r>
        <w:rPr>
          <w:color w:val="231F20"/>
        </w:rPr>
        <w:t>cigarettes</w:t>
      </w:r>
      <w:r>
        <w:rPr>
          <w:color w:val="231F20"/>
          <w:spacing w:val="-1"/>
        </w:rPr>
        <w:t> </w:t>
      </w:r>
      <w:r>
        <w:rPr>
          <w:color w:val="231F20"/>
        </w:rPr>
        <w:t>per</w:t>
      </w:r>
      <w:r>
        <w:rPr>
          <w:color w:val="231F20"/>
          <w:spacing w:val="-1"/>
        </w:rPr>
        <w:t> </w:t>
      </w:r>
      <w:r>
        <w:rPr>
          <w:color w:val="231F20"/>
        </w:rPr>
        <w:t>day.</w:t>
      </w:r>
      <w:r>
        <w:rPr>
          <w:color w:val="231F20"/>
          <w:spacing w:val="-1"/>
        </w:rPr>
        <w:t> </w:t>
      </w:r>
      <w:r>
        <w:rPr>
          <w:color w:val="231F20"/>
        </w:rPr>
        <w:t>25%</w:t>
      </w:r>
      <w:r>
        <w:rPr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Hepatitis</w:t>
      </w:r>
      <w:r>
        <w:rPr>
          <w:color w:val="231F20"/>
          <w:spacing w:val="-1"/>
        </w:rPr>
        <w:t> </w:t>
      </w:r>
      <w:r>
        <w:rPr>
          <w:color w:val="231F20"/>
        </w:rPr>
        <w:t>C</w:t>
      </w:r>
      <w:r>
        <w:rPr>
          <w:color w:val="231F20"/>
          <w:spacing w:val="-1"/>
        </w:rPr>
        <w:t> </w:t>
      </w:r>
      <w:r>
        <w:rPr>
          <w:color w:val="231F20"/>
        </w:rPr>
        <w:t>posi- tive and 12.5% Hepatitis B positive.</w:t>
      </w:r>
    </w:p>
    <w:p>
      <w:pPr>
        <w:pStyle w:val="BodyText"/>
        <w:spacing w:line="244" w:lineRule="auto" w:before="73"/>
        <w:ind w:right="105" w:firstLine="480"/>
      </w:pPr>
      <w:r>
        <w:rPr/>
        <w:br w:type="column"/>
      </w:r>
      <w:r>
        <w:rPr>
          <w:color w:val="231F20"/>
          <w:w w:val="105"/>
        </w:rPr>
        <w:t>37.5%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comorbid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mental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illness.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had </w:t>
      </w:r>
      <w:r>
        <w:rPr>
          <w:color w:val="231F20"/>
          <w:spacing w:val="11"/>
          <w:w w:val="110"/>
        </w:rPr>
        <w:t>moderate</w:t>
      </w:r>
      <w:r>
        <w:rPr>
          <w:color w:val="231F20"/>
          <w:spacing w:val="11"/>
          <w:w w:val="110"/>
        </w:rPr>
        <w:t> depressive</w:t>
      </w:r>
      <w:r>
        <w:rPr>
          <w:color w:val="231F20"/>
          <w:spacing w:val="11"/>
          <w:w w:val="110"/>
        </w:rPr>
        <w:t> disorder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1</w:t>
      </w:r>
      <w:r>
        <w:rPr>
          <w:color w:val="231F20"/>
          <w:w w:val="110"/>
        </w:rPr>
        <w:t> </w:t>
      </w:r>
      <w:r>
        <w:rPr>
          <w:color w:val="231F20"/>
          <w:spacing w:val="9"/>
          <w:w w:val="110"/>
        </w:rPr>
        <w:t>case</w:t>
      </w:r>
      <w:r>
        <w:rPr>
          <w:color w:val="231F20"/>
          <w:spacing w:val="9"/>
          <w:w w:val="110"/>
        </w:rPr>
        <w:t> </w:t>
      </w:r>
      <w:r>
        <w:rPr>
          <w:color w:val="231F20"/>
          <w:spacing w:val="13"/>
          <w:w w:val="110"/>
        </w:rPr>
        <w:t>had </w:t>
      </w:r>
      <w:r>
        <w:rPr>
          <w:color w:val="231F20"/>
          <w:w w:val="110"/>
        </w:rPr>
        <w:t>generalised anxiety disorder.</w:t>
      </w:r>
    </w:p>
    <w:p>
      <w:pPr>
        <w:pStyle w:val="BodyText"/>
        <w:spacing w:line="244" w:lineRule="auto"/>
        <w:ind w:right="106" w:firstLine="480"/>
      </w:pPr>
      <w:r>
        <w:rPr>
          <w:color w:val="231F20"/>
        </w:rPr>
        <w:t>5/8 cases were admitted for methadone detoxifi- cation out of which 3/8 completed the detox. The rest were </w:t>
      </w:r>
      <w:r>
        <w:rPr>
          <w:color w:val="231F20"/>
          <w:spacing w:val="9"/>
        </w:rPr>
        <w:t>maintained</w:t>
      </w:r>
      <w:r>
        <w:rPr>
          <w:color w:val="231F20"/>
          <w:spacing w:val="9"/>
        </w:rPr>
        <w:t> </w:t>
      </w:r>
      <w:r>
        <w:rPr>
          <w:color w:val="231F20"/>
        </w:rPr>
        <w:t>on a lower dose of </w:t>
      </w:r>
      <w:r>
        <w:rPr>
          <w:color w:val="231F20"/>
          <w:spacing w:val="11"/>
        </w:rPr>
        <w:t>methadone </w:t>
      </w:r>
      <w:r>
        <w:rPr>
          <w:color w:val="231F20"/>
        </w:rPr>
        <w:t>(Table 1). This was mainly due to caution being exer- cised to prevent premature labour.</w:t>
      </w:r>
    </w:p>
    <w:p>
      <w:pPr>
        <w:pStyle w:val="BodyText"/>
        <w:spacing w:line="242" w:lineRule="auto" w:before="181"/>
        <w:ind w:right="106" w:firstLine="480"/>
      </w:pPr>
      <w:r>
        <w:rPr>
          <w:color w:val="231F20"/>
        </w:rPr>
        <w:t>7/8 completed treatment, however only </w:t>
      </w:r>
      <w:r>
        <w:rPr>
          <w:color w:val="231F20"/>
          <w:spacing w:val="10"/>
        </w:rPr>
        <w:t>one </w:t>
      </w:r>
      <w:r>
        <w:rPr>
          <w:color w:val="231F20"/>
        </w:rPr>
        <w:t>discharged</w:t>
      </w:r>
      <w:r>
        <w:rPr>
          <w:color w:val="231F20"/>
          <w:spacing w:val="77"/>
          <w:w w:val="150"/>
        </w:rPr>
        <w:t> </w:t>
      </w:r>
      <w:r>
        <w:rPr>
          <w:color w:val="231F20"/>
        </w:rPr>
        <w:t>against</w:t>
      </w:r>
      <w:r>
        <w:rPr>
          <w:color w:val="231F20"/>
          <w:spacing w:val="78"/>
          <w:w w:val="150"/>
        </w:rPr>
        <w:t> </w:t>
      </w:r>
      <w:r>
        <w:rPr>
          <w:color w:val="231F20"/>
        </w:rPr>
        <w:t>medical</w:t>
      </w:r>
      <w:r>
        <w:rPr>
          <w:color w:val="231F20"/>
          <w:spacing w:val="77"/>
          <w:w w:val="150"/>
        </w:rPr>
        <w:t> </w:t>
      </w:r>
      <w:r>
        <w:rPr>
          <w:color w:val="231F20"/>
        </w:rPr>
        <w:t>advise</w:t>
      </w:r>
      <w:r>
        <w:rPr>
          <w:color w:val="231F20"/>
          <w:spacing w:val="78"/>
          <w:w w:val="150"/>
        </w:rPr>
        <w:t> </w:t>
      </w:r>
      <w:r>
        <w:rPr>
          <w:color w:val="231F20"/>
        </w:rPr>
        <w:t>during</w:t>
      </w:r>
      <w:r>
        <w:rPr>
          <w:color w:val="231F20"/>
          <w:spacing w:val="77"/>
          <w:w w:val="150"/>
        </w:rPr>
        <w:t> </w:t>
      </w:r>
      <w:r>
        <w:rPr>
          <w:color w:val="231F20"/>
        </w:rPr>
        <w:t>the</w:t>
      </w:r>
      <w:r>
        <w:rPr>
          <w:color w:val="231F20"/>
          <w:spacing w:val="78"/>
          <w:w w:val="150"/>
        </w:rPr>
        <w:t> </w:t>
      </w:r>
      <w:r>
        <w:rPr>
          <w:color w:val="231F20"/>
          <w:spacing w:val="-4"/>
        </w:rPr>
        <w:t>last</w:t>
      </w:r>
    </w:p>
    <w:p>
      <w:pPr>
        <w:pStyle w:val="BodyText"/>
        <w:spacing w:line="244" w:lineRule="auto" w:before="3"/>
        <w:ind w:right="104"/>
      </w:pPr>
      <w:r>
        <w:rPr>
          <w:color w:val="231F20"/>
          <w:w w:val="105"/>
        </w:rPr>
        <w:t>2</w:t>
      </w:r>
      <w:r>
        <w:rPr>
          <w:color w:val="231F20"/>
          <w:w w:val="105"/>
        </w:rPr>
        <w:t> drug</w:t>
      </w:r>
      <w:r>
        <w:rPr>
          <w:color w:val="231F20"/>
          <w:w w:val="105"/>
        </w:rPr>
        <w:t> free</w:t>
      </w:r>
      <w:r>
        <w:rPr>
          <w:color w:val="231F20"/>
          <w:w w:val="105"/>
        </w:rPr>
        <w:t> days</w:t>
      </w:r>
      <w:r>
        <w:rPr>
          <w:color w:val="231F20"/>
          <w:w w:val="105"/>
        </w:rPr>
        <w:t> due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conflict</w:t>
      </w:r>
      <w:r>
        <w:rPr>
          <w:color w:val="231F20"/>
          <w:w w:val="105"/>
        </w:rPr>
        <w:t> over</w:t>
      </w:r>
      <w:r>
        <w:rPr>
          <w:color w:val="231F20"/>
          <w:w w:val="105"/>
        </w:rPr>
        <w:t> her</w:t>
      </w:r>
      <w:r>
        <w:rPr>
          <w:color w:val="231F20"/>
          <w:w w:val="105"/>
        </w:rPr>
        <w:t> partner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10"/>
          <w:w w:val="105"/>
        </w:rPr>
        <w:t>being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w w:val="105"/>
        </w:rPr>
        <w:t> </w:t>
      </w:r>
      <w:r>
        <w:rPr>
          <w:color w:val="231F20"/>
          <w:spacing w:val="11"/>
          <w:w w:val="105"/>
        </w:rPr>
        <w:t>allowed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he</w:t>
      </w:r>
      <w:r>
        <w:rPr>
          <w:color w:val="231F20"/>
          <w:w w:val="105"/>
        </w:rPr>
        <w:t> </w:t>
      </w:r>
      <w:r>
        <w:rPr>
          <w:color w:val="231F20"/>
          <w:spacing w:val="9"/>
          <w:w w:val="105"/>
        </w:rPr>
        <w:t>also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w w:val="105"/>
        </w:rPr>
        <w:t> </w:t>
      </w:r>
      <w:r>
        <w:rPr>
          <w:color w:val="231F20"/>
          <w:spacing w:val="13"/>
          <w:w w:val="105"/>
        </w:rPr>
        <w:t>drug </w:t>
      </w:r>
      <w:r>
        <w:rPr>
          <w:color w:val="231F20"/>
          <w:spacing w:val="-2"/>
          <w:w w:val="105"/>
        </w:rPr>
        <w:t>dependence.</w:t>
      </w:r>
    </w:p>
    <w:p>
      <w:pPr>
        <w:pStyle w:val="BodyText"/>
        <w:spacing w:line="244" w:lineRule="auto"/>
        <w:ind w:right="105" w:firstLine="480"/>
      </w:pPr>
      <w:r>
        <w:rPr>
          <w:color w:val="231F20"/>
          <w:w w:val="105"/>
        </w:rPr>
        <w:t>All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aftercare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plan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prior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admis- sion. 2 cases proceeded to a residential rehabilitation </w:t>
      </w:r>
      <w:r>
        <w:rPr>
          <w:color w:val="231F20"/>
          <w:spacing w:val="10"/>
          <w:w w:val="105"/>
        </w:rPr>
        <w:t>programme,</w:t>
      </w:r>
      <w:r>
        <w:rPr>
          <w:color w:val="231F20"/>
          <w:spacing w:val="10"/>
          <w:w w:val="105"/>
        </w:rPr>
        <w:t> others</w:t>
      </w:r>
      <w:r>
        <w:rPr>
          <w:color w:val="231F20"/>
          <w:spacing w:val="10"/>
          <w:w w:val="105"/>
        </w:rPr>
        <w:t> continued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w w:val="105"/>
        </w:rPr>
        <w:t> </w:t>
      </w:r>
      <w:r>
        <w:rPr>
          <w:color w:val="231F20"/>
          <w:spacing w:val="10"/>
          <w:w w:val="105"/>
        </w:rPr>
        <w:t>engage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w w:val="105"/>
        </w:rPr>
        <w:t> </w:t>
      </w:r>
      <w:r>
        <w:rPr>
          <w:color w:val="231F20"/>
          <w:spacing w:val="12"/>
          <w:w w:val="105"/>
        </w:rPr>
        <w:t>day </w:t>
      </w:r>
      <w:r>
        <w:rPr>
          <w:color w:val="231F20"/>
        </w:rPr>
        <w:t>programmes, AA meetings and maintained contact with </w:t>
      </w:r>
      <w:r>
        <w:rPr>
          <w:color w:val="231F20"/>
          <w:w w:val="105"/>
        </w:rPr>
        <w:t>their key workers.</w:t>
      </w:r>
    </w:p>
    <w:p>
      <w:pPr>
        <w:pStyle w:val="BodyText"/>
        <w:spacing w:line="244" w:lineRule="auto" w:before="179"/>
        <w:ind w:right="104" w:firstLine="480"/>
      </w:pPr>
      <w:r>
        <w:rPr>
          <w:color w:val="231F20"/>
          <w:w w:val="105"/>
        </w:rPr>
        <w:t>3/8 cases had suspected signs and symptoms of premature labour during the period of admission. All were</w:t>
      </w:r>
      <w:r>
        <w:rPr>
          <w:color w:val="231F20"/>
          <w:w w:val="105"/>
        </w:rPr>
        <w:t> referred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obstetrics</w:t>
      </w:r>
      <w:r>
        <w:rPr>
          <w:color w:val="231F20"/>
          <w:w w:val="105"/>
        </w:rPr>
        <w:t> team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Ealing </w:t>
      </w:r>
      <w:r>
        <w:rPr>
          <w:color w:val="231F20"/>
          <w:spacing w:val="9"/>
          <w:w w:val="105"/>
        </w:rPr>
        <w:t>General</w:t>
      </w:r>
      <w:r>
        <w:rPr>
          <w:color w:val="231F20"/>
          <w:spacing w:val="9"/>
          <w:w w:val="105"/>
        </w:rPr>
        <w:t> hospital.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w w:val="105"/>
        </w:rPr>
        <w:t> had</w:t>
      </w:r>
      <w:r>
        <w:rPr>
          <w:color w:val="231F20"/>
          <w:w w:val="105"/>
        </w:rPr>
        <w:t> </w:t>
      </w:r>
      <w:r>
        <w:rPr>
          <w:color w:val="231F20"/>
          <w:spacing w:val="9"/>
          <w:w w:val="105"/>
        </w:rPr>
        <w:t>normal</w:t>
      </w:r>
      <w:r>
        <w:rPr>
          <w:color w:val="231F20"/>
          <w:spacing w:val="9"/>
          <w:w w:val="105"/>
        </w:rPr>
        <w:t> ultrasound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11"/>
          <w:w w:val="105"/>
        </w:rPr>
        <w:t>scan </w:t>
      </w:r>
      <w:r>
        <w:rPr>
          <w:color w:val="231F20"/>
          <w:w w:val="105"/>
        </w:rPr>
        <w:t>reports</w:t>
      </w:r>
      <w:r>
        <w:rPr>
          <w:color w:val="231F20"/>
          <w:w w:val="105"/>
        </w:rPr>
        <w:t> but</w:t>
      </w:r>
      <w:r>
        <w:rPr>
          <w:color w:val="231F20"/>
          <w:w w:val="105"/>
        </w:rPr>
        <w:t> unfortunately</w:t>
      </w:r>
      <w:r>
        <w:rPr>
          <w:color w:val="231F20"/>
          <w:w w:val="105"/>
        </w:rPr>
        <w:t> one</w:t>
      </w:r>
      <w:r>
        <w:rPr>
          <w:color w:val="231F20"/>
          <w:w w:val="105"/>
        </w:rPr>
        <w:t> miscarried.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latter had</w:t>
      </w:r>
      <w:r>
        <w:rPr>
          <w:color w:val="231F20"/>
          <w:w w:val="105"/>
        </w:rPr>
        <w:t> had</w:t>
      </w:r>
      <w:r>
        <w:rPr>
          <w:color w:val="231F20"/>
          <w:w w:val="105"/>
        </w:rPr>
        <w:t> 3</w:t>
      </w:r>
      <w:r>
        <w:rPr>
          <w:color w:val="231F20"/>
          <w:w w:val="105"/>
        </w:rPr>
        <w:t> previous</w:t>
      </w:r>
      <w:r>
        <w:rPr>
          <w:color w:val="231F20"/>
          <w:w w:val="105"/>
        </w:rPr>
        <w:t> miscarriages,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admitted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6 weeks</w:t>
      </w:r>
      <w:r>
        <w:rPr>
          <w:color w:val="231F20"/>
          <w:w w:val="105"/>
        </w:rPr>
        <w:t> gestation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had</w:t>
      </w:r>
      <w:r>
        <w:rPr>
          <w:color w:val="231F20"/>
          <w:w w:val="105"/>
        </w:rPr>
        <w:t> PV</w:t>
      </w:r>
      <w:r>
        <w:rPr>
          <w:color w:val="231F20"/>
          <w:w w:val="105"/>
        </w:rPr>
        <w:t> bleeding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day</w:t>
      </w:r>
      <w:r>
        <w:rPr>
          <w:color w:val="231F20"/>
          <w:w w:val="105"/>
        </w:rPr>
        <w:t> of </w:t>
      </w:r>
      <w:r>
        <w:rPr>
          <w:color w:val="231F20"/>
          <w:spacing w:val="-2"/>
          <w:w w:val="105"/>
        </w:rPr>
        <w:t>admission.</w:t>
      </w:r>
    </w:p>
    <w:p>
      <w:pPr>
        <w:pStyle w:val="BodyText"/>
        <w:spacing w:before="5"/>
        <w:ind w:left="0"/>
        <w:jc w:val="left"/>
        <w:rPr>
          <w:sz w:val="24"/>
        </w:rPr>
      </w:pPr>
    </w:p>
    <w:p>
      <w:pPr>
        <w:pStyle w:val="Heading1"/>
      </w:pPr>
      <w:r>
        <w:rPr>
          <w:color w:val="231F20"/>
          <w:spacing w:val="13"/>
          <w:w w:val="110"/>
        </w:rPr>
        <w:t>DISCUSSION</w:t>
      </w:r>
    </w:p>
    <w:p>
      <w:pPr>
        <w:pStyle w:val="BodyText"/>
        <w:spacing w:before="8"/>
        <w:ind w:left="0"/>
        <w:jc w:val="left"/>
        <w:rPr>
          <w:sz w:val="20"/>
        </w:rPr>
      </w:pPr>
    </w:p>
    <w:p>
      <w:pPr>
        <w:pStyle w:val="BodyText"/>
        <w:spacing w:line="242" w:lineRule="auto" w:before="0"/>
        <w:ind w:right="116" w:firstLine="480"/>
      </w:pPr>
      <w:r>
        <w:rPr>
          <w:color w:val="231F20"/>
        </w:rPr>
        <w:t>Guidelines for the management of opiate depen- dent</w:t>
      </w:r>
      <w:r>
        <w:rPr>
          <w:color w:val="231F20"/>
          <w:spacing w:val="10"/>
        </w:rPr>
        <w:t> </w:t>
      </w:r>
      <w:r>
        <w:rPr>
          <w:color w:val="231F20"/>
        </w:rPr>
        <w:t>pregnant</w:t>
      </w:r>
      <w:r>
        <w:rPr>
          <w:color w:val="231F20"/>
          <w:spacing w:val="11"/>
        </w:rPr>
        <w:t> </w:t>
      </w:r>
      <w:r>
        <w:rPr>
          <w:color w:val="231F20"/>
        </w:rPr>
        <w:t>women</w:t>
      </w:r>
      <w:r>
        <w:rPr>
          <w:color w:val="231F20"/>
          <w:spacing w:val="10"/>
        </w:rPr>
        <w:t> </w:t>
      </w:r>
      <w:r>
        <w:rPr>
          <w:color w:val="231F20"/>
        </w:rPr>
        <w:t>were</w:t>
      </w:r>
      <w:r>
        <w:rPr>
          <w:color w:val="231F20"/>
          <w:spacing w:val="11"/>
        </w:rPr>
        <w:t> </w:t>
      </w:r>
      <w:r>
        <w:rPr>
          <w:color w:val="231F20"/>
        </w:rPr>
        <w:t>adhered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nursing/</w:t>
      </w:r>
    </w:p>
    <w:p>
      <w:pPr>
        <w:spacing w:after="0" w:line="242" w:lineRule="auto"/>
        <w:sectPr>
          <w:pgSz w:w="12240" w:h="15840"/>
          <w:pgMar w:header="0" w:footer="1008" w:top="1340" w:bottom="1200" w:left="1320" w:right="1320"/>
          <w:cols w:num="2" w:equalWidth="0">
            <w:col w:w="4671" w:space="189"/>
            <w:col w:w="4740"/>
          </w:cols>
        </w:sectPr>
      </w:pPr>
    </w:p>
    <w:p>
      <w:pPr>
        <w:pStyle w:val="BodyText"/>
        <w:spacing w:before="6"/>
        <w:ind w:left="0"/>
        <w:jc w:val="left"/>
        <w:rPr>
          <w:sz w:val="13"/>
        </w:rPr>
      </w:pPr>
    </w:p>
    <w:p>
      <w:pPr>
        <w:pStyle w:val="BodyText"/>
        <w:spacing w:before="103"/>
        <w:ind w:left="784" w:right="784"/>
        <w:jc w:val="center"/>
      </w:pPr>
      <w:r>
        <w:rPr>
          <w:color w:val="231F20"/>
          <w:w w:val="115"/>
        </w:rPr>
        <w:t>Table</w:t>
      </w:r>
      <w:r>
        <w:rPr>
          <w:color w:val="231F20"/>
          <w:spacing w:val="54"/>
          <w:w w:val="120"/>
        </w:rPr>
        <w:t> </w:t>
      </w:r>
      <w:r>
        <w:rPr>
          <w:color w:val="231F20"/>
          <w:spacing w:val="-10"/>
          <w:w w:val="120"/>
        </w:rPr>
        <w:t>1</w:t>
      </w:r>
    </w:p>
    <w:p>
      <w:pPr>
        <w:pStyle w:val="BodyText"/>
        <w:spacing w:before="62"/>
        <w:ind w:left="794" w:right="780"/>
        <w:jc w:val="center"/>
      </w:pPr>
      <w:r>
        <w:rPr>
          <w:color w:val="231F20"/>
          <w:spacing w:val="9"/>
          <w:w w:val="105"/>
        </w:rPr>
        <w:t>Break</w:t>
      </w:r>
      <w:r>
        <w:rPr>
          <w:color w:val="231F20"/>
          <w:spacing w:val="67"/>
          <w:w w:val="105"/>
        </w:rPr>
        <w:t> </w:t>
      </w:r>
      <w:r>
        <w:rPr>
          <w:color w:val="231F20"/>
          <w:w w:val="105"/>
        </w:rPr>
        <w:t>down</w:t>
      </w:r>
      <w:r>
        <w:rPr>
          <w:color w:val="231F20"/>
          <w:spacing w:val="6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69"/>
          <w:w w:val="105"/>
        </w:rPr>
        <w:t> </w:t>
      </w:r>
      <w:r>
        <w:rPr>
          <w:color w:val="231F20"/>
          <w:spacing w:val="10"/>
          <w:w w:val="105"/>
        </w:rPr>
        <w:t>various</w:t>
      </w:r>
      <w:r>
        <w:rPr>
          <w:color w:val="231F20"/>
          <w:spacing w:val="69"/>
          <w:w w:val="105"/>
        </w:rPr>
        <w:t> </w:t>
      </w:r>
      <w:r>
        <w:rPr>
          <w:color w:val="231F20"/>
          <w:spacing w:val="10"/>
          <w:w w:val="105"/>
        </w:rPr>
        <w:t>substances</w:t>
      </w:r>
      <w:r>
        <w:rPr>
          <w:color w:val="231F20"/>
          <w:spacing w:val="6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69"/>
          <w:w w:val="105"/>
        </w:rPr>
        <w:t> </w:t>
      </w:r>
      <w:r>
        <w:rPr>
          <w:color w:val="231F20"/>
          <w:spacing w:val="10"/>
          <w:w w:val="105"/>
        </w:rPr>
        <w:t>status</w:t>
      </w:r>
      <w:r>
        <w:rPr>
          <w:color w:val="231F20"/>
          <w:spacing w:val="6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9"/>
          <w:w w:val="105"/>
        </w:rPr>
        <w:t> </w:t>
      </w:r>
      <w:r>
        <w:rPr>
          <w:color w:val="231F20"/>
          <w:spacing w:val="10"/>
          <w:w w:val="105"/>
        </w:rPr>
        <w:t>patient</w:t>
      </w:r>
    </w:p>
    <w:p>
      <w:pPr>
        <w:pStyle w:val="BodyText"/>
        <w:spacing w:before="11"/>
        <w:ind w:left="0"/>
        <w:jc w:val="left"/>
        <w:rPr>
          <w:sz w:val="5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19"/>
        <w:gridCol w:w="1281"/>
        <w:gridCol w:w="1639"/>
        <w:gridCol w:w="1301"/>
        <w:gridCol w:w="1560"/>
        <w:gridCol w:w="1330"/>
      </w:tblGrid>
      <w:tr>
        <w:trPr>
          <w:trHeight w:val="826" w:hRule="atLeast"/>
        </w:trPr>
        <w:tc>
          <w:tcPr>
            <w:tcW w:w="720" w:type="dxa"/>
          </w:tcPr>
          <w:p>
            <w:pPr>
              <w:pStyle w:val="TableParagraph"/>
              <w:spacing w:line="254" w:lineRule="auto" w:before="50"/>
              <w:ind w:left="115" w:hanging="1"/>
              <w:rPr>
                <w:b/>
                <w:sz w:val="18"/>
              </w:rPr>
            </w:pPr>
            <w:r>
              <w:rPr>
                <w:b/>
                <w:color w:val="231F20"/>
                <w:spacing w:val="-4"/>
                <w:w w:val="105"/>
                <w:sz w:val="18"/>
              </w:rPr>
              <w:t>Case No.</w:t>
            </w:r>
          </w:p>
        </w:tc>
        <w:tc>
          <w:tcPr>
            <w:tcW w:w="1519" w:type="dxa"/>
          </w:tcPr>
          <w:p>
            <w:pPr>
              <w:pStyle w:val="TableParagraph"/>
              <w:spacing w:line="252" w:lineRule="auto" w:before="50"/>
              <w:ind w:left="234"/>
              <w:rPr>
                <w:b/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Methadone Detox/ stabilisation</w:t>
            </w:r>
          </w:p>
        </w:tc>
        <w:tc>
          <w:tcPr>
            <w:tcW w:w="1281" w:type="dxa"/>
          </w:tcPr>
          <w:p>
            <w:pPr>
              <w:pStyle w:val="TableParagraph"/>
              <w:spacing w:line="254" w:lineRule="auto" w:before="50"/>
              <w:ind w:left="276" w:right="342"/>
              <w:rPr>
                <w:b/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Alcohol detox</w:t>
            </w:r>
          </w:p>
        </w:tc>
        <w:tc>
          <w:tcPr>
            <w:tcW w:w="1639" w:type="dxa"/>
          </w:tcPr>
          <w:p>
            <w:pPr>
              <w:pStyle w:val="TableParagraph"/>
              <w:spacing w:line="252" w:lineRule="auto" w:before="50"/>
              <w:ind w:left="295" w:right="197"/>
              <w:rPr>
                <w:b/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Methadone </w:t>
            </w:r>
            <w:r>
              <w:rPr>
                <w:b/>
                <w:color w:val="231F20"/>
                <w:sz w:val="18"/>
              </w:rPr>
              <w:t>Dose (mls)</w:t>
            </w:r>
            <w:r>
              <w:rPr>
                <w:b/>
                <w:color w:val="231F20"/>
                <w:spacing w:val="40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on</w:t>
            </w:r>
            <w:r>
              <w:rPr>
                <w:b/>
                <w:color w:val="231F20"/>
                <w:spacing w:val="-1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admission</w:t>
            </w:r>
          </w:p>
        </w:tc>
        <w:tc>
          <w:tcPr>
            <w:tcW w:w="1301" w:type="dxa"/>
          </w:tcPr>
          <w:p>
            <w:pPr>
              <w:pStyle w:val="TableParagraph"/>
              <w:spacing w:line="252" w:lineRule="auto" w:before="50"/>
              <w:ind w:left="175" w:firstLine="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Rate of </w:t>
            </w:r>
            <w:r>
              <w:rPr>
                <w:b/>
                <w:color w:val="231F20"/>
                <w:spacing w:val="-2"/>
                <w:sz w:val="18"/>
              </w:rPr>
              <w:t>Reduction (mls)</w:t>
            </w:r>
          </w:p>
        </w:tc>
        <w:tc>
          <w:tcPr>
            <w:tcW w:w="1560" w:type="dxa"/>
          </w:tcPr>
          <w:p>
            <w:pPr>
              <w:pStyle w:val="TableParagraph"/>
              <w:spacing w:line="254" w:lineRule="auto" w:before="50"/>
              <w:ind w:left="274" w:hanging="1"/>
              <w:rPr>
                <w:b/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Stabilisation 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>Mgms/d</w:t>
            </w:r>
          </w:p>
        </w:tc>
        <w:tc>
          <w:tcPr>
            <w:tcW w:w="1330" w:type="dxa"/>
          </w:tcPr>
          <w:p>
            <w:pPr>
              <w:pStyle w:val="TableParagraph"/>
              <w:spacing w:line="252" w:lineRule="auto" w:before="50"/>
              <w:ind w:left="254" w:hanging="1"/>
              <w:rPr>
                <w:b/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Detox completed Yes/No</w:t>
            </w:r>
          </w:p>
        </w:tc>
      </w:tr>
      <w:tr>
        <w:trPr>
          <w:trHeight w:val="436" w:hRule="atLeast"/>
        </w:trPr>
        <w:tc>
          <w:tcPr>
            <w:tcW w:w="720" w:type="dxa"/>
          </w:tcPr>
          <w:p>
            <w:pPr>
              <w:pStyle w:val="TableParagraph"/>
              <w:ind w:left="11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w w:val="137"/>
                <w:sz w:val="18"/>
              </w:rPr>
              <w:t>1</w:t>
            </w:r>
          </w:p>
        </w:tc>
        <w:tc>
          <w:tcPr>
            <w:tcW w:w="1519" w:type="dxa"/>
          </w:tcPr>
          <w:p>
            <w:pPr>
              <w:pStyle w:val="TableParagraph"/>
              <w:ind w:left="23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spacing w:val="-2"/>
                <w:sz w:val="18"/>
              </w:rPr>
              <w:t>Detox</w:t>
            </w:r>
          </w:p>
        </w:tc>
        <w:tc>
          <w:tcPr>
            <w:tcW w:w="128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9" w:type="dxa"/>
          </w:tcPr>
          <w:p>
            <w:pPr>
              <w:pStyle w:val="TableParagraph"/>
              <w:ind w:left="29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spacing w:val="-5"/>
                <w:sz w:val="18"/>
              </w:rPr>
              <w:t>35</w:t>
            </w:r>
          </w:p>
        </w:tc>
        <w:tc>
          <w:tcPr>
            <w:tcW w:w="1301" w:type="dxa"/>
          </w:tcPr>
          <w:p>
            <w:pPr>
              <w:pStyle w:val="TableParagraph"/>
              <w:ind w:left="176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w w:val="110"/>
                <w:sz w:val="18"/>
              </w:rPr>
              <w:t>1-</w:t>
            </w:r>
            <w:r>
              <w:rPr>
                <w:rFonts w:ascii="Maiandra GD"/>
                <w:color w:val="231F20"/>
                <w:spacing w:val="-10"/>
                <w:w w:val="110"/>
                <w:sz w:val="18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ind w:left="25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spacing w:val="-5"/>
                <w:w w:val="120"/>
                <w:sz w:val="18"/>
              </w:rPr>
              <w:t>Yes</w:t>
            </w:r>
          </w:p>
        </w:tc>
      </w:tr>
      <w:tr>
        <w:trPr>
          <w:trHeight w:val="438" w:hRule="atLeast"/>
        </w:trPr>
        <w:tc>
          <w:tcPr>
            <w:tcW w:w="720" w:type="dxa"/>
          </w:tcPr>
          <w:p>
            <w:pPr>
              <w:pStyle w:val="TableParagraph"/>
              <w:spacing w:before="95"/>
              <w:ind w:left="11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w w:val="96"/>
                <w:sz w:val="18"/>
              </w:rPr>
              <w:t>2</w:t>
            </w:r>
          </w:p>
        </w:tc>
        <w:tc>
          <w:tcPr>
            <w:tcW w:w="1519" w:type="dxa"/>
          </w:tcPr>
          <w:p>
            <w:pPr>
              <w:pStyle w:val="TableParagraph"/>
              <w:spacing w:before="95"/>
              <w:ind w:left="23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spacing w:val="-2"/>
                <w:w w:val="105"/>
                <w:sz w:val="18"/>
              </w:rPr>
              <w:t>Stabilisation</w:t>
            </w:r>
          </w:p>
        </w:tc>
        <w:tc>
          <w:tcPr>
            <w:tcW w:w="128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spacing w:before="95"/>
              <w:ind w:left="17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w w:val="110"/>
                <w:sz w:val="18"/>
              </w:rPr>
              <w:t>1-</w:t>
            </w:r>
            <w:r>
              <w:rPr>
                <w:rFonts w:ascii="Maiandra GD"/>
                <w:color w:val="231F20"/>
                <w:spacing w:val="-10"/>
                <w:w w:val="110"/>
                <w:sz w:val="18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before="95"/>
              <w:ind w:left="274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spacing w:val="-2"/>
                <w:w w:val="105"/>
                <w:sz w:val="18"/>
              </w:rPr>
              <w:t>25mgs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36" w:hRule="atLeast"/>
        </w:trPr>
        <w:tc>
          <w:tcPr>
            <w:tcW w:w="720" w:type="dxa"/>
          </w:tcPr>
          <w:p>
            <w:pPr>
              <w:pStyle w:val="TableParagraph"/>
              <w:ind w:left="11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w w:val="96"/>
                <w:sz w:val="18"/>
              </w:rPr>
              <w:t>3</w:t>
            </w:r>
          </w:p>
        </w:tc>
        <w:tc>
          <w:tcPr>
            <w:tcW w:w="1519" w:type="dxa"/>
          </w:tcPr>
          <w:p>
            <w:pPr>
              <w:pStyle w:val="TableParagraph"/>
              <w:ind w:left="23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spacing w:val="-2"/>
                <w:sz w:val="18"/>
              </w:rPr>
              <w:t>Detox</w:t>
            </w:r>
          </w:p>
        </w:tc>
        <w:tc>
          <w:tcPr>
            <w:tcW w:w="128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ind w:left="176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w w:val="110"/>
                <w:sz w:val="18"/>
              </w:rPr>
              <w:t>1-</w:t>
            </w:r>
            <w:r>
              <w:rPr>
                <w:rFonts w:ascii="Maiandra GD"/>
                <w:color w:val="231F20"/>
                <w:spacing w:val="-10"/>
                <w:w w:val="110"/>
                <w:sz w:val="18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ind w:left="274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spacing w:val="-2"/>
                <w:w w:val="115"/>
                <w:sz w:val="18"/>
              </w:rPr>
              <w:t>15mgs</w:t>
            </w:r>
          </w:p>
        </w:tc>
        <w:tc>
          <w:tcPr>
            <w:tcW w:w="1330" w:type="dxa"/>
          </w:tcPr>
          <w:p>
            <w:pPr>
              <w:pStyle w:val="TableParagraph"/>
              <w:ind w:left="25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spacing w:val="-5"/>
                <w:sz w:val="18"/>
              </w:rPr>
              <w:t>No</w:t>
            </w:r>
          </w:p>
        </w:tc>
      </w:tr>
      <w:tr>
        <w:trPr>
          <w:trHeight w:val="436" w:hRule="atLeast"/>
        </w:trPr>
        <w:tc>
          <w:tcPr>
            <w:tcW w:w="720" w:type="dxa"/>
          </w:tcPr>
          <w:p>
            <w:pPr>
              <w:pStyle w:val="TableParagraph"/>
              <w:ind w:left="11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w w:val="96"/>
                <w:sz w:val="18"/>
              </w:rPr>
              <w:t>4</w:t>
            </w:r>
          </w:p>
        </w:tc>
        <w:tc>
          <w:tcPr>
            <w:tcW w:w="1519" w:type="dxa"/>
          </w:tcPr>
          <w:p>
            <w:pPr>
              <w:pStyle w:val="TableParagraph"/>
              <w:ind w:left="23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spacing w:val="-2"/>
                <w:sz w:val="18"/>
              </w:rPr>
              <w:t>Detox</w:t>
            </w:r>
          </w:p>
        </w:tc>
        <w:tc>
          <w:tcPr>
            <w:tcW w:w="128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ind w:left="178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w w:val="110"/>
                <w:sz w:val="18"/>
              </w:rPr>
              <w:t>1-</w:t>
            </w:r>
            <w:r>
              <w:rPr>
                <w:rFonts w:ascii="Maiandra GD"/>
                <w:color w:val="231F20"/>
                <w:spacing w:val="-10"/>
                <w:w w:val="110"/>
                <w:sz w:val="18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ind w:left="318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spacing w:val="-4"/>
                <w:w w:val="110"/>
                <w:sz w:val="18"/>
              </w:rPr>
              <w:t>6mgs</w:t>
            </w:r>
          </w:p>
        </w:tc>
        <w:tc>
          <w:tcPr>
            <w:tcW w:w="1330" w:type="dxa"/>
          </w:tcPr>
          <w:p>
            <w:pPr>
              <w:pStyle w:val="TableParagraph"/>
              <w:ind w:left="25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spacing w:val="-5"/>
                <w:sz w:val="18"/>
              </w:rPr>
              <w:t>No</w:t>
            </w:r>
          </w:p>
        </w:tc>
      </w:tr>
      <w:tr>
        <w:trPr>
          <w:trHeight w:val="436" w:hRule="atLeast"/>
        </w:trPr>
        <w:tc>
          <w:tcPr>
            <w:tcW w:w="720" w:type="dxa"/>
          </w:tcPr>
          <w:p>
            <w:pPr>
              <w:pStyle w:val="TableParagraph"/>
              <w:ind w:left="11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w w:val="96"/>
                <w:sz w:val="18"/>
              </w:rPr>
              <w:t>5</w:t>
            </w:r>
          </w:p>
        </w:tc>
        <w:tc>
          <w:tcPr>
            <w:tcW w:w="1519" w:type="dxa"/>
          </w:tcPr>
          <w:p>
            <w:pPr>
              <w:pStyle w:val="TableParagraph"/>
              <w:ind w:left="23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spacing w:val="-2"/>
                <w:w w:val="105"/>
                <w:sz w:val="18"/>
              </w:rPr>
              <w:t>Stabilisation</w:t>
            </w:r>
          </w:p>
        </w:tc>
        <w:tc>
          <w:tcPr>
            <w:tcW w:w="1281" w:type="dxa"/>
          </w:tcPr>
          <w:p>
            <w:pPr>
              <w:pStyle w:val="TableParagraph"/>
              <w:ind w:right="180"/>
              <w:jc w:val="right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spacing w:val="-2"/>
                <w:sz w:val="18"/>
              </w:rPr>
              <w:t>Complete</w:t>
            </w:r>
          </w:p>
        </w:tc>
        <w:tc>
          <w:tcPr>
            <w:tcW w:w="163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ind w:left="176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w w:val="110"/>
                <w:sz w:val="18"/>
              </w:rPr>
              <w:t>1-</w:t>
            </w:r>
            <w:r>
              <w:rPr>
                <w:rFonts w:ascii="Maiandra GD"/>
                <w:color w:val="231F20"/>
                <w:spacing w:val="-10"/>
                <w:w w:val="110"/>
                <w:sz w:val="18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ind w:left="274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spacing w:val="-2"/>
                <w:w w:val="115"/>
                <w:sz w:val="18"/>
              </w:rPr>
              <w:t>15mgs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38" w:hRule="atLeast"/>
        </w:trPr>
        <w:tc>
          <w:tcPr>
            <w:tcW w:w="720" w:type="dxa"/>
          </w:tcPr>
          <w:p>
            <w:pPr>
              <w:pStyle w:val="TableParagraph"/>
              <w:spacing w:before="95"/>
              <w:ind w:left="11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w w:val="96"/>
                <w:sz w:val="18"/>
              </w:rPr>
              <w:t>6</w:t>
            </w:r>
          </w:p>
        </w:tc>
        <w:tc>
          <w:tcPr>
            <w:tcW w:w="1519" w:type="dxa"/>
          </w:tcPr>
          <w:p>
            <w:pPr>
              <w:pStyle w:val="TableParagraph"/>
              <w:spacing w:before="95"/>
              <w:ind w:left="23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spacing w:val="-2"/>
                <w:sz w:val="18"/>
              </w:rPr>
              <w:t>Detox</w:t>
            </w:r>
          </w:p>
        </w:tc>
        <w:tc>
          <w:tcPr>
            <w:tcW w:w="128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spacing w:before="95"/>
              <w:ind w:left="176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w w:val="110"/>
                <w:sz w:val="18"/>
              </w:rPr>
              <w:t>1-</w:t>
            </w:r>
            <w:r>
              <w:rPr>
                <w:rFonts w:ascii="Maiandra GD"/>
                <w:color w:val="231F20"/>
                <w:spacing w:val="-10"/>
                <w:w w:val="110"/>
                <w:sz w:val="18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spacing w:before="95"/>
              <w:ind w:left="25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spacing w:val="-5"/>
                <w:w w:val="120"/>
                <w:sz w:val="18"/>
              </w:rPr>
              <w:t>Yes</w:t>
            </w:r>
          </w:p>
        </w:tc>
      </w:tr>
      <w:tr>
        <w:trPr>
          <w:trHeight w:val="436" w:hRule="atLeast"/>
        </w:trPr>
        <w:tc>
          <w:tcPr>
            <w:tcW w:w="720" w:type="dxa"/>
          </w:tcPr>
          <w:p>
            <w:pPr>
              <w:pStyle w:val="TableParagraph"/>
              <w:ind w:left="11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w w:val="96"/>
                <w:sz w:val="18"/>
              </w:rPr>
              <w:t>7</w:t>
            </w:r>
          </w:p>
        </w:tc>
        <w:tc>
          <w:tcPr>
            <w:tcW w:w="1519" w:type="dxa"/>
          </w:tcPr>
          <w:p>
            <w:pPr>
              <w:pStyle w:val="TableParagraph"/>
              <w:ind w:left="23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spacing w:val="-2"/>
                <w:sz w:val="18"/>
              </w:rPr>
              <w:t>Detox</w:t>
            </w:r>
          </w:p>
        </w:tc>
        <w:tc>
          <w:tcPr>
            <w:tcW w:w="128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ind w:left="176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w w:val="110"/>
                <w:sz w:val="18"/>
              </w:rPr>
              <w:t>1-</w:t>
            </w:r>
            <w:r>
              <w:rPr>
                <w:rFonts w:ascii="Maiandra GD"/>
                <w:color w:val="231F20"/>
                <w:spacing w:val="-10"/>
                <w:w w:val="110"/>
                <w:sz w:val="18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ind w:left="25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spacing w:val="-5"/>
                <w:w w:val="120"/>
                <w:sz w:val="18"/>
              </w:rPr>
              <w:t>Yes</w:t>
            </w:r>
          </w:p>
        </w:tc>
      </w:tr>
      <w:tr>
        <w:trPr>
          <w:trHeight w:val="484" w:hRule="atLeast"/>
        </w:trPr>
        <w:tc>
          <w:tcPr>
            <w:tcW w:w="720" w:type="dxa"/>
          </w:tcPr>
          <w:p>
            <w:pPr>
              <w:pStyle w:val="TableParagraph"/>
              <w:ind w:left="11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w w:val="96"/>
                <w:sz w:val="18"/>
              </w:rPr>
              <w:t>8</w:t>
            </w:r>
          </w:p>
        </w:tc>
        <w:tc>
          <w:tcPr>
            <w:tcW w:w="15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>
            <w:pPr>
              <w:pStyle w:val="TableParagraph"/>
              <w:ind w:right="180"/>
              <w:jc w:val="right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spacing w:val="-2"/>
                <w:sz w:val="18"/>
              </w:rPr>
              <w:t>Complete</w:t>
            </w:r>
          </w:p>
        </w:tc>
        <w:tc>
          <w:tcPr>
            <w:tcW w:w="163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ind w:left="176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w w:val="110"/>
                <w:sz w:val="18"/>
              </w:rPr>
              <w:t>1-</w:t>
            </w:r>
            <w:r>
              <w:rPr>
                <w:rFonts w:ascii="Maiandra GD"/>
                <w:color w:val="231F20"/>
                <w:spacing w:val="-10"/>
                <w:w w:val="110"/>
                <w:sz w:val="18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ind w:left="255"/>
              <w:rPr>
                <w:rFonts w:ascii="Maiandra GD"/>
                <w:sz w:val="18"/>
              </w:rPr>
            </w:pPr>
            <w:r>
              <w:rPr>
                <w:rFonts w:ascii="Maiandra GD"/>
                <w:color w:val="231F20"/>
                <w:spacing w:val="-5"/>
                <w:w w:val="120"/>
                <w:sz w:val="18"/>
              </w:rPr>
              <w:t>Yes</w:t>
            </w:r>
          </w:p>
        </w:tc>
      </w:tr>
    </w:tbl>
    <w:p>
      <w:pPr>
        <w:spacing w:after="0"/>
        <w:rPr>
          <w:rFonts w:ascii="Maiandra GD"/>
          <w:sz w:val="18"/>
        </w:rPr>
        <w:sectPr>
          <w:type w:val="continuous"/>
          <w:pgSz w:w="12240" w:h="15840"/>
          <w:pgMar w:header="0" w:footer="1008" w:top="900" w:bottom="1200" w:left="1320" w:right="1320"/>
        </w:sectPr>
      </w:pPr>
    </w:p>
    <w:p>
      <w:pPr>
        <w:pStyle w:val="BodyText"/>
        <w:spacing w:line="244" w:lineRule="auto" w:before="73"/>
        <w:ind w:left="120" w:right="38"/>
      </w:pPr>
      <w:r>
        <w:rPr>
          <w:color w:val="231F20"/>
        </w:rPr>
        <w:t>medical staff at the Max Glatt unit as revealed by this audit.</w:t>
      </w:r>
      <w:r>
        <w:rPr>
          <w:color w:val="231F20"/>
          <w:spacing w:val="-2"/>
        </w:rPr>
        <w:t> </w:t>
      </w:r>
      <w:r>
        <w:rPr>
          <w:color w:val="231F20"/>
        </w:rPr>
        <w:t>However</w:t>
      </w:r>
      <w:r>
        <w:rPr>
          <w:color w:val="231F20"/>
          <w:spacing w:val="-2"/>
        </w:rPr>
        <w:t> </w:t>
      </w:r>
      <w:r>
        <w:rPr>
          <w:color w:val="231F20"/>
        </w:rPr>
        <w:t>there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areas</w:t>
      </w:r>
      <w:r>
        <w:rPr>
          <w:color w:val="231F20"/>
          <w:spacing w:val="-2"/>
        </w:rPr>
        <w:t> </w:t>
      </w:r>
      <w:r>
        <w:rPr>
          <w:color w:val="231F20"/>
        </w:rPr>
        <w:t>where</w:t>
      </w:r>
      <w:r>
        <w:rPr>
          <w:color w:val="231F20"/>
          <w:spacing w:val="-2"/>
        </w:rPr>
        <w:t> </w:t>
      </w:r>
      <w:r>
        <w:rPr>
          <w:color w:val="231F20"/>
        </w:rPr>
        <w:t>further</w:t>
      </w:r>
      <w:r>
        <w:rPr>
          <w:color w:val="231F20"/>
          <w:spacing w:val="-2"/>
        </w:rPr>
        <w:t> </w:t>
      </w:r>
      <w:r>
        <w:rPr>
          <w:color w:val="231F20"/>
        </w:rPr>
        <w:t>improve- ment could be made. Although all cases had compre- hensive histories, information was lacking about their partners,</w:t>
      </w:r>
      <w:r>
        <w:rPr>
          <w:color w:val="231F20"/>
          <w:spacing w:val="-3"/>
        </w:rPr>
        <w:t> </w:t>
      </w:r>
      <w:r>
        <w:rPr>
          <w:color w:val="231F20"/>
        </w:rPr>
        <w:t>views</w:t>
      </w:r>
      <w:r>
        <w:rPr>
          <w:color w:val="231F20"/>
          <w:spacing w:val="-3"/>
        </w:rPr>
        <w:t> </w:t>
      </w:r>
      <w:r>
        <w:rPr>
          <w:color w:val="231F20"/>
        </w:rPr>
        <w:t>about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pregnancy,</w:t>
      </w:r>
      <w:r>
        <w:rPr>
          <w:color w:val="231F20"/>
          <w:spacing w:val="-3"/>
        </w:rPr>
        <w:t> </w:t>
      </w:r>
      <w:r>
        <w:rPr>
          <w:color w:val="231F20"/>
        </w:rPr>
        <w:t>whether</w:t>
      </w:r>
      <w:r>
        <w:rPr>
          <w:color w:val="231F20"/>
          <w:spacing w:val="-3"/>
        </w:rPr>
        <w:t> </w:t>
      </w:r>
      <w:r>
        <w:rPr>
          <w:color w:val="231F20"/>
        </w:rPr>
        <w:t>those</w:t>
      </w:r>
      <w:r>
        <w:rPr>
          <w:color w:val="231F20"/>
          <w:spacing w:val="-3"/>
        </w:rPr>
        <w:t> </w:t>
      </w:r>
      <w:r>
        <w:rPr>
          <w:color w:val="231F20"/>
        </w:rPr>
        <w:t>who were Hepatitis B or C positive were any form of follow- up by a specialist and whether their obstetric care was</w:t>
      </w:r>
      <w:r>
        <w:rPr>
          <w:color w:val="231F20"/>
          <w:spacing w:val="80"/>
        </w:rPr>
        <w:t> </w:t>
      </w:r>
      <w:r>
        <w:rPr>
          <w:color w:val="231F20"/>
        </w:rPr>
        <w:t>up to date.</w:t>
      </w:r>
    </w:p>
    <w:p>
      <w:pPr>
        <w:pStyle w:val="BodyText"/>
        <w:spacing w:line="244" w:lineRule="auto" w:before="159"/>
        <w:ind w:right="39" w:firstLine="480"/>
      </w:pPr>
      <w:r>
        <w:rPr>
          <w:color w:val="231F20"/>
        </w:rPr>
        <w:t>Although the sample size was small, the audit does support</w:t>
      </w:r>
      <w:r>
        <w:rPr>
          <w:color w:val="231F20"/>
          <w:spacing w:val="-14"/>
        </w:rPr>
        <w:t> </w:t>
      </w:r>
      <w:r>
        <w:rPr>
          <w:color w:val="231F20"/>
        </w:rPr>
        <w:t>opiate</w:t>
      </w:r>
      <w:r>
        <w:rPr>
          <w:color w:val="231F20"/>
          <w:spacing w:val="-13"/>
        </w:rPr>
        <w:t> </w:t>
      </w:r>
      <w:r>
        <w:rPr>
          <w:color w:val="231F20"/>
        </w:rPr>
        <w:t>detoxification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pregnant</w:t>
      </w:r>
      <w:r>
        <w:rPr>
          <w:color w:val="231F20"/>
          <w:spacing w:val="-14"/>
        </w:rPr>
        <w:t> </w:t>
      </w:r>
      <w:r>
        <w:rPr>
          <w:color w:val="231F20"/>
        </w:rPr>
        <w:t>women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their 2</w:t>
      </w:r>
      <w:r>
        <w:rPr>
          <w:color w:val="231F20"/>
          <w:position w:val="6"/>
          <w:sz w:val="10"/>
        </w:rPr>
        <w:t>nd</w:t>
      </w:r>
      <w:r>
        <w:rPr>
          <w:color w:val="231F20"/>
          <w:spacing w:val="36"/>
          <w:position w:val="6"/>
          <w:sz w:val="10"/>
        </w:rPr>
        <w:t> </w:t>
      </w:r>
      <w:r>
        <w:rPr>
          <w:color w:val="231F20"/>
        </w:rPr>
        <w:t>or 3</w:t>
      </w:r>
      <w:r>
        <w:rPr>
          <w:color w:val="231F20"/>
          <w:position w:val="6"/>
          <w:sz w:val="10"/>
        </w:rPr>
        <w:t>rd</w:t>
      </w:r>
      <w:r>
        <w:rPr>
          <w:color w:val="231F20"/>
          <w:spacing w:val="36"/>
          <w:position w:val="6"/>
          <w:sz w:val="10"/>
        </w:rPr>
        <w:t> </w:t>
      </w:r>
      <w:r>
        <w:rPr>
          <w:color w:val="231F20"/>
        </w:rPr>
        <w:t>trimester of pregnancy to minimise risk of ad- verse events.</w:t>
      </w:r>
    </w:p>
    <w:p>
      <w:pPr>
        <w:pStyle w:val="BodyText"/>
        <w:spacing w:line="244" w:lineRule="auto" w:before="161"/>
        <w:ind w:right="38" w:firstLine="480"/>
      </w:pPr>
      <w:r>
        <w:rPr>
          <w:color w:val="231F20"/>
          <w:w w:val="105"/>
        </w:rPr>
        <w:t>Education and advice on the adverse effects of alcohol,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benzodiazepines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cigarette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smoking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should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provided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patients.</w:t>
      </w:r>
      <w:r>
        <w:rPr>
          <w:color w:val="231F20"/>
          <w:spacing w:val="-8"/>
        </w:rPr>
        <w:t> </w:t>
      </w:r>
      <w:r>
        <w:rPr>
          <w:color w:val="231F20"/>
        </w:rPr>
        <w:t>Nicotine</w:t>
      </w:r>
      <w:r>
        <w:rPr>
          <w:color w:val="231F20"/>
          <w:spacing w:val="-8"/>
        </w:rPr>
        <w:t> </w:t>
      </w:r>
      <w:r>
        <w:rPr>
          <w:color w:val="231F20"/>
        </w:rPr>
        <w:t>replacement</w:t>
      </w:r>
      <w:r>
        <w:rPr>
          <w:color w:val="231F20"/>
          <w:spacing w:val="-8"/>
        </w:rPr>
        <w:t> </w:t>
      </w:r>
      <w:r>
        <w:rPr>
          <w:color w:val="231F20"/>
        </w:rPr>
        <w:t>therapy should be offered to those willing to quit. Clients should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offered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relevant,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advice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safe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sex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breast </w:t>
      </w:r>
      <w:r>
        <w:rPr>
          <w:color w:val="231F20"/>
          <w:spacing w:val="-2"/>
          <w:w w:val="105"/>
        </w:rPr>
        <w:t>feeding.</w:t>
      </w:r>
    </w:p>
    <w:p>
      <w:pPr>
        <w:pStyle w:val="BodyText"/>
        <w:spacing w:line="244" w:lineRule="auto" w:before="158"/>
        <w:ind w:right="38" w:firstLine="480"/>
      </w:pPr>
      <w:r>
        <w:rPr>
          <w:color w:val="231F20"/>
          <w:w w:val="105"/>
        </w:rPr>
        <w:t>Policy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around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restricting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partners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drug users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visit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clients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ward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discussion 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lead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frustration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dis-engagement,</w:t>
      </w:r>
      <w:r>
        <w:rPr>
          <w:color w:val="231F20"/>
          <w:spacing w:val="-4"/>
          <w:w w:val="105"/>
        </w:rPr>
        <w:t> par-</w:t>
      </w:r>
    </w:p>
    <w:p>
      <w:pPr>
        <w:pStyle w:val="BodyText"/>
        <w:spacing w:line="244" w:lineRule="auto" w:before="73"/>
        <w:jc w:val="left"/>
      </w:pPr>
      <w:r>
        <w:rPr/>
        <w:br w:type="column"/>
      </w:r>
      <w:r>
        <w:rPr>
          <w:color w:val="231F20"/>
        </w:rPr>
        <w:t>ticularly</w:t>
      </w:r>
      <w:r>
        <w:rPr>
          <w:color w:val="231F20"/>
          <w:spacing w:val="-3"/>
        </w:rPr>
        <w:t> </w:t>
      </w:r>
      <w:r>
        <w:rPr>
          <w:color w:val="231F20"/>
        </w:rPr>
        <w:t>when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partners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main</w:t>
      </w:r>
      <w:r>
        <w:rPr>
          <w:color w:val="231F20"/>
          <w:spacing w:val="-3"/>
        </w:rPr>
        <w:t> </w:t>
      </w:r>
      <w:r>
        <w:rPr>
          <w:color w:val="231F20"/>
        </w:rPr>
        <w:t>form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social </w:t>
      </w:r>
      <w:r>
        <w:rPr>
          <w:color w:val="231F20"/>
          <w:spacing w:val="-2"/>
        </w:rPr>
        <w:t>support.</w:t>
      </w:r>
    </w:p>
    <w:p>
      <w:pPr>
        <w:pStyle w:val="BodyText"/>
        <w:spacing w:line="244" w:lineRule="auto" w:before="140"/>
        <w:ind w:right="115" w:firstLine="480"/>
      </w:pPr>
      <w:r>
        <w:rPr>
          <w:color w:val="231F20"/>
          <w:w w:val="105"/>
        </w:rPr>
        <w:t>Better record keeping to enable easy identifica- </w:t>
      </w:r>
      <w:r>
        <w:rPr>
          <w:color w:val="231F20"/>
        </w:rPr>
        <w:t>tion of cases for future reference should be implemented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only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8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cases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identified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present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records. </w:t>
      </w:r>
      <w:r>
        <w:rPr>
          <w:color w:val="231F20"/>
          <w:w w:val="105"/>
        </w:rPr>
        <w:t>A re-audit of new cases admitted in the next 2 years is recommended to complete the audit cycle.</w:t>
      </w:r>
    </w:p>
    <w:p>
      <w:pPr>
        <w:pStyle w:val="Heading1"/>
        <w:spacing w:before="174"/>
      </w:pPr>
      <w:r>
        <w:rPr>
          <w:color w:val="231F20"/>
          <w:spacing w:val="9"/>
        </w:rPr>
        <w:t>CONCLUSION</w:t>
      </w:r>
    </w:p>
    <w:p>
      <w:pPr>
        <w:pStyle w:val="BodyText"/>
        <w:spacing w:line="225" w:lineRule="auto" w:before="136"/>
        <w:ind w:right="115" w:firstLine="480"/>
      </w:pPr>
      <w:r>
        <w:rPr>
          <w:color w:val="231F20"/>
          <w:w w:val="105"/>
        </w:rPr>
        <w:t>All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medical/nursing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staff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adhere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closely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 the</w:t>
      </w:r>
      <w:r>
        <w:rPr>
          <w:color w:val="231F20"/>
          <w:w w:val="105"/>
        </w:rPr>
        <w:t> guidelines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management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opiate</w:t>
      </w:r>
      <w:r>
        <w:rPr>
          <w:color w:val="231F20"/>
          <w:w w:val="105"/>
        </w:rPr>
        <w:t> dependent </w:t>
      </w:r>
      <w:r>
        <w:rPr>
          <w:color w:val="231F20"/>
        </w:rPr>
        <w:t>pregnant women. A multi-disciplinary case management </w:t>
      </w:r>
      <w:r>
        <w:rPr>
          <w:color w:val="231F20"/>
          <w:w w:val="105"/>
        </w:rPr>
        <w:t>and liaison with other agencies should be adopted in their care. Those motivated to stop using substances </w:t>
      </w:r>
      <w:r>
        <w:rPr>
          <w:color w:val="231F20"/>
        </w:rPr>
        <w:t>should be offered detoxification in the 2</w:t>
      </w:r>
      <w:r>
        <w:rPr>
          <w:color w:val="231F20"/>
          <w:position w:val="6"/>
          <w:sz w:val="10"/>
        </w:rPr>
        <w:t>nd</w:t>
      </w:r>
      <w:r>
        <w:rPr>
          <w:color w:val="231F20"/>
          <w:spacing w:val="25"/>
          <w:position w:val="6"/>
          <w:sz w:val="10"/>
        </w:rPr>
        <w:t> </w:t>
      </w:r>
      <w:r>
        <w:rPr>
          <w:color w:val="231F20"/>
        </w:rPr>
        <w:t>and 3</w:t>
      </w:r>
      <w:r>
        <w:rPr>
          <w:color w:val="231F20"/>
          <w:position w:val="6"/>
          <w:sz w:val="10"/>
        </w:rPr>
        <w:t>rd</w:t>
      </w:r>
      <w:r>
        <w:rPr>
          <w:color w:val="231F20"/>
          <w:spacing w:val="22"/>
          <w:position w:val="6"/>
          <w:sz w:val="10"/>
        </w:rPr>
        <w:t> </w:t>
      </w:r>
      <w:r>
        <w:rPr>
          <w:color w:val="231F20"/>
        </w:rPr>
        <w:t>trimes- </w:t>
      </w:r>
      <w:r>
        <w:rPr>
          <w:color w:val="231F20"/>
          <w:w w:val="105"/>
        </w:rPr>
        <w:t>ter of pregnancy.</w:t>
      </w:r>
    </w:p>
    <w:p>
      <w:pPr>
        <w:pStyle w:val="Heading1"/>
        <w:spacing w:before="185"/>
      </w:pPr>
      <w:r>
        <w:rPr>
          <w:color w:val="231F20"/>
          <w:spacing w:val="9"/>
          <w:w w:val="110"/>
        </w:rPr>
        <w:t>REFERENCE</w:t>
      </w:r>
    </w:p>
    <w:p>
      <w:pPr>
        <w:pStyle w:val="ListParagraph"/>
        <w:numPr>
          <w:ilvl w:val="0"/>
          <w:numId w:val="2"/>
        </w:numPr>
        <w:tabs>
          <w:tab w:pos="599" w:val="left" w:leader="none"/>
          <w:tab w:pos="601" w:val="left" w:leader="none"/>
        </w:tabs>
        <w:spacing w:line="237" w:lineRule="auto" w:before="122" w:after="0"/>
        <w:ind w:left="599" w:right="119" w:hanging="480"/>
        <w:jc w:val="left"/>
        <w:rPr>
          <w:sz w:val="17"/>
        </w:rPr>
      </w:pPr>
      <w:r>
        <w:rPr>
          <w:color w:val="231F20"/>
          <w:sz w:val="17"/>
        </w:rPr>
        <w:t>National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pregnancy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Health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survey;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National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Insti- </w:t>
      </w:r>
      <w:r>
        <w:rPr>
          <w:color w:val="231F20"/>
          <w:w w:val="105"/>
          <w:sz w:val="17"/>
        </w:rPr>
        <w:t>tute of Drug Abuse 1996.</w:t>
      </w:r>
    </w:p>
    <w:p>
      <w:pPr>
        <w:pStyle w:val="ListParagraph"/>
        <w:numPr>
          <w:ilvl w:val="0"/>
          <w:numId w:val="2"/>
        </w:numPr>
        <w:tabs>
          <w:tab w:pos="599" w:val="left" w:leader="none"/>
          <w:tab w:pos="601" w:val="left" w:leader="none"/>
        </w:tabs>
        <w:spacing w:line="235" w:lineRule="auto" w:before="119" w:after="0"/>
        <w:ind w:left="599" w:right="119" w:hanging="480"/>
        <w:jc w:val="left"/>
        <w:rPr>
          <w:sz w:val="17"/>
        </w:rPr>
      </w:pPr>
      <w:r>
        <w:rPr>
          <w:color w:val="231F20"/>
          <w:spacing w:val="-2"/>
          <w:w w:val="105"/>
          <w:sz w:val="17"/>
        </w:rPr>
        <w:t>Day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E,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George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S.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Management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of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drug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misuse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in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preg- </w:t>
      </w:r>
      <w:r>
        <w:rPr>
          <w:color w:val="231F20"/>
          <w:w w:val="105"/>
          <w:sz w:val="17"/>
        </w:rPr>
        <w:t>nancy.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Adv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Psychiat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Treatment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2005;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11: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253-61.</w:t>
      </w:r>
    </w:p>
    <w:sectPr>
      <w:pgSz w:w="12240" w:h="15840"/>
      <w:pgMar w:header="0" w:footer="1008" w:top="1340" w:bottom="1200" w:left="1320" w:right="1320"/>
      <w:cols w:num="2" w:equalWidth="0">
        <w:col w:w="4663" w:space="197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Maiandra GD">
    <w:altName w:val="Maiandra GD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9.479980pt;margin-top:730.734009pt;width:26.7pt;height:12.8pt;mso-position-horizontal-relative:page;mso-position-vertical-relative:page;z-index:-15885312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color w:val="231F20"/>
                    <w:spacing w:val="-5"/>
                    <w:w w:val="120"/>
                  </w:rPr>
                  <w:fldChar w:fldCharType="begin"/>
                </w:r>
                <w:r>
                  <w:rPr>
                    <w:color w:val="231F20"/>
                    <w:spacing w:val="-5"/>
                    <w:w w:val="120"/>
                  </w:rPr>
                  <w:instrText> PAGE </w:instrText>
                </w:r>
                <w:r>
                  <w:rPr>
                    <w:color w:val="231F20"/>
                    <w:spacing w:val="-5"/>
                    <w:w w:val="120"/>
                  </w:rPr>
                  <w:fldChar w:fldCharType="separate"/>
                </w:r>
                <w:r>
                  <w:rPr>
                    <w:color w:val="231F20"/>
                    <w:spacing w:val="-5"/>
                    <w:w w:val="120"/>
                  </w:rPr>
                  <w:t>118</w:t>
                </w:r>
                <w:r>
                  <w:rPr>
                    <w:color w:val="231F20"/>
                    <w:spacing w:val="-5"/>
                    <w:w w:val="120"/>
                  </w:rPr>
                  <w:fldChar w:fldCharType="end"/>
                </w:r>
                <w:r>
                  <w:rPr>
                    <w:color w:val="231F20"/>
                    <w:spacing w:val="-5"/>
                    <w:w w:val="120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w w:val="96"/>
        <w:sz w:val="18"/>
        <w:szCs w:val="18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spacing w:before="180"/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112"/>
      <w:ind w:left="794" w:right="784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79"/>
      <w:ind w:left="600" w:right="116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>
      <w:spacing w:before="93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00C47B-FEB1-4CA7-99D4-A8072F61B0B1}"/>
</file>

<file path=customXml/itemProps2.xml><?xml version="1.0" encoding="utf-8"?>
<ds:datastoreItem xmlns:ds="http://schemas.openxmlformats.org/officeDocument/2006/customXml" ds:itemID="{41602A07-0650-463E-9588-8A20B04C6A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12-Original.pmd</dc:title>
  <dcterms:created xsi:type="dcterms:W3CDTF">2022-07-28T16:41:13Z</dcterms:created>
  <dcterms:modified xsi:type="dcterms:W3CDTF">2022-07-28T16:41:13Z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2007-12-03T00:00:00Z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