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20" w:val="left" w:leader="none"/>
        </w:tabs>
        <w:spacing w:before="73"/>
        <w:ind w:left="151"/>
      </w:pPr>
      <w:r>
        <w:rPr>
          <w:spacing w:val="11"/>
          <w:w w:val="110"/>
        </w:rPr>
        <w:t>JPPS</w:t>
      </w:r>
      <w:r>
        <w:rPr>
          <w:spacing w:val="40"/>
          <w:w w:val="110"/>
        </w:rPr>
        <w:t> </w:t>
      </w:r>
      <w:r>
        <w:rPr>
          <w:spacing w:val="11"/>
          <w:w w:val="110"/>
        </w:rPr>
        <w:t>2008;</w:t>
      </w:r>
      <w:r>
        <w:rPr>
          <w:spacing w:val="40"/>
          <w:w w:val="110"/>
        </w:rPr>
        <w:t> </w:t>
      </w:r>
      <w:r>
        <w:rPr>
          <w:spacing w:val="11"/>
          <w:w w:val="110"/>
        </w:rPr>
        <w:t>5(2):</w:t>
      </w:r>
      <w:r>
        <w:rPr>
          <w:spacing w:val="40"/>
          <w:w w:val="110"/>
        </w:rPr>
        <w:t> </w:t>
      </w:r>
      <w:r>
        <w:rPr>
          <w:spacing w:val="14"/>
          <w:w w:val="110"/>
        </w:rPr>
        <w:t>120-</w:t>
      </w:r>
      <w:r>
        <w:rPr>
          <w:spacing w:val="4"/>
          <w:w w:val="110"/>
        </w:rPr>
        <w:t>121</w:t>
      </w:r>
      <w:r>
        <w:rPr/>
        <w:tab/>
      </w:r>
      <w:r>
        <w:rPr>
          <w:spacing w:val="11"/>
          <w:w w:val="110"/>
        </w:rPr>
        <w:t>CASE</w:t>
      </w:r>
      <w:r>
        <w:rPr>
          <w:spacing w:val="64"/>
          <w:w w:val="150"/>
        </w:rPr>
        <w:t> </w:t>
      </w:r>
      <w:r>
        <w:rPr>
          <w:spacing w:val="13"/>
          <w:w w:val="110"/>
        </w:rPr>
        <w:t>REPORT</w:t>
      </w:r>
    </w:p>
    <w:p>
      <w:pPr>
        <w:pStyle w:val="BodyText"/>
        <w:spacing w:before="1"/>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spacing w:before="11"/>
        <w:rPr>
          <w:sz w:val="5"/>
        </w:rPr>
      </w:pPr>
    </w:p>
    <w:p>
      <w:pPr>
        <w:pStyle w:val="Title"/>
      </w:pPr>
      <w:r>
        <w:rPr>
          <w:w w:val="105"/>
        </w:rPr>
        <w:t>THE</w:t>
      </w:r>
      <w:r>
        <w:rPr>
          <w:spacing w:val="40"/>
          <w:w w:val="105"/>
        </w:rPr>
        <w:t> </w:t>
      </w:r>
      <w:r>
        <w:rPr>
          <w:w w:val="105"/>
        </w:rPr>
        <w:t>POTENTIAL</w:t>
      </w:r>
      <w:r>
        <w:rPr>
          <w:spacing w:val="40"/>
          <w:w w:val="105"/>
        </w:rPr>
        <w:t> </w:t>
      </w:r>
      <w:r>
        <w:rPr>
          <w:w w:val="105"/>
        </w:rPr>
        <w:t>RELATIONSHIP</w:t>
      </w:r>
      <w:r>
        <w:rPr>
          <w:spacing w:val="40"/>
          <w:w w:val="105"/>
        </w:rPr>
        <w:t> </w:t>
      </w:r>
      <w:r>
        <w:rPr>
          <w:w w:val="105"/>
        </w:rPr>
        <w:t>BETWEEN</w:t>
      </w:r>
      <w:r>
        <w:rPr>
          <w:spacing w:val="40"/>
          <w:w w:val="105"/>
        </w:rPr>
        <w:t> </w:t>
      </w:r>
      <w:r>
        <w:rPr>
          <w:w w:val="105"/>
        </w:rPr>
        <w:t>PIMOZIDE AND</w:t>
      </w:r>
      <w:r>
        <w:rPr>
          <w:spacing w:val="40"/>
          <w:w w:val="105"/>
        </w:rPr>
        <w:t> </w:t>
      </w:r>
      <w:r>
        <w:rPr>
          <w:w w:val="105"/>
        </w:rPr>
        <w:t>CHOLESTATIC</w:t>
      </w:r>
      <w:r>
        <w:rPr>
          <w:spacing w:val="40"/>
          <w:w w:val="105"/>
        </w:rPr>
        <w:t> </w:t>
      </w:r>
      <w:r>
        <w:rPr>
          <w:w w:val="105"/>
        </w:rPr>
        <w:t>HEPATITIS</w:t>
      </w:r>
    </w:p>
    <w:p>
      <w:pPr>
        <w:pStyle w:val="BodyText"/>
        <w:spacing w:before="267"/>
        <w:ind w:left="578" w:right="566"/>
        <w:jc w:val="center"/>
      </w:pPr>
      <w:r>
        <w:rPr>
          <w:spacing w:val="9"/>
          <w:w w:val="110"/>
        </w:rPr>
        <w:t>Salih</w:t>
      </w:r>
      <w:r>
        <w:rPr>
          <w:spacing w:val="45"/>
          <w:w w:val="110"/>
        </w:rPr>
        <w:t> </w:t>
      </w:r>
      <w:r>
        <w:rPr>
          <w:spacing w:val="10"/>
          <w:w w:val="110"/>
        </w:rPr>
        <w:t>Saygin</w:t>
      </w:r>
      <w:r>
        <w:rPr>
          <w:spacing w:val="45"/>
          <w:w w:val="110"/>
        </w:rPr>
        <w:t> </w:t>
      </w:r>
      <w:r>
        <w:rPr>
          <w:w w:val="110"/>
        </w:rPr>
        <w:t>Eker,</w:t>
      </w:r>
      <w:r>
        <w:rPr>
          <w:spacing w:val="46"/>
          <w:w w:val="110"/>
        </w:rPr>
        <w:t> </w:t>
      </w:r>
      <w:r>
        <w:rPr>
          <w:spacing w:val="10"/>
          <w:w w:val="110"/>
        </w:rPr>
        <w:t>Cengiz</w:t>
      </w:r>
      <w:r>
        <w:rPr>
          <w:spacing w:val="45"/>
          <w:w w:val="110"/>
        </w:rPr>
        <w:t> </w:t>
      </w:r>
      <w:r>
        <w:rPr>
          <w:spacing w:val="10"/>
          <w:w w:val="110"/>
        </w:rPr>
        <w:t>Akkaya,</w:t>
      </w:r>
      <w:r>
        <w:rPr>
          <w:spacing w:val="46"/>
          <w:w w:val="110"/>
        </w:rPr>
        <w:t> </w:t>
      </w:r>
      <w:r>
        <w:rPr>
          <w:w w:val="110"/>
        </w:rPr>
        <w:t>Asli</w:t>
      </w:r>
      <w:r>
        <w:rPr>
          <w:spacing w:val="45"/>
          <w:w w:val="110"/>
        </w:rPr>
        <w:t> </w:t>
      </w:r>
      <w:r>
        <w:rPr>
          <w:spacing w:val="10"/>
          <w:w w:val="110"/>
        </w:rPr>
        <w:t>Sarandol,</w:t>
      </w:r>
      <w:r>
        <w:rPr>
          <w:spacing w:val="45"/>
          <w:w w:val="110"/>
        </w:rPr>
        <w:t> </w:t>
      </w:r>
      <w:r>
        <w:rPr>
          <w:spacing w:val="9"/>
          <w:w w:val="110"/>
        </w:rPr>
        <w:t>Canan</w:t>
      </w:r>
      <w:r>
        <w:rPr>
          <w:spacing w:val="46"/>
          <w:w w:val="110"/>
        </w:rPr>
        <w:t> </w:t>
      </w:r>
      <w:r>
        <w:rPr>
          <w:spacing w:val="9"/>
          <w:w w:val="110"/>
        </w:rPr>
        <w:t>Yusufoglu,</w:t>
      </w:r>
      <w:r>
        <w:rPr>
          <w:spacing w:val="45"/>
          <w:w w:val="110"/>
        </w:rPr>
        <w:t> </w:t>
      </w:r>
      <w:r>
        <w:rPr>
          <w:spacing w:val="10"/>
          <w:w w:val="110"/>
        </w:rPr>
        <w:t>Selcuk</w:t>
      </w:r>
      <w:r>
        <w:rPr>
          <w:spacing w:val="45"/>
          <w:w w:val="110"/>
        </w:rPr>
        <w:t> </w:t>
      </w:r>
      <w:r>
        <w:rPr>
          <w:spacing w:val="10"/>
          <w:w w:val="110"/>
        </w:rPr>
        <w:t>Kirli</w:t>
      </w:r>
    </w:p>
    <w:p>
      <w:pPr>
        <w:pStyle w:val="BodyText"/>
        <w:spacing w:before="6"/>
        <w:rPr>
          <w:sz w:val="24"/>
        </w:rPr>
      </w:pPr>
      <w:r>
        <w:rPr/>
        <w:pict>
          <v:shape style="position:absolute;margin-left:72pt;margin-top:15.905225pt;width:468pt;height:.1pt;mso-position-horizontal-relative:page;mso-position-vertical-relative:paragraph;z-index:-15728128;mso-wrap-distance-left:0;mso-wrap-distance-right:0" id="docshape3" coordorigin="1440,318" coordsize="9360,0" path="m1440,318l10800,318e" filled="false" stroked="true" strokeweight=".96pt" strokecolor="#000000">
            <v:path arrowok="t"/>
            <v:stroke dashstyle="solid"/>
            <w10:wrap type="topAndBottom"/>
          </v:shape>
        </w:pict>
      </w:r>
    </w:p>
    <w:p>
      <w:pPr>
        <w:pStyle w:val="BodyText"/>
        <w:spacing w:before="6"/>
        <w:rPr>
          <w:sz w:val="17"/>
        </w:rPr>
      </w:pPr>
    </w:p>
    <w:p>
      <w:pPr>
        <w:pStyle w:val="Heading1"/>
        <w:spacing w:before="1"/>
        <w:ind w:left="120"/>
      </w:pPr>
      <w:r>
        <w:rPr>
          <w:spacing w:val="15"/>
          <w:w w:val="105"/>
        </w:rPr>
        <w:t>ABSTRACT</w:t>
      </w:r>
    </w:p>
    <w:p>
      <w:pPr>
        <w:pStyle w:val="BodyText"/>
        <w:spacing w:line="244" w:lineRule="auto" w:before="127"/>
        <w:ind w:left="600" w:right="595" w:firstLine="240"/>
        <w:jc w:val="both"/>
      </w:pPr>
      <w:r>
        <w:rPr>
          <w:w w:val="105"/>
        </w:rPr>
        <w:t>We</w:t>
      </w:r>
      <w:r>
        <w:rPr>
          <w:spacing w:val="-4"/>
          <w:w w:val="105"/>
        </w:rPr>
        <w:t> </w:t>
      </w:r>
      <w:r>
        <w:rPr>
          <w:w w:val="105"/>
        </w:rPr>
        <w:t>describe</w:t>
      </w:r>
      <w:r>
        <w:rPr>
          <w:spacing w:val="-4"/>
          <w:w w:val="105"/>
        </w:rPr>
        <w:t> </w:t>
      </w:r>
      <w:r>
        <w:rPr>
          <w:w w:val="105"/>
        </w:rPr>
        <w:t>a</w:t>
      </w:r>
      <w:r>
        <w:rPr>
          <w:spacing w:val="-4"/>
          <w:w w:val="105"/>
        </w:rPr>
        <w:t> </w:t>
      </w:r>
      <w:r>
        <w:rPr>
          <w:w w:val="105"/>
        </w:rPr>
        <w:t>40</w:t>
      </w:r>
      <w:r>
        <w:rPr>
          <w:spacing w:val="-4"/>
          <w:w w:val="105"/>
        </w:rPr>
        <w:t> </w:t>
      </w:r>
      <w:r>
        <w:rPr>
          <w:w w:val="105"/>
        </w:rPr>
        <w:t>year-old</w:t>
      </w:r>
      <w:r>
        <w:rPr>
          <w:spacing w:val="-4"/>
          <w:w w:val="105"/>
        </w:rPr>
        <w:t> </w:t>
      </w:r>
      <w:r>
        <w:rPr>
          <w:w w:val="105"/>
        </w:rPr>
        <w:t>woman</w:t>
      </w:r>
      <w:r>
        <w:rPr>
          <w:spacing w:val="-4"/>
          <w:w w:val="105"/>
        </w:rPr>
        <w:t> </w:t>
      </w:r>
      <w:r>
        <w:rPr>
          <w:w w:val="105"/>
        </w:rPr>
        <w:t>who</w:t>
      </w:r>
      <w:r>
        <w:rPr>
          <w:spacing w:val="-4"/>
          <w:w w:val="105"/>
        </w:rPr>
        <w:t> </w:t>
      </w:r>
      <w:r>
        <w:rPr>
          <w:w w:val="105"/>
        </w:rPr>
        <w:t>was</w:t>
      </w:r>
      <w:r>
        <w:rPr>
          <w:spacing w:val="-4"/>
          <w:w w:val="105"/>
        </w:rPr>
        <w:t> </w:t>
      </w:r>
      <w:r>
        <w:rPr>
          <w:w w:val="105"/>
        </w:rPr>
        <w:t>diagnosed</w:t>
      </w:r>
      <w:r>
        <w:rPr>
          <w:spacing w:val="-4"/>
          <w:w w:val="105"/>
        </w:rPr>
        <w:t> </w:t>
      </w:r>
      <w:r>
        <w:rPr>
          <w:w w:val="105"/>
        </w:rPr>
        <w:t>as</w:t>
      </w:r>
      <w:r>
        <w:rPr>
          <w:spacing w:val="-4"/>
          <w:w w:val="105"/>
        </w:rPr>
        <w:t> </w:t>
      </w:r>
      <w:r>
        <w:rPr>
          <w:w w:val="105"/>
        </w:rPr>
        <w:t>a</w:t>
      </w:r>
      <w:r>
        <w:rPr>
          <w:spacing w:val="-4"/>
          <w:w w:val="105"/>
        </w:rPr>
        <w:t> </w:t>
      </w:r>
      <w:r>
        <w:rPr>
          <w:w w:val="105"/>
        </w:rPr>
        <w:t>case</w:t>
      </w:r>
      <w:r>
        <w:rPr>
          <w:spacing w:val="-4"/>
          <w:w w:val="105"/>
        </w:rPr>
        <w:t> </w:t>
      </w:r>
      <w:r>
        <w:rPr>
          <w:w w:val="105"/>
        </w:rPr>
        <w:t>of</w:t>
      </w:r>
      <w:r>
        <w:rPr>
          <w:spacing w:val="-4"/>
          <w:w w:val="105"/>
        </w:rPr>
        <w:t> </w:t>
      </w:r>
      <w:r>
        <w:rPr>
          <w:w w:val="105"/>
        </w:rPr>
        <w:t>Major</w:t>
      </w:r>
      <w:r>
        <w:rPr>
          <w:spacing w:val="-4"/>
          <w:w w:val="105"/>
        </w:rPr>
        <w:t> </w:t>
      </w:r>
      <w:r>
        <w:rPr>
          <w:w w:val="105"/>
        </w:rPr>
        <w:t>Depressive</w:t>
      </w:r>
      <w:r>
        <w:rPr>
          <w:spacing w:val="-4"/>
          <w:w w:val="105"/>
        </w:rPr>
        <w:t> </w:t>
      </w:r>
      <w:r>
        <w:rPr>
          <w:w w:val="105"/>
        </w:rPr>
        <w:t>Disorder</w:t>
      </w:r>
      <w:r>
        <w:rPr>
          <w:spacing w:val="-4"/>
          <w:w w:val="105"/>
        </w:rPr>
        <w:t> </w:t>
      </w:r>
      <w:r>
        <w:rPr>
          <w:w w:val="105"/>
        </w:rPr>
        <w:t>with Psychotic</w:t>
      </w:r>
      <w:r>
        <w:rPr>
          <w:spacing w:val="-10"/>
          <w:w w:val="105"/>
        </w:rPr>
        <w:t> </w:t>
      </w:r>
      <w:r>
        <w:rPr>
          <w:w w:val="105"/>
        </w:rPr>
        <w:t>Features.</w:t>
      </w:r>
      <w:r>
        <w:rPr>
          <w:spacing w:val="-10"/>
          <w:w w:val="105"/>
        </w:rPr>
        <w:t> </w:t>
      </w:r>
      <w:r>
        <w:rPr>
          <w:w w:val="105"/>
        </w:rPr>
        <w:t>Patient’s</w:t>
      </w:r>
      <w:r>
        <w:rPr>
          <w:spacing w:val="-10"/>
          <w:w w:val="105"/>
        </w:rPr>
        <w:t> </w:t>
      </w:r>
      <w:r>
        <w:rPr>
          <w:w w:val="105"/>
        </w:rPr>
        <w:t>physical</w:t>
      </w:r>
      <w:r>
        <w:rPr>
          <w:spacing w:val="-10"/>
          <w:w w:val="105"/>
        </w:rPr>
        <w:t> </w:t>
      </w:r>
      <w:r>
        <w:rPr>
          <w:w w:val="105"/>
        </w:rPr>
        <w:t>examination</w:t>
      </w:r>
      <w:r>
        <w:rPr>
          <w:spacing w:val="-10"/>
          <w:w w:val="105"/>
        </w:rPr>
        <w:t> </w:t>
      </w:r>
      <w:r>
        <w:rPr>
          <w:w w:val="105"/>
        </w:rPr>
        <w:t>and</w:t>
      </w:r>
      <w:r>
        <w:rPr>
          <w:spacing w:val="-10"/>
          <w:w w:val="105"/>
        </w:rPr>
        <w:t> </w:t>
      </w:r>
      <w:r>
        <w:rPr>
          <w:w w:val="105"/>
        </w:rPr>
        <w:t>laboratory</w:t>
      </w:r>
      <w:r>
        <w:rPr>
          <w:spacing w:val="-10"/>
          <w:w w:val="105"/>
        </w:rPr>
        <w:t> </w:t>
      </w:r>
      <w:r>
        <w:rPr>
          <w:w w:val="105"/>
        </w:rPr>
        <w:t>tests</w:t>
      </w:r>
      <w:r>
        <w:rPr>
          <w:spacing w:val="-10"/>
          <w:w w:val="105"/>
        </w:rPr>
        <w:t> </w:t>
      </w:r>
      <w:r>
        <w:rPr>
          <w:w w:val="105"/>
        </w:rPr>
        <w:t>revealed</w:t>
      </w:r>
      <w:r>
        <w:rPr>
          <w:spacing w:val="-10"/>
          <w:w w:val="105"/>
        </w:rPr>
        <w:t> </w:t>
      </w:r>
      <w:r>
        <w:rPr>
          <w:w w:val="105"/>
        </w:rPr>
        <w:t>no</w:t>
      </w:r>
      <w:r>
        <w:rPr>
          <w:spacing w:val="-10"/>
          <w:w w:val="105"/>
        </w:rPr>
        <w:t> </w:t>
      </w:r>
      <w:r>
        <w:rPr>
          <w:w w:val="105"/>
        </w:rPr>
        <w:t>abnormalities</w:t>
      </w:r>
      <w:r>
        <w:rPr>
          <w:spacing w:val="-10"/>
          <w:w w:val="105"/>
        </w:rPr>
        <w:t> </w:t>
      </w:r>
      <w:r>
        <w:rPr>
          <w:w w:val="105"/>
        </w:rPr>
        <w:t>at</w:t>
      </w:r>
      <w:r>
        <w:rPr>
          <w:spacing w:val="-10"/>
          <w:w w:val="105"/>
        </w:rPr>
        <w:t> </w:t>
      </w:r>
      <w:r>
        <w:rPr>
          <w:w w:val="105"/>
        </w:rPr>
        <w:t>the time of admission. Just after two days of addition of pimozide to the ongoing therapy, jaundice and elevated liver enzymes were detected which may indicate a drug induced hepatitis. Serologic tests, </w:t>
      </w:r>
      <w:r>
        <w:rPr/>
        <w:t>hepatobiliary ultrasonography and pelvic MRI were performed and no abnormality was detected. Patient </w:t>
      </w:r>
      <w:r>
        <w:rPr>
          <w:w w:val="105"/>
        </w:rPr>
        <w:t>was</w:t>
      </w:r>
      <w:r>
        <w:rPr>
          <w:spacing w:val="-4"/>
          <w:w w:val="105"/>
        </w:rPr>
        <w:t> </w:t>
      </w:r>
      <w:r>
        <w:rPr>
          <w:w w:val="105"/>
        </w:rPr>
        <w:t>diagnosed</w:t>
      </w:r>
      <w:r>
        <w:rPr>
          <w:spacing w:val="-4"/>
          <w:w w:val="105"/>
        </w:rPr>
        <w:t> </w:t>
      </w:r>
      <w:r>
        <w:rPr>
          <w:w w:val="105"/>
        </w:rPr>
        <w:t>with</w:t>
      </w:r>
      <w:r>
        <w:rPr>
          <w:spacing w:val="-4"/>
          <w:w w:val="105"/>
        </w:rPr>
        <w:t> </w:t>
      </w:r>
      <w:r>
        <w:rPr>
          <w:w w:val="105"/>
        </w:rPr>
        <w:t>drug</w:t>
      </w:r>
      <w:r>
        <w:rPr>
          <w:spacing w:val="-4"/>
          <w:w w:val="105"/>
        </w:rPr>
        <w:t> </w:t>
      </w:r>
      <w:r>
        <w:rPr>
          <w:w w:val="105"/>
        </w:rPr>
        <w:t>induced</w:t>
      </w:r>
      <w:r>
        <w:rPr>
          <w:spacing w:val="-4"/>
          <w:w w:val="105"/>
        </w:rPr>
        <w:t> </w:t>
      </w:r>
      <w:r>
        <w:rPr>
          <w:w w:val="105"/>
        </w:rPr>
        <w:t>cholestatic</w:t>
      </w:r>
      <w:r>
        <w:rPr>
          <w:spacing w:val="-4"/>
          <w:w w:val="105"/>
        </w:rPr>
        <w:t> </w:t>
      </w:r>
      <w:r>
        <w:rPr>
          <w:w w:val="105"/>
        </w:rPr>
        <w:t>hepatitis</w:t>
      </w:r>
      <w:r>
        <w:rPr>
          <w:spacing w:val="-4"/>
          <w:w w:val="105"/>
        </w:rPr>
        <w:t> </w:t>
      </w:r>
      <w:r>
        <w:rPr>
          <w:w w:val="105"/>
        </w:rPr>
        <w:t>by</w:t>
      </w:r>
      <w:r>
        <w:rPr>
          <w:spacing w:val="-4"/>
          <w:w w:val="105"/>
        </w:rPr>
        <w:t> </w:t>
      </w:r>
      <w:r>
        <w:rPr>
          <w:w w:val="105"/>
        </w:rPr>
        <w:t>gastroenterology</w:t>
      </w:r>
      <w:r>
        <w:rPr>
          <w:spacing w:val="-4"/>
          <w:w w:val="105"/>
        </w:rPr>
        <w:t> </w:t>
      </w:r>
      <w:r>
        <w:rPr>
          <w:w w:val="105"/>
        </w:rPr>
        <w:t>department.</w:t>
      </w:r>
      <w:r>
        <w:rPr>
          <w:spacing w:val="-4"/>
          <w:w w:val="105"/>
        </w:rPr>
        <w:t> </w:t>
      </w:r>
      <w:r>
        <w:rPr>
          <w:w w:val="105"/>
        </w:rPr>
        <w:t>Following</w:t>
      </w:r>
      <w:r>
        <w:rPr>
          <w:spacing w:val="-4"/>
          <w:w w:val="105"/>
        </w:rPr>
        <w:t> </w:t>
      </w:r>
      <w:r>
        <w:rPr>
          <w:w w:val="105"/>
        </w:rPr>
        <w:t>dis- continuation of all drugs, liver enzymes were gradually normalized and jaundice resolved.</w:t>
      </w:r>
    </w:p>
    <w:p>
      <w:pPr>
        <w:pStyle w:val="BodyText"/>
        <w:ind w:left="600"/>
      </w:pPr>
      <w:r>
        <w:rPr>
          <w:rFonts w:ascii="Gill Sans MT"/>
          <w:b/>
        </w:rPr>
        <w:t>Key</w:t>
      </w:r>
      <w:r>
        <w:rPr>
          <w:rFonts w:ascii="Gill Sans MT"/>
          <w:b/>
          <w:spacing w:val="22"/>
        </w:rPr>
        <w:t> </w:t>
      </w:r>
      <w:r>
        <w:rPr>
          <w:rFonts w:ascii="Gill Sans MT"/>
          <w:b/>
        </w:rPr>
        <w:t>words:</w:t>
      </w:r>
      <w:r>
        <w:rPr>
          <w:rFonts w:ascii="Gill Sans MT"/>
          <w:b/>
          <w:spacing w:val="24"/>
        </w:rPr>
        <w:t> </w:t>
      </w:r>
      <w:r>
        <w:rPr/>
        <w:t>Pimozide,</w:t>
      </w:r>
      <w:r>
        <w:rPr>
          <w:spacing w:val="17"/>
        </w:rPr>
        <w:t> </w:t>
      </w:r>
      <w:r>
        <w:rPr/>
        <w:t>Hepatotoxicity,</w:t>
      </w:r>
      <w:r>
        <w:rPr>
          <w:spacing w:val="16"/>
        </w:rPr>
        <w:t> </w:t>
      </w:r>
      <w:r>
        <w:rPr/>
        <w:t>Antipsychotics,</w:t>
      </w:r>
      <w:r>
        <w:rPr>
          <w:spacing w:val="17"/>
        </w:rPr>
        <w:t> </w:t>
      </w:r>
      <w:r>
        <w:rPr/>
        <w:t>Adverse</w:t>
      </w:r>
      <w:r>
        <w:rPr>
          <w:spacing w:val="17"/>
        </w:rPr>
        <w:t> </w:t>
      </w:r>
      <w:r>
        <w:rPr>
          <w:spacing w:val="-2"/>
        </w:rPr>
        <w:t>event.</w:t>
      </w:r>
    </w:p>
    <w:p>
      <w:pPr>
        <w:pStyle w:val="BodyText"/>
        <w:spacing w:before="8"/>
        <w:rPr>
          <w:sz w:val="24"/>
        </w:rPr>
      </w:pPr>
      <w:r>
        <w:rPr/>
        <w:pict>
          <v:shape style="position:absolute;margin-left:72pt;margin-top:16.004492pt;width:468pt;height:.1pt;mso-position-horizontal-relative:page;mso-position-vertical-relative:paragraph;z-index:-15727616;mso-wrap-distance-left:0;mso-wrap-distance-right:0" id="docshape4" coordorigin="1440,320" coordsize="9360,0" path="m1440,320l10800,320e" filled="false" stroked="true" strokeweight=".96pt" strokecolor="#000000">
            <v:path arrowok="t"/>
            <v:stroke dashstyle="solid"/>
            <w10:wrap type="topAndBottom"/>
          </v:shape>
        </w:pict>
      </w:r>
    </w:p>
    <w:p>
      <w:pPr>
        <w:pStyle w:val="BodyText"/>
        <w:spacing w:before="5"/>
        <w:rPr>
          <w:sz w:val="21"/>
        </w:rPr>
      </w:pPr>
    </w:p>
    <w:p>
      <w:pPr>
        <w:spacing w:after="0"/>
        <w:rPr>
          <w:sz w:val="21"/>
        </w:rPr>
        <w:sectPr>
          <w:footerReference w:type="default" r:id="rId5"/>
          <w:type w:val="continuous"/>
          <w:pgSz w:w="12240" w:h="15840"/>
          <w:pgMar w:footer="1008" w:header="0" w:top="920" w:bottom="1200" w:left="1320" w:right="1320"/>
          <w:pgNumType w:start="120"/>
        </w:sectPr>
      </w:pPr>
    </w:p>
    <w:p>
      <w:pPr>
        <w:pStyle w:val="Heading1"/>
        <w:ind w:left="120"/>
      </w:pPr>
      <w:r>
        <w:rPr>
          <w:spacing w:val="11"/>
        </w:rPr>
        <w:t>INTRODUCTION</w:t>
      </w:r>
    </w:p>
    <w:p>
      <w:pPr>
        <w:pStyle w:val="BodyText"/>
        <w:spacing w:line="244" w:lineRule="auto" w:before="128"/>
        <w:ind w:left="119" w:right="42" w:firstLine="480"/>
        <w:jc w:val="both"/>
      </w:pPr>
      <w:r>
        <w:rPr>
          <w:w w:val="105"/>
        </w:rPr>
        <w:t>Neuropsychiatric</w:t>
      </w:r>
      <w:r>
        <w:rPr>
          <w:w w:val="105"/>
        </w:rPr>
        <w:t> drugs</w:t>
      </w:r>
      <w:r>
        <w:rPr>
          <w:w w:val="105"/>
        </w:rPr>
        <w:t> have</w:t>
      </w:r>
      <w:r>
        <w:rPr>
          <w:w w:val="105"/>
        </w:rPr>
        <w:t> been</w:t>
      </w:r>
      <w:r>
        <w:rPr>
          <w:w w:val="105"/>
        </w:rPr>
        <w:t> reported</w:t>
      </w:r>
      <w:r>
        <w:rPr>
          <w:w w:val="105"/>
        </w:rPr>
        <w:t> to account</w:t>
      </w:r>
      <w:r>
        <w:rPr>
          <w:spacing w:val="-6"/>
          <w:w w:val="105"/>
        </w:rPr>
        <w:t> </w:t>
      </w:r>
      <w:r>
        <w:rPr>
          <w:w w:val="105"/>
        </w:rPr>
        <w:t>for</w:t>
      </w:r>
      <w:r>
        <w:rPr>
          <w:spacing w:val="-6"/>
          <w:w w:val="105"/>
        </w:rPr>
        <w:t> </w:t>
      </w:r>
      <w:r>
        <w:rPr>
          <w:w w:val="105"/>
        </w:rPr>
        <w:t>16%</w:t>
      </w:r>
      <w:r>
        <w:rPr>
          <w:spacing w:val="-6"/>
          <w:w w:val="105"/>
        </w:rPr>
        <w:t> </w:t>
      </w:r>
      <w:r>
        <w:rPr>
          <w:w w:val="105"/>
        </w:rPr>
        <w:t>of</w:t>
      </w:r>
      <w:r>
        <w:rPr>
          <w:spacing w:val="-6"/>
          <w:w w:val="105"/>
        </w:rPr>
        <w:t> </w:t>
      </w:r>
      <w:r>
        <w:rPr>
          <w:w w:val="105"/>
        </w:rPr>
        <w:t>drug</w:t>
      </w:r>
      <w:r>
        <w:rPr>
          <w:spacing w:val="-6"/>
          <w:w w:val="105"/>
        </w:rPr>
        <w:t> </w:t>
      </w:r>
      <w:r>
        <w:rPr>
          <w:w w:val="105"/>
        </w:rPr>
        <w:t>induced</w:t>
      </w:r>
      <w:r>
        <w:rPr>
          <w:spacing w:val="-6"/>
          <w:w w:val="105"/>
        </w:rPr>
        <w:t> </w:t>
      </w:r>
      <w:r>
        <w:rPr>
          <w:w w:val="105"/>
        </w:rPr>
        <w:t>hepatotoxicity</w:t>
      </w:r>
      <w:r>
        <w:rPr>
          <w:w w:val="105"/>
          <w:position w:val="6"/>
          <w:sz w:val="10"/>
        </w:rPr>
        <w:t>1</w:t>
      </w:r>
      <w:r>
        <w:rPr>
          <w:w w:val="105"/>
        </w:rPr>
        <w:t>.</w:t>
      </w:r>
      <w:r>
        <w:rPr>
          <w:spacing w:val="-6"/>
          <w:w w:val="105"/>
        </w:rPr>
        <w:t> </w:t>
      </w:r>
      <w:r>
        <w:rPr>
          <w:w w:val="105"/>
        </w:rPr>
        <w:t>Both typical and atypical antipsychotics have been associ- ated with cholestatic liver disease.</w:t>
      </w:r>
    </w:p>
    <w:p>
      <w:pPr>
        <w:pStyle w:val="BodyText"/>
        <w:spacing w:line="244" w:lineRule="auto"/>
        <w:ind w:left="120" w:right="43" w:firstLine="480"/>
        <w:jc w:val="both"/>
      </w:pPr>
      <w:r>
        <w:rPr/>
        <w:t>Though antipsychotics are associated with hepa- </w:t>
      </w:r>
      <w:r>
        <w:rPr>
          <w:spacing w:val="-2"/>
        </w:rPr>
        <w:t>titis,</w:t>
      </w:r>
      <w:r>
        <w:rPr>
          <w:spacing w:val="-5"/>
        </w:rPr>
        <w:t> </w:t>
      </w:r>
      <w:r>
        <w:rPr>
          <w:spacing w:val="-2"/>
        </w:rPr>
        <w:t>cholestatic</w:t>
      </w:r>
      <w:r>
        <w:rPr>
          <w:spacing w:val="-5"/>
        </w:rPr>
        <w:t> </w:t>
      </w:r>
      <w:r>
        <w:rPr>
          <w:spacing w:val="-2"/>
        </w:rPr>
        <w:t>type</w:t>
      </w:r>
      <w:r>
        <w:rPr>
          <w:spacing w:val="-5"/>
        </w:rPr>
        <w:t> </w:t>
      </w:r>
      <w:r>
        <w:rPr>
          <w:spacing w:val="-2"/>
        </w:rPr>
        <w:t>of</w:t>
      </w:r>
      <w:r>
        <w:rPr>
          <w:spacing w:val="-5"/>
        </w:rPr>
        <w:t> </w:t>
      </w:r>
      <w:r>
        <w:rPr>
          <w:spacing w:val="-2"/>
        </w:rPr>
        <w:t>hepatotoxicity</w:t>
      </w:r>
      <w:r>
        <w:rPr>
          <w:spacing w:val="-5"/>
        </w:rPr>
        <w:t> </w:t>
      </w:r>
      <w:r>
        <w:rPr>
          <w:spacing w:val="-2"/>
        </w:rPr>
        <w:t>is</w:t>
      </w:r>
      <w:r>
        <w:rPr>
          <w:spacing w:val="-5"/>
        </w:rPr>
        <w:t> </w:t>
      </w:r>
      <w:r>
        <w:rPr>
          <w:spacing w:val="-2"/>
        </w:rPr>
        <w:t>not</w:t>
      </w:r>
      <w:r>
        <w:rPr>
          <w:spacing w:val="-5"/>
        </w:rPr>
        <w:t> </w:t>
      </w:r>
      <w:r>
        <w:rPr>
          <w:spacing w:val="-2"/>
        </w:rPr>
        <w:t>reported</w:t>
      </w:r>
      <w:r>
        <w:rPr>
          <w:spacing w:val="-5"/>
        </w:rPr>
        <w:t> </w:t>
      </w:r>
      <w:r>
        <w:rPr>
          <w:spacing w:val="-2"/>
        </w:rPr>
        <w:t>with </w:t>
      </w:r>
      <w:r>
        <w:rPr/>
        <w:t>pimozide so far. Though it is hard to clarify by which drug hepatotoxicity caused abrupt presentation of hepa- titis, but occurring just after two days of pimozide initia- tion</w:t>
      </w:r>
      <w:r>
        <w:rPr>
          <w:spacing w:val="-2"/>
        </w:rPr>
        <w:t> </w:t>
      </w:r>
      <w:r>
        <w:rPr/>
        <w:t>may</w:t>
      </w:r>
      <w:r>
        <w:rPr>
          <w:spacing w:val="-2"/>
        </w:rPr>
        <w:t> </w:t>
      </w:r>
      <w:r>
        <w:rPr/>
        <w:t>indicate</w:t>
      </w:r>
      <w:r>
        <w:rPr>
          <w:spacing w:val="-4"/>
        </w:rPr>
        <w:t> </w:t>
      </w:r>
      <w:r>
        <w:rPr/>
        <w:t>a</w:t>
      </w:r>
      <w:r>
        <w:rPr>
          <w:spacing w:val="-4"/>
        </w:rPr>
        <w:t> </w:t>
      </w:r>
      <w:r>
        <w:rPr/>
        <w:t>pimozide</w:t>
      </w:r>
      <w:r>
        <w:rPr>
          <w:spacing w:val="-4"/>
        </w:rPr>
        <w:t> </w:t>
      </w:r>
      <w:r>
        <w:rPr/>
        <w:t>associated</w:t>
      </w:r>
      <w:r>
        <w:rPr>
          <w:spacing w:val="-4"/>
        </w:rPr>
        <w:t> </w:t>
      </w:r>
      <w:r>
        <w:rPr/>
        <w:t>cholestatic</w:t>
      </w:r>
      <w:r>
        <w:rPr>
          <w:spacing w:val="-2"/>
        </w:rPr>
        <w:t> </w:t>
      </w:r>
      <w:r>
        <w:rPr/>
        <w:t>hepa- titis in this case.</w:t>
      </w:r>
    </w:p>
    <w:p>
      <w:pPr>
        <w:pStyle w:val="BodyText"/>
        <w:spacing w:line="244" w:lineRule="auto" w:before="120"/>
        <w:ind w:left="120" w:right="42" w:firstLine="480"/>
        <w:jc w:val="both"/>
      </w:pPr>
      <w:r>
        <w:rPr>
          <w:w w:val="105"/>
        </w:rPr>
        <w:t>Since drug induced liver disease may have</w:t>
      </w:r>
      <w:r>
        <w:rPr>
          <w:w w:val="105"/>
        </w:rPr>
        <w:t> life threatening consequences in some cases, early diag- nosis and identification of the drug in such cases will </w:t>
      </w:r>
      <w:r>
        <w:rPr/>
        <w:t>prevent</w:t>
      </w:r>
      <w:r>
        <w:rPr>
          <w:spacing w:val="-7"/>
        </w:rPr>
        <w:t> </w:t>
      </w:r>
      <w:r>
        <w:rPr/>
        <w:t>even</w:t>
      </w:r>
      <w:r>
        <w:rPr>
          <w:spacing w:val="-7"/>
        </w:rPr>
        <w:t> </w:t>
      </w:r>
      <w:r>
        <w:rPr/>
        <w:t>fatal</w:t>
      </w:r>
      <w:r>
        <w:rPr>
          <w:spacing w:val="-7"/>
        </w:rPr>
        <w:t> </w:t>
      </w:r>
      <w:r>
        <w:rPr/>
        <w:t>outcomes.</w:t>
      </w:r>
      <w:r>
        <w:rPr>
          <w:spacing w:val="-7"/>
        </w:rPr>
        <w:t> </w:t>
      </w:r>
      <w:r>
        <w:rPr/>
        <w:t>The</w:t>
      </w:r>
      <w:r>
        <w:rPr>
          <w:spacing w:val="-7"/>
        </w:rPr>
        <w:t> </w:t>
      </w:r>
      <w:r>
        <w:rPr/>
        <w:t>possibility</w:t>
      </w:r>
      <w:r>
        <w:rPr>
          <w:spacing w:val="-7"/>
        </w:rPr>
        <w:t> </w:t>
      </w:r>
      <w:r>
        <w:rPr/>
        <w:t>of</w:t>
      </w:r>
      <w:r>
        <w:rPr>
          <w:spacing w:val="-7"/>
        </w:rPr>
        <w:t> </w:t>
      </w:r>
      <w:r>
        <w:rPr/>
        <w:t>pimozide- </w:t>
      </w:r>
      <w:r>
        <w:rPr>
          <w:w w:val="105"/>
        </w:rPr>
        <w:t>induced</w:t>
      </w:r>
      <w:r>
        <w:rPr>
          <w:spacing w:val="-2"/>
          <w:w w:val="105"/>
        </w:rPr>
        <w:t> </w:t>
      </w:r>
      <w:r>
        <w:rPr>
          <w:w w:val="105"/>
        </w:rPr>
        <w:t>cholestatic</w:t>
      </w:r>
      <w:r>
        <w:rPr>
          <w:spacing w:val="-2"/>
          <w:w w:val="105"/>
        </w:rPr>
        <w:t> </w:t>
      </w:r>
      <w:r>
        <w:rPr>
          <w:w w:val="105"/>
        </w:rPr>
        <w:t>hepatotoxicity</w:t>
      </w:r>
      <w:r>
        <w:rPr>
          <w:spacing w:val="-2"/>
          <w:w w:val="105"/>
        </w:rPr>
        <w:t> </w:t>
      </w:r>
      <w:r>
        <w:rPr>
          <w:w w:val="105"/>
        </w:rPr>
        <w:t>presented</w:t>
      </w:r>
      <w:r>
        <w:rPr>
          <w:spacing w:val="-2"/>
          <w:w w:val="105"/>
        </w:rPr>
        <w:t> </w:t>
      </w:r>
      <w:r>
        <w:rPr>
          <w:w w:val="105"/>
        </w:rPr>
        <w:t>here</w:t>
      </w:r>
      <w:r>
        <w:rPr>
          <w:spacing w:val="-2"/>
          <w:w w:val="105"/>
        </w:rPr>
        <w:t> </w:t>
      </w:r>
      <w:r>
        <w:rPr>
          <w:w w:val="105"/>
        </w:rPr>
        <w:t>may help clinicians in this regard.</w:t>
      </w:r>
    </w:p>
    <w:p>
      <w:pPr>
        <w:pStyle w:val="BodyText"/>
        <w:spacing w:before="0"/>
        <w:rPr>
          <w:sz w:val="20"/>
        </w:rPr>
      </w:pPr>
    </w:p>
    <w:p>
      <w:pPr>
        <w:pStyle w:val="BodyText"/>
        <w:spacing w:before="2"/>
        <w:rPr>
          <w:sz w:val="15"/>
        </w:rPr>
      </w:pPr>
      <w:r>
        <w:rPr/>
        <w:pict>
          <v:shape style="position:absolute;margin-left:72pt;margin-top:10.334844pt;width:225pt;height:.1pt;mso-position-horizontal-relative:page;mso-position-vertical-relative:paragraph;z-index:-15727104;mso-wrap-distance-left:0;mso-wrap-distance-right:0" id="docshape5" coordorigin="1440,207" coordsize="4500,0" path="m1440,207l5940,207e" filled="false" stroked="true" strokeweight=".96pt" strokecolor="#000000">
            <v:path arrowok="t"/>
            <v:stroke dashstyle="solid"/>
            <w10:wrap type="topAndBottom"/>
          </v:shape>
        </w:pict>
      </w:r>
    </w:p>
    <w:p>
      <w:pPr>
        <w:spacing w:line="249" w:lineRule="auto" w:before="112"/>
        <w:ind w:left="120" w:right="43" w:firstLine="0"/>
        <w:jc w:val="both"/>
        <w:rPr>
          <w:sz w:val="16"/>
        </w:rPr>
      </w:pPr>
      <w:r>
        <w:rPr>
          <w:rFonts w:ascii="Gill Sans MT"/>
          <w:b/>
          <w:sz w:val="16"/>
        </w:rPr>
        <w:t>Salih Saygin Eker, </w:t>
      </w:r>
      <w:r>
        <w:rPr>
          <w:sz w:val="16"/>
        </w:rPr>
        <w:t>MD. Specialist in Psychiatry, Uludag Uni- versity Medical Faculty, Psychiatry Department. 16059 Gorukle, Bursa, Turkey.</w:t>
      </w:r>
    </w:p>
    <w:p>
      <w:pPr>
        <w:spacing w:before="2"/>
        <w:ind w:left="120" w:right="0" w:firstLine="0"/>
        <w:jc w:val="both"/>
        <w:rPr>
          <w:sz w:val="16"/>
        </w:rPr>
      </w:pPr>
      <w:r>
        <w:rPr>
          <w:w w:val="105"/>
          <w:sz w:val="16"/>
        </w:rPr>
        <w:t>E-mail:</w:t>
      </w:r>
      <w:r>
        <w:rPr>
          <w:spacing w:val="14"/>
          <w:w w:val="105"/>
          <w:sz w:val="16"/>
        </w:rPr>
        <w:t> </w:t>
      </w:r>
      <w:hyperlink r:id="rId6">
        <w:r>
          <w:rPr>
            <w:spacing w:val="-2"/>
            <w:w w:val="105"/>
            <w:sz w:val="16"/>
          </w:rPr>
          <w:t>saygineker@yahoo.com</w:t>
        </w:r>
      </w:hyperlink>
    </w:p>
    <w:p>
      <w:pPr>
        <w:spacing w:line="252" w:lineRule="auto" w:before="67"/>
        <w:ind w:left="120" w:right="0" w:firstLine="0"/>
        <w:jc w:val="left"/>
        <w:rPr>
          <w:sz w:val="16"/>
        </w:rPr>
      </w:pPr>
      <w:r>
        <w:rPr>
          <w:rFonts w:ascii="Gill Sans MT"/>
          <w:b/>
          <w:sz w:val="16"/>
        </w:rPr>
        <w:t>Cengiz</w:t>
      </w:r>
      <w:r>
        <w:rPr>
          <w:rFonts w:ascii="Gill Sans MT"/>
          <w:b/>
          <w:spacing w:val="40"/>
          <w:sz w:val="16"/>
        </w:rPr>
        <w:t> </w:t>
      </w:r>
      <w:r>
        <w:rPr>
          <w:rFonts w:ascii="Gill Sans MT"/>
          <w:b/>
          <w:sz w:val="16"/>
        </w:rPr>
        <w:t>Akkaya,</w:t>
      </w:r>
      <w:r>
        <w:rPr>
          <w:rFonts w:ascii="Gill Sans MT"/>
          <w:b/>
          <w:spacing w:val="40"/>
          <w:sz w:val="16"/>
        </w:rPr>
        <w:t> </w:t>
      </w:r>
      <w:r>
        <w:rPr>
          <w:sz w:val="16"/>
        </w:rPr>
        <w:t>MD.</w:t>
      </w:r>
      <w:r>
        <w:rPr>
          <w:spacing w:val="40"/>
          <w:sz w:val="16"/>
        </w:rPr>
        <w:t> </w:t>
      </w:r>
      <w:r>
        <w:rPr>
          <w:sz w:val="16"/>
        </w:rPr>
        <w:t>Assistant</w:t>
      </w:r>
      <w:r>
        <w:rPr>
          <w:spacing w:val="40"/>
          <w:sz w:val="16"/>
        </w:rPr>
        <w:t> </w:t>
      </w:r>
      <w:r>
        <w:rPr>
          <w:sz w:val="16"/>
        </w:rPr>
        <w:t>Professor,</w:t>
      </w:r>
      <w:r>
        <w:rPr>
          <w:spacing w:val="40"/>
          <w:sz w:val="16"/>
        </w:rPr>
        <w:t> </w:t>
      </w:r>
      <w:r>
        <w:rPr>
          <w:sz w:val="16"/>
        </w:rPr>
        <w:t>Uludag</w:t>
      </w:r>
      <w:r>
        <w:rPr>
          <w:spacing w:val="40"/>
          <w:sz w:val="16"/>
        </w:rPr>
        <w:t> </w:t>
      </w:r>
      <w:r>
        <w:rPr>
          <w:sz w:val="16"/>
        </w:rPr>
        <w:t>University Medical Faculty, Psychiatry Department.</w:t>
      </w:r>
    </w:p>
    <w:p>
      <w:pPr>
        <w:spacing w:line="249" w:lineRule="auto" w:before="58"/>
        <w:ind w:left="120" w:right="0" w:firstLine="0"/>
        <w:jc w:val="left"/>
        <w:rPr>
          <w:sz w:val="16"/>
        </w:rPr>
      </w:pPr>
      <w:r>
        <w:rPr>
          <w:rFonts w:ascii="Gill Sans MT"/>
          <w:b/>
          <w:sz w:val="16"/>
        </w:rPr>
        <w:t>Asli</w:t>
      </w:r>
      <w:r>
        <w:rPr>
          <w:rFonts w:ascii="Gill Sans MT"/>
          <w:b/>
          <w:spacing w:val="40"/>
          <w:sz w:val="16"/>
        </w:rPr>
        <w:t> </w:t>
      </w:r>
      <w:r>
        <w:rPr>
          <w:rFonts w:ascii="Gill Sans MT"/>
          <w:b/>
          <w:sz w:val="16"/>
        </w:rPr>
        <w:t>Sarandol,</w:t>
      </w:r>
      <w:r>
        <w:rPr>
          <w:rFonts w:ascii="Gill Sans MT"/>
          <w:b/>
          <w:spacing w:val="40"/>
          <w:sz w:val="16"/>
        </w:rPr>
        <w:t> </w:t>
      </w:r>
      <w:r>
        <w:rPr>
          <w:sz w:val="16"/>
        </w:rPr>
        <w:t>MD.</w:t>
      </w:r>
      <w:r>
        <w:rPr>
          <w:spacing w:val="40"/>
          <w:sz w:val="16"/>
        </w:rPr>
        <w:t> </w:t>
      </w:r>
      <w:r>
        <w:rPr>
          <w:sz w:val="16"/>
        </w:rPr>
        <w:t>Associate</w:t>
      </w:r>
      <w:r>
        <w:rPr>
          <w:spacing w:val="40"/>
          <w:sz w:val="16"/>
        </w:rPr>
        <w:t> </w:t>
      </w:r>
      <w:r>
        <w:rPr>
          <w:sz w:val="16"/>
        </w:rPr>
        <w:t>Professor,</w:t>
      </w:r>
      <w:r>
        <w:rPr>
          <w:spacing w:val="40"/>
          <w:sz w:val="16"/>
        </w:rPr>
        <w:t> </w:t>
      </w:r>
      <w:r>
        <w:rPr>
          <w:sz w:val="16"/>
        </w:rPr>
        <w:t>Uludag</w:t>
      </w:r>
      <w:r>
        <w:rPr>
          <w:spacing w:val="40"/>
          <w:sz w:val="16"/>
        </w:rPr>
        <w:t> </w:t>
      </w:r>
      <w:r>
        <w:rPr>
          <w:sz w:val="16"/>
        </w:rPr>
        <w:t>University Medical Faculty, Psychiatry Department.</w:t>
      </w:r>
    </w:p>
    <w:p>
      <w:pPr>
        <w:spacing w:line="249" w:lineRule="auto" w:before="62"/>
        <w:ind w:left="120" w:right="0" w:firstLine="0"/>
        <w:jc w:val="left"/>
        <w:rPr>
          <w:sz w:val="16"/>
        </w:rPr>
      </w:pPr>
      <w:r>
        <w:rPr>
          <w:rFonts w:ascii="Gill Sans MT"/>
          <w:b/>
          <w:sz w:val="16"/>
        </w:rPr>
        <w:t>Canan</w:t>
      </w:r>
      <w:r>
        <w:rPr>
          <w:rFonts w:ascii="Gill Sans MT"/>
          <w:b/>
          <w:spacing w:val="40"/>
          <w:sz w:val="16"/>
        </w:rPr>
        <w:t> </w:t>
      </w:r>
      <w:r>
        <w:rPr>
          <w:rFonts w:ascii="Gill Sans MT"/>
          <w:b/>
          <w:sz w:val="16"/>
        </w:rPr>
        <w:t>Yusufoglu,</w:t>
      </w:r>
      <w:r>
        <w:rPr>
          <w:rFonts w:ascii="Gill Sans MT"/>
          <w:b/>
          <w:spacing w:val="40"/>
          <w:sz w:val="16"/>
        </w:rPr>
        <w:t> </w:t>
      </w:r>
      <w:r>
        <w:rPr>
          <w:sz w:val="16"/>
        </w:rPr>
        <w:t>MD.</w:t>
      </w:r>
      <w:r>
        <w:rPr>
          <w:spacing w:val="40"/>
          <w:sz w:val="16"/>
        </w:rPr>
        <w:t> </w:t>
      </w:r>
      <w:r>
        <w:rPr>
          <w:sz w:val="16"/>
        </w:rPr>
        <w:t>Uludag</w:t>
      </w:r>
      <w:r>
        <w:rPr>
          <w:spacing w:val="40"/>
          <w:sz w:val="16"/>
        </w:rPr>
        <w:t> </w:t>
      </w:r>
      <w:r>
        <w:rPr>
          <w:sz w:val="16"/>
        </w:rPr>
        <w:t>University</w:t>
      </w:r>
      <w:r>
        <w:rPr>
          <w:spacing w:val="40"/>
          <w:sz w:val="16"/>
        </w:rPr>
        <w:t> </w:t>
      </w:r>
      <w:r>
        <w:rPr>
          <w:sz w:val="16"/>
        </w:rPr>
        <w:t>Medical</w:t>
      </w:r>
      <w:r>
        <w:rPr>
          <w:spacing w:val="40"/>
          <w:sz w:val="16"/>
        </w:rPr>
        <w:t> </w:t>
      </w:r>
      <w:r>
        <w:rPr>
          <w:sz w:val="16"/>
        </w:rPr>
        <w:t>Faculty, Psychiatry Department.</w:t>
      </w:r>
    </w:p>
    <w:p>
      <w:pPr>
        <w:spacing w:line="252" w:lineRule="auto" w:before="59"/>
        <w:ind w:left="120" w:right="0" w:firstLine="0"/>
        <w:jc w:val="left"/>
        <w:rPr>
          <w:sz w:val="16"/>
        </w:rPr>
      </w:pPr>
      <w:r>
        <w:rPr>
          <w:rFonts w:ascii="Gill Sans MT"/>
          <w:b/>
          <w:sz w:val="16"/>
        </w:rPr>
        <w:t>Selcuk</w:t>
      </w:r>
      <w:r>
        <w:rPr>
          <w:rFonts w:ascii="Gill Sans MT"/>
          <w:b/>
          <w:spacing w:val="80"/>
          <w:sz w:val="16"/>
        </w:rPr>
        <w:t> </w:t>
      </w:r>
      <w:r>
        <w:rPr>
          <w:rFonts w:ascii="Gill Sans MT"/>
          <w:b/>
          <w:sz w:val="16"/>
        </w:rPr>
        <w:t>Kirli,</w:t>
      </w:r>
      <w:r>
        <w:rPr>
          <w:rFonts w:ascii="Gill Sans MT"/>
          <w:b/>
          <w:spacing w:val="80"/>
          <w:sz w:val="16"/>
        </w:rPr>
        <w:t> </w:t>
      </w:r>
      <w:r>
        <w:rPr>
          <w:sz w:val="16"/>
        </w:rPr>
        <w:t>MD.</w:t>
      </w:r>
      <w:r>
        <w:rPr>
          <w:spacing w:val="80"/>
          <w:sz w:val="16"/>
        </w:rPr>
        <w:t> </w:t>
      </w:r>
      <w:r>
        <w:rPr>
          <w:sz w:val="16"/>
        </w:rPr>
        <w:t>Professor,</w:t>
      </w:r>
      <w:r>
        <w:rPr>
          <w:spacing w:val="40"/>
          <w:sz w:val="16"/>
        </w:rPr>
        <w:t>  </w:t>
      </w:r>
      <w:r>
        <w:rPr>
          <w:sz w:val="16"/>
        </w:rPr>
        <w:t>Uludag</w:t>
      </w:r>
      <w:r>
        <w:rPr>
          <w:spacing w:val="40"/>
          <w:sz w:val="16"/>
        </w:rPr>
        <w:t> </w:t>
      </w:r>
      <w:r>
        <w:rPr>
          <w:sz w:val="16"/>
        </w:rPr>
        <w:t>University</w:t>
      </w:r>
      <w:r>
        <w:rPr>
          <w:spacing w:val="40"/>
          <w:sz w:val="16"/>
        </w:rPr>
        <w:t> </w:t>
      </w:r>
      <w:r>
        <w:rPr>
          <w:sz w:val="16"/>
        </w:rPr>
        <w:t>Medical Faculty, Psychiatry Department.</w:t>
      </w:r>
    </w:p>
    <w:p>
      <w:pPr>
        <w:spacing w:line="336" w:lineRule="auto" w:before="64"/>
        <w:ind w:left="120" w:right="3068" w:firstLine="0"/>
        <w:jc w:val="left"/>
        <w:rPr>
          <w:rFonts w:ascii="Gill Sans MT"/>
          <w:b/>
          <w:sz w:val="16"/>
        </w:rPr>
      </w:pPr>
      <w:r>
        <w:rPr>
          <w:rFonts w:ascii="Gill Sans MT"/>
          <w:b/>
          <w:spacing w:val="-2"/>
          <w:sz w:val="16"/>
        </w:rPr>
        <w:t>Correspondence: </w:t>
      </w:r>
      <w:r>
        <w:rPr>
          <w:rFonts w:ascii="Gill Sans MT"/>
          <w:b/>
          <w:sz w:val="16"/>
        </w:rPr>
        <w:t>Dr. Saygin Eker</w:t>
      </w:r>
    </w:p>
    <w:p>
      <w:pPr>
        <w:pStyle w:val="Heading1"/>
      </w:pPr>
      <w:r>
        <w:rPr/>
        <w:br w:type="column"/>
      </w:r>
      <w:r>
        <w:rPr>
          <w:spacing w:val="10"/>
          <w:w w:val="110"/>
        </w:rPr>
        <w:t>CASE</w:t>
      </w:r>
      <w:r>
        <w:rPr>
          <w:spacing w:val="62"/>
          <w:w w:val="150"/>
        </w:rPr>
        <w:t> </w:t>
      </w:r>
      <w:r>
        <w:rPr>
          <w:spacing w:val="12"/>
          <w:w w:val="110"/>
        </w:rPr>
        <w:t>HISTORY</w:t>
      </w:r>
    </w:p>
    <w:p>
      <w:pPr>
        <w:pStyle w:val="BodyText"/>
        <w:spacing w:line="244" w:lineRule="auto" w:before="106"/>
        <w:ind w:left="119" w:right="112" w:firstLine="480"/>
        <w:jc w:val="both"/>
      </w:pPr>
      <w:r>
        <w:rPr/>
        <w:t>A 40 year-old woman was diagnosed with “Major Depressive Disorder, Single Episode, Severe With Psy- chotic Features (296.24)” brief name of diagnostic crite- ria and reference according to the criteria of Diagnostic and Statistic Manual of Mental Disorders, Fourth Edi- tion, Text Revision </w:t>
      </w:r>
      <w:r>
        <w:rPr>
          <w:position w:val="6"/>
          <w:sz w:val="10"/>
        </w:rPr>
        <w:t>2</w:t>
      </w:r>
      <w:r>
        <w:rPr/>
        <w:t>. Patient’s physical examination and laboratory</w:t>
      </w:r>
      <w:r>
        <w:rPr>
          <w:spacing w:val="-2"/>
        </w:rPr>
        <w:t> </w:t>
      </w:r>
      <w:r>
        <w:rPr/>
        <w:t>findings</w:t>
      </w:r>
      <w:r>
        <w:rPr>
          <w:spacing w:val="-2"/>
        </w:rPr>
        <w:t> </w:t>
      </w:r>
      <w:r>
        <w:rPr/>
        <w:t>were</w:t>
      </w:r>
      <w:r>
        <w:rPr>
          <w:spacing w:val="-2"/>
        </w:rPr>
        <w:t> </w:t>
      </w:r>
      <w:r>
        <w:rPr/>
        <w:t>normal</w:t>
      </w:r>
      <w:r>
        <w:rPr>
          <w:spacing w:val="-2"/>
        </w:rPr>
        <w:t> </w:t>
      </w:r>
      <w:r>
        <w:rPr/>
        <w:t>at</w:t>
      </w:r>
      <w:r>
        <w:rPr>
          <w:spacing w:val="-2"/>
        </w:rPr>
        <w:t> </w:t>
      </w:r>
      <w:r>
        <w:rPr/>
        <w:t>the</w:t>
      </w:r>
      <w:r>
        <w:rPr>
          <w:spacing w:val="-2"/>
        </w:rPr>
        <w:t> </w:t>
      </w:r>
      <w:r>
        <w:rPr/>
        <w:t>time</w:t>
      </w:r>
      <w:r>
        <w:rPr>
          <w:spacing w:val="-2"/>
        </w:rPr>
        <w:t> </w:t>
      </w:r>
      <w:r>
        <w:rPr/>
        <w:t>of</w:t>
      </w:r>
      <w:r>
        <w:rPr>
          <w:spacing w:val="-2"/>
        </w:rPr>
        <w:t> </w:t>
      </w:r>
      <w:r>
        <w:rPr/>
        <w:t>admission at</w:t>
      </w:r>
      <w:r>
        <w:rPr>
          <w:spacing w:val="-2"/>
        </w:rPr>
        <w:t> </w:t>
      </w:r>
      <w:r>
        <w:rPr/>
        <w:t>the</w:t>
      </w:r>
      <w:r>
        <w:rPr>
          <w:spacing w:val="-2"/>
        </w:rPr>
        <w:t> </w:t>
      </w:r>
      <w:r>
        <w:rPr/>
        <w:t>Psychiatry</w:t>
      </w:r>
      <w:r>
        <w:rPr>
          <w:spacing w:val="-2"/>
        </w:rPr>
        <w:t> </w:t>
      </w:r>
      <w:r>
        <w:rPr/>
        <w:t>Department</w:t>
      </w:r>
      <w:r>
        <w:rPr>
          <w:spacing w:val="-2"/>
        </w:rPr>
        <w:t> </w:t>
      </w:r>
      <w:r>
        <w:rPr/>
        <w:t>of</w:t>
      </w:r>
      <w:r>
        <w:rPr>
          <w:spacing w:val="-2"/>
        </w:rPr>
        <w:t> </w:t>
      </w:r>
      <w:r>
        <w:rPr/>
        <w:t>Uludag</w:t>
      </w:r>
      <w:r>
        <w:rPr>
          <w:spacing w:val="-2"/>
        </w:rPr>
        <w:t> </w:t>
      </w:r>
      <w:r>
        <w:rPr/>
        <w:t>University</w:t>
      </w:r>
      <w:r>
        <w:rPr>
          <w:spacing w:val="-2"/>
        </w:rPr>
        <w:t> </w:t>
      </w:r>
      <w:r>
        <w:rPr/>
        <w:t>Medi- cal Faculty. Since she refused to take oral medication, haloperidol 15 mg/day and chlorpromazine 75 mg/day were given intramuscular the day she was hospitalized.</w:t>
      </w:r>
      <w:r>
        <w:rPr>
          <w:spacing w:val="40"/>
        </w:rPr>
        <w:t> </w:t>
      </w:r>
      <w:r>
        <w:rPr/>
        <w:t>At the fourth day of her hospitalization the doses were reduced to haloperidol 10 mg/day and chlorpromazine 50 mg/day. Venlafaxine 150 mg/day was also started</w:t>
      </w:r>
      <w:r>
        <w:rPr>
          <w:spacing w:val="80"/>
        </w:rPr>
        <w:t> </w:t>
      </w:r>
      <w:r>
        <w:rPr/>
        <w:t>due to her depressive symptoms. At the eighth day of</w:t>
      </w:r>
      <w:r>
        <w:rPr>
          <w:spacing w:val="80"/>
        </w:rPr>
        <w:t> </w:t>
      </w:r>
      <w:r>
        <w:rPr/>
        <w:t>her admission haloperidol and chlorpromazine </w:t>
      </w:r>
      <w:r>
        <w:rPr/>
        <w:t>were discontinued and risperidone 3 mg/day was combined with venlafaxine. At the twenty-first day of hospitaliza- tion, risperidone was discontinued due to galactorrhea. Therefore</w:t>
      </w:r>
      <w:r>
        <w:rPr>
          <w:spacing w:val="-1"/>
        </w:rPr>
        <w:t> </w:t>
      </w:r>
      <w:r>
        <w:rPr/>
        <w:t>risperidone</w:t>
      </w:r>
      <w:r>
        <w:rPr>
          <w:spacing w:val="-1"/>
        </w:rPr>
        <w:t> </w:t>
      </w:r>
      <w:r>
        <w:rPr/>
        <w:t>was</w:t>
      </w:r>
      <w:r>
        <w:rPr>
          <w:spacing w:val="-1"/>
        </w:rPr>
        <w:t> </w:t>
      </w:r>
      <w:r>
        <w:rPr/>
        <w:t>replaced</w:t>
      </w:r>
      <w:r>
        <w:rPr>
          <w:spacing w:val="-1"/>
        </w:rPr>
        <w:t> </w:t>
      </w:r>
      <w:r>
        <w:rPr/>
        <w:t>with</w:t>
      </w:r>
      <w:r>
        <w:rPr>
          <w:spacing w:val="-1"/>
        </w:rPr>
        <w:t> </w:t>
      </w:r>
      <w:r>
        <w:rPr/>
        <w:t>pimozide</w:t>
      </w:r>
      <w:r>
        <w:rPr>
          <w:spacing w:val="-1"/>
        </w:rPr>
        <w:t> </w:t>
      </w:r>
      <w:r>
        <w:rPr/>
        <w:t>2</w:t>
      </w:r>
      <w:r>
        <w:rPr>
          <w:spacing w:val="-1"/>
        </w:rPr>
        <w:t> </w:t>
      </w:r>
      <w:r>
        <w:rPr/>
        <w:t>mg/ day. Two days after pimozide initiation, patient suffered from pruritis, yellow scleras and jaundice. Due to clini-</w:t>
      </w:r>
      <w:r>
        <w:rPr>
          <w:spacing w:val="40"/>
        </w:rPr>
        <w:t> </w:t>
      </w:r>
      <w:r>
        <w:rPr/>
        <w:t>cal presentation and laboratory findings, all medications were discontinued.</w:t>
      </w:r>
    </w:p>
    <w:p>
      <w:pPr>
        <w:pStyle w:val="BodyText"/>
        <w:spacing w:line="244" w:lineRule="auto" w:before="99"/>
        <w:ind w:left="120" w:right="111" w:firstLine="480"/>
        <w:jc w:val="both"/>
      </w:pPr>
      <w:r>
        <w:rPr/>
        <w:t>Laboratory findings including leukocyte and plate- let count, hemoglobin level, prothrombin time and elec- trolytes were normal. Physical examination was normal </w:t>
      </w:r>
      <w:r>
        <w:rPr>
          <w:w w:val="105"/>
        </w:rPr>
        <w:t>except for observed jaundice. She was referred to gas- troenterology department the same day and she was </w:t>
      </w:r>
      <w:r>
        <w:rPr/>
        <w:t>initially diagnosed with toxic hepatitis. We were advised </w:t>
      </w:r>
      <w:r>
        <w:rPr>
          <w:w w:val="105"/>
        </w:rPr>
        <w:t>to</w:t>
      </w:r>
      <w:r>
        <w:rPr>
          <w:w w:val="105"/>
        </w:rPr>
        <w:t> give</w:t>
      </w:r>
      <w:r>
        <w:rPr>
          <w:w w:val="105"/>
        </w:rPr>
        <w:t> patient</w:t>
      </w:r>
      <w:r>
        <w:rPr>
          <w:w w:val="105"/>
        </w:rPr>
        <w:t> liver</w:t>
      </w:r>
      <w:r>
        <w:rPr>
          <w:w w:val="105"/>
        </w:rPr>
        <w:t> protective</w:t>
      </w:r>
      <w:r>
        <w:rPr>
          <w:w w:val="105"/>
        </w:rPr>
        <w:t> diet</w:t>
      </w:r>
      <w:r>
        <w:rPr>
          <w:w w:val="105"/>
        </w:rPr>
        <w:t> and</w:t>
      </w:r>
      <w:r>
        <w:rPr>
          <w:w w:val="105"/>
        </w:rPr>
        <w:t> hydration. Progress of transaminases is summarized in Table 1.</w:t>
      </w:r>
    </w:p>
    <w:p>
      <w:pPr>
        <w:pStyle w:val="BodyText"/>
        <w:spacing w:line="244" w:lineRule="auto"/>
        <w:ind w:left="120" w:right="115" w:firstLine="480"/>
        <w:jc w:val="both"/>
      </w:pPr>
      <w:r>
        <w:rPr/>
        <w:t>Results of serologic tests for hepatitis A, B, and C viruses,</w:t>
      </w:r>
      <w:r>
        <w:rPr>
          <w:spacing w:val="7"/>
        </w:rPr>
        <w:t> </w:t>
      </w:r>
      <w:r>
        <w:rPr/>
        <w:t>HIV,</w:t>
      </w:r>
      <w:r>
        <w:rPr>
          <w:spacing w:val="8"/>
        </w:rPr>
        <w:t> </w:t>
      </w:r>
      <w:r>
        <w:rPr/>
        <w:t>antimitochondrial</w:t>
      </w:r>
      <w:r>
        <w:rPr>
          <w:spacing w:val="8"/>
        </w:rPr>
        <w:t> </w:t>
      </w:r>
      <w:r>
        <w:rPr/>
        <w:t>and</w:t>
      </w:r>
      <w:r>
        <w:rPr>
          <w:spacing w:val="8"/>
        </w:rPr>
        <w:t> </w:t>
      </w:r>
      <w:r>
        <w:rPr/>
        <w:t>antinuclear</w:t>
      </w:r>
      <w:r>
        <w:rPr>
          <w:spacing w:val="8"/>
        </w:rPr>
        <w:t> </w:t>
      </w:r>
      <w:r>
        <w:rPr>
          <w:spacing w:val="-2"/>
        </w:rPr>
        <w:t>antibod-</w:t>
      </w:r>
    </w:p>
    <w:p>
      <w:pPr>
        <w:spacing w:after="0" w:line="244" w:lineRule="auto"/>
        <w:jc w:val="both"/>
        <w:sectPr>
          <w:type w:val="continuous"/>
          <w:pgSz w:w="12240" w:h="15840"/>
          <w:pgMar w:header="0" w:footer="1008" w:top="920" w:bottom="1200" w:left="1320" w:right="1320"/>
          <w:cols w:num="2" w:equalWidth="0">
            <w:col w:w="4668" w:space="192"/>
            <w:col w:w="4740"/>
          </w:cols>
        </w:sectPr>
      </w:pPr>
    </w:p>
    <w:p>
      <w:pPr>
        <w:pStyle w:val="BodyText"/>
        <w:spacing w:before="73"/>
        <w:ind w:left="569" w:right="569"/>
        <w:jc w:val="center"/>
      </w:pPr>
      <w:r>
        <w:rPr>
          <w:w w:val="115"/>
        </w:rPr>
        <w:t>Table</w:t>
      </w:r>
      <w:r>
        <w:rPr>
          <w:spacing w:val="54"/>
          <w:w w:val="120"/>
        </w:rPr>
        <w:t> </w:t>
      </w:r>
      <w:r>
        <w:rPr>
          <w:spacing w:val="-10"/>
          <w:w w:val="120"/>
        </w:rPr>
        <w:t>1</w:t>
      </w:r>
    </w:p>
    <w:p>
      <w:pPr>
        <w:pStyle w:val="BodyText"/>
        <w:spacing w:before="65" w:after="19"/>
        <w:ind w:left="578" w:right="565"/>
        <w:jc w:val="center"/>
      </w:pPr>
      <w:r>
        <w:rPr>
          <w:spacing w:val="11"/>
          <w:w w:val="105"/>
        </w:rPr>
        <w:t>Progress</w:t>
      </w:r>
      <w:r>
        <w:rPr>
          <w:spacing w:val="52"/>
          <w:w w:val="105"/>
        </w:rPr>
        <w:t> </w:t>
      </w:r>
      <w:r>
        <w:rPr>
          <w:w w:val="105"/>
        </w:rPr>
        <w:t>of</w:t>
      </w:r>
      <w:r>
        <w:rPr>
          <w:spacing w:val="53"/>
          <w:w w:val="105"/>
        </w:rPr>
        <w:t> </w:t>
      </w:r>
      <w:r>
        <w:rPr>
          <w:spacing w:val="10"/>
          <w:w w:val="105"/>
        </w:rPr>
        <w:t>liver</w:t>
      </w:r>
      <w:r>
        <w:rPr>
          <w:spacing w:val="52"/>
          <w:w w:val="105"/>
        </w:rPr>
        <w:t> </w:t>
      </w:r>
      <w:r>
        <w:rPr>
          <w:spacing w:val="11"/>
          <w:w w:val="105"/>
        </w:rPr>
        <w:t>function</w:t>
      </w:r>
      <w:r>
        <w:rPr>
          <w:spacing w:val="53"/>
          <w:w w:val="105"/>
        </w:rPr>
        <w:t> </w:t>
      </w:r>
      <w:r>
        <w:rPr>
          <w:spacing w:val="9"/>
          <w:w w:val="105"/>
        </w:rPr>
        <w:t>test</w:t>
      </w:r>
      <w:r>
        <w:rPr>
          <w:spacing w:val="53"/>
          <w:w w:val="105"/>
        </w:rPr>
        <w:t> </w:t>
      </w:r>
      <w:r>
        <w:rPr>
          <w:spacing w:val="11"/>
          <w:w w:val="105"/>
        </w:rPr>
        <w:t>results</w:t>
      </w:r>
      <w:r>
        <w:rPr>
          <w:spacing w:val="52"/>
          <w:w w:val="105"/>
        </w:rPr>
        <w:t> </w:t>
      </w:r>
      <w:r>
        <w:rPr>
          <w:spacing w:val="11"/>
          <w:w w:val="105"/>
        </w:rPr>
        <w:t>following</w:t>
      </w:r>
      <w:r>
        <w:rPr>
          <w:spacing w:val="53"/>
          <w:w w:val="105"/>
        </w:rPr>
        <w:t> </w:t>
      </w:r>
      <w:r>
        <w:rPr>
          <w:spacing w:val="11"/>
          <w:w w:val="105"/>
        </w:rPr>
        <w:t>pimozide</w:t>
      </w:r>
      <w:r>
        <w:rPr>
          <w:spacing w:val="53"/>
          <w:w w:val="105"/>
        </w:rPr>
        <w:t> </w:t>
      </w:r>
      <w:r>
        <w:rPr>
          <w:spacing w:val="11"/>
          <w:w w:val="105"/>
        </w:rPr>
        <w:t>initiation</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0"/>
        <w:gridCol w:w="1500"/>
        <w:gridCol w:w="1519"/>
        <w:gridCol w:w="1661"/>
        <w:gridCol w:w="1551"/>
      </w:tblGrid>
      <w:tr>
        <w:trPr>
          <w:trHeight w:val="657" w:hRule="atLeast"/>
        </w:trPr>
        <w:tc>
          <w:tcPr>
            <w:tcW w:w="3120" w:type="dxa"/>
          </w:tcPr>
          <w:p>
            <w:pPr>
              <w:pStyle w:val="TableParagraph"/>
              <w:spacing w:before="0"/>
              <w:ind w:left="0"/>
              <w:rPr>
                <w:rFonts w:ascii="Times New Roman"/>
                <w:sz w:val="16"/>
              </w:rPr>
            </w:pPr>
          </w:p>
        </w:tc>
        <w:tc>
          <w:tcPr>
            <w:tcW w:w="1500" w:type="dxa"/>
          </w:tcPr>
          <w:p>
            <w:pPr>
              <w:pStyle w:val="TableParagraph"/>
              <w:spacing w:before="162"/>
              <w:ind w:left="179" w:right="239"/>
              <w:jc w:val="center"/>
              <w:rPr>
                <w:rFonts w:ascii="Gill Sans MT"/>
                <w:b/>
                <w:sz w:val="18"/>
              </w:rPr>
            </w:pPr>
            <w:r>
              <w:rPr>
                <w:rFonts w:ascii="Gill Sans MT"/>
                <w:b/>
                <w:spacing w:val="-5"/>
                <w:sz w:val="18"/>
              </w:rPr>
              <w:t>AST</w:t>
            </w:r>
          </w:p>
          <w:p>
            <w:pPr>
              <w:pStyle w:val="TableParagraph"/>
              <w:spacing w:before="9"/>
              <w:ind w:left="185" w:right="239"/>
              <w:jc w:val="center"/>
              <w:rPr>
                <w:rFonts w:ascii="Gill Sans MT"/>
                <w:b/>
                <w:sz w:val="18"/>
              </w:rPr>
            </w:pPr>
            <w:r>
              <w:rPr>
                <w:rFonts w:ascii="Gill Sans MT"/>
                <w:b/>
                <w:sz w:val="18"/>
              </w:rPr>
              <w:t>(10-40</w:t>
            </w:r>
            <w:r>
              <w:rPr>
                <w:rFonts w:ascii="Gill Sans MT"/>
                <w:b/>
                <w:spacing w:val="19"/>
                <w:sz w:val="18"/>
              </w:rPr>
              <w:t> </w:t>
            </w:r>
            <w:r>
              <w:rPr>
                <w:rFonts w:ascii="Gill Sans MT"/>
                <w:b/>
                <w:spacing w:val="-2"/>
                <w:sz w:val="18"/>
              </w:rPr>
              <w:t>UI/L)</w:t>
            </w:r>
          </w:p>
        </w:tc>
        <w:tc>
          <w:tcPr>
            <w:tcW w:w="1519" w:type="dxa"/>
          </w:tcPr>
          <w:p>
            <w:pPr>
              <w:pStyle w:val="TableParagraph"/>
              <w:spacing w:before="162"/>
              <w:ind w:left="241" w:right="201"/>
              <w:jc w:val="center"/>
              <w:rPr>
                <w:rFonts w:ascii="Gill Sans MT"/>
                <w:b/>
                <w:sz w:val="18"/>
              </w:rPr>
            </w:pPr>
            <w:r>
              <w:rPr>
                <w:rFonts w:ascii="Gill Sans MT"/>
                <w:b/>
                <w:spacing w:val="-5"/>
                <w:w w:val="95"/>
                <w:sz w:val="18"/>
              </w:rPr>
              <w:t>ALT</w:t>
            </w:r>
          </w:p>
          <w:p>
            <w:pPr>
              <w:pStyle w:val="TableParagraph"/>
              <w:spacing w:before="9"/>
              <w:ind w:left="241" w:right="202"/>
              <w:jc w:val="center"/>
              <w:rPr>
                <w:rFonts w:ascii="Gill Sans MT"/>
                <w:b/>
                <w:sz w:val="18"/>
              </w:rPr>
            </w:pPr>
            <w:r>
              <w:rPr>
                <w:rFonts w:ascii="Gill Sans MT"/>
                <w:b/>
                <w:sz w:val="18"/>
              </w:rPr>
              <w:t>(20-50</w:t>
            </w:r>
            <w:r>
              <w:rPr>
                <w:rFonts w:ascii="Gill Sans MT"/>
                <w:b/>
                <w:spacing w:val="19"/>
                <w:sz w:val="18"/>
              </w:rPr>
              <w:t> </w:t>
            </w:r>
            <w:r>
              <w:rPr>
                <w:rFonts w:ascii="Gill Sans MT"/>
                <w:b/>
                <w:spacing w:val="-2"/>
                <w:sz w:val="18"/>
              </w:rPr>
              <w:t>UI/L)</w:t>
            </w:r>
          </w:p>
        </w:tc>
        <w:tc>
          <w:tcPr>
            <w:tcW w:w="1661" w:type="dxa"/>
          </w:tcPr>
          <w:p>
            <w:pPr>
              <w:pStyle w:val="TableParagraph"/>
              <w:spacing w:before="162"/>
              <w:ind w:left="247" w:right="264"/>
              <w:jc w:val="center"/>
              <w:rPr>
                <w:rFonts w:ascii="Gill Sans MT"/>
                <w:b/>
                <w:sz w:val="18"/>
              </w:rPr>
            </w:pPr>
            <w:r>
              <w:rPr>
                <w:rFonts w:ascii="Gill Sans MT"/>
                <w:b/>
                <w:spacing w:val="-5"/>
                <w:sz w:val="18"/>
              </w:rPr>
              <w:t>TB</w:t>
            </w:r>
          </w:p>
          <w:p>
            <w:pPr>
              <w:pStyle w:val="TableParagraph"/>
              <w:spacing w:before="9"/>
              <w:ind w:left="247" w:right="266"/>
              <w:jc w:val="center"/>
              <w:rPr>
                <w:rFonts w:ascii="Gill Sans MT"/>
                <w:b/>
                <w:sz w:val="18"/>
              </w:rPr>
            </w:pPr>
            <w:r>
              <w:rPr>
                <w:rFonts w:ascii="Gill Sans MT"/>
                <w:b/>
                <w:sz w:val="18"/>
              </w:rPr>
              <w:t>(0.2-1.1 </w:t>
            </w:r>
            <w:r>
              <w:rPr>
                <w:rFonts w:ascii="Gill Sans MT"/>
                <w:b/>
                <w:spacing w:val="-2"/>
                <w:sz w:val="18"/>
              </w:rPr>
              <w:t>g/dL)</w:t>
            </w:r>
          </w:p>
        </w:tc>
        <w:tc>
          <w:tcPr>
            <w:tcW w:w="1551" w:type="dxa"/>
          </w:tcPr>
          <w:p>
            <w:pPr>
              <w:pStyle w:val="TableParagraph"/>
              <w:spacing w:before="162"/>
              <w:ind w:left="250" w:right="122"/>
              <w:jc w:val="center"/>
              <w:rPr>
                <w:rFonts w:ascii="Gill Sans MT"/>
                <w:b/>
                <w:sz w:val="18"/>
              </w:rPr>
            </w:pPr>
            <w:r>
              <w:rPr>
                <w:rFonts w:ascii="Gill Sans MT"/>
                <w:b/>
                <w:spacing w:val="-5"/>
                <w:sz w:val="18"/>
              </w:rPr>
              <w:t>ALP</w:t>
            </w:r>
          </w:p>
          <w:p>
            <w:pPr>
              <w:pStyle w:val="TableParagraph"/>
              <w:spacing w:before="9"/>
              <w:ind w:left="250" w:right="123"/>
              <w:jc w:val="center"/>
              <w:rPr>
                <w:rFonts w:ascii="Gill Sans MT"/>
                <w:b/>
                <w:sz w:val="18"/>
              </w:rPr>
            </w:pPr>
            <w:r>
              <w:rPr>
                <w:rFonts w:ascii="Gill Sans MT"/>
                <w:b/>
                <w:sz w:val="18"/>
              </w:rPr>
              <w:t>(37-147</w:t>
            </w:r>
            <w:r>
              <w:rPr>
                <w:rFonts w:ascii="Gill Sans MT"/>
                <w:b/>
                <w:spacing w:val="23"/>
                <w:sz w:val="18"/>
              </w:rPr>
              <w:t> </w:t>
            </w:r>
            <w:r>
              <w:rPr>
                <w:rFonts w:ascii="Gill Sans MT"/>
                <w:b/>
                <w:spacing w:val="-2"/>
                <w:sz w:val="18"/>
              </w:rPr>
              <w:t>UI/L)</w:t>
            </w:r>
          </w:p>
        </w:tc>
      </w:tr>
      <w:tr>
        <w:trPr>
          <w:trHeight w:val="316" w:hRule="atLeast"/>
        </w:trPr>
        <w:tc>
          <w:tcPr>
            <w:tcW w:w="3120" w:type="dxa"/>
          </w:tcPr>
          <w:p>
            <w:pPr>
              <w:pStyle w:val="TableParagraph"/>
              <w:rPr>
                <w:sz w:val="18"/>
              </w:rPr>
            </w:pPr>
            <w:r>
              <w:rPr>
                <w:sz w:val="18"/>
              </w:rPr>
              <w:t>2</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ind w:left="555"/>
              <w:rPr>
                <w:sz w:val="18"/>
              </w:rPr>
            </w:pPr>
            <w:r>
              <w:rPr>
                <w:spacing w:val="-5"/>
                <w:w w:val="110"/>
                <w:sz w:val="18"/>
              </w:rPr>
              <w:t>155</w:t>
            </w:r>
          </w:p>
        </w:tc>
        <w:tc>
          <w:tcPr>
            <w:tcW w:w="1519" w:type="dxa"/>
          </w:tcPr>
          <w:p>
            <w:pPr>
              <w:pStyle w:val="TableParagraph"/>
              <w:ind w:left="238" w:right="202"/>
              <w:jc w:val="center"/>
              <w:rPr>
                <w:sz w:val="18"/>
              </w:rPr>
            </w:pPr>
            <w:r>
              <w:rPr>
                <w:spacing w:val="-5"/>
                <w:sz w:val="18"/>
              </w:rPr>
              <w:t>322</w:t>
            </w:r>
          </w:p>
        </w:tc>
        <w:tc>
          <w:tcPr>
            <w:tcW w:w="1661" w:type="dxa"/>
          </w:tcPr>
          <w:p>
            <w:pPr>
              <w:pStyle w:val="TableParagraph"/>
              <w:ind w:left="636"/>
              <w:rPr>
                <w:sz w:val="18"/>
              </w:rPr>
            </w:pPr>
            <w:r>
              <w:rPr>
                <w:spacing w:val="-4"/>
                <w:sz w:val="18"/>
              </w:rPr>
              <w:t>5.82</w:t>
            </w:r>
          </w:p>
        </w:tc>
        <w:tc>
          <w:tcPr>
            <w:tcW w:w="1551" w:type="dxa"/>
          </w:tcPr>
          <w:p>
            <w:pPr>
              <w:pStyle w:val="TableParagraph"/>
              <w:ind w:left="249" w:right="123"/>
              <w:jc w:val="center"/>
              <w:rPr>
                <w:sz w:val="18"/>
              </w:rPr>
            </w:pPr>
            <w:r>
              <w:rPr>
                <w:spacing w:val="-5"/>
                <w:sz w:val="18"/>
              </w:rPr>
              <w:t>297</w:t>
            </w:r>
          </w:p>
        </w:tc>
      </w:tr>
      <w:tr>
        <w:trPr>
          <w:trHeight w:val="318" w:hRule="atLeast"/>
        </w:trPr>
        <w:tc>
          <w:tcPr>
            <w:tcW w:w="3120" w:type="dxa"/>
          </w:tcPr>
          <w:p>
            <w:pPr>
              <w:pStyle w:val="TableParagraph"/>
              <w:rPr>
                <w:sz w:val="18"/>
              </w:rPr>
            </w:pPr>
            <w:r>
              <w:rPr>
                <w:sz w:val="18"/>
              </w:rPr>
              <w:t>3</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ind w:left="555"/>
              <w:rPr>
                <w:sz w:val="18"/>
              </w:rPr>
            </w:pPr>
            <w:r>
              <w:rPr>
                <w:spacing w:val="-5"/>
                <w:w w:val="125"/>
                <w:sz w:val="18"/>
              </w:rPr>
              <w:t>151</w:t>
            </w:r>
          </w:p>
        </w:tc>
        <w:tc>
          <w:tcPr>
            <w:tcW w:w="1519" w:type="dxa"/>
          </w:tcPr>
          <w:p>
            <w:pPr>
              <w:pStyle w:val="TableParagraph"/>
              <w:ind w:left="238" w:right="202"/>
              <w:jc w:val="center"/>
              <w:rPr>
                <w:sz w:val="18"/>
              </w:rPr>
            </w:pPr>
            <w:r>
              <w:rPr>
                <w:spacing w:val="-5"/>
                <w:sz w:val="18"/>
              </w:rPr>
              <w:t>320</w:t>
            </w:r>
          </w:p>
        </w:tc>
        <w:tc>
          <w:tcPr>
            <w:tcW w:w="1661" w:type="dxa"/>
          </w:tcPr>
          <w:p>
            <w:pPr>
              <w:pStyle w:val="TableParagraph"/>
              <w:ind w:left="636"/>
              <w:rPr>
                <w:sz w:val="18"/>
              </w:rPr>
            </w:pPr>
            <w:r>
              <w:rPr>
                <w:spacing w:val="-4"/>
                <w:sz w:val="18"/>
              </w:rPr>
              <w:t>6.69</w:t>
            </w:r>
          </w:p>
        </w:tc>
        <w:tc>
          <w:tcPr>
            <w:tcW w:w="1551" w:type="dxa"/>
          </w:tcPr>
          <w:p>
            <w:pPr>
              <w:pStyle w:val="TableParagraph"/>
              <w:ind w:left="128"/>
              <w:jc w:val="center"/>
              <w:rPr>
                <w:sz w:val="18"/>
              </w:rPr>
            </w:pPr>
            <w:r>
              <w:rPr>
                <w:sz w:val="18"/>
              </w:rPr>
              <w:t>–</w:t>
            </w:r>
          </w:p>
        </w:tc>
      </w:tr>
      <w:tr>
        <w:trPr>
          <w:trHeight w:val="316" w:hRule="atLeast"/>
        </w:trPr>
        <w:tc>
          <w:tcPr>
            <w:tcW w:w="3120" w:type="dxa"/>
          </w:tcPr>
          <w:p>
            <w:pPr>
              <w:pStyle w:val="TableParagraph"/>
              <w:spacing w:before="33"/>
              <w:rPr>
                <w:sz w:val="18"/>
              </w:rPr>
            </w:pPr>
            <w:r>
              <w:rPr>
                <w:sz w:val="18"/>
              </w:rPr>
              <w:t>6</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spacing w:before="33"/>
              <w:ind w:left="555"/>
              <w:rPr>
                <w:sz w:val="18"/>
              </w:rPr>
            </w:pPr>
            <w:r>
              <w:rPr>
                <w:spacing w:val="-5"/>
                <w:sz w:val="18"/>
              </w:rPr>
              <w:t>200</w:t>
            </w:r>
          </w:p>
        </w:tc>
        <w:tc>
          <w:tcPr>
            <w:tcW w:w="1519" w:type="dxa"/>
          </w:tcPr>
          <w:p>
            <w:pPr>
              <w:pStyle w:val="TableParagraph"/>
              <w:spacing w:before="33"/>
              <w:ind w:left="238" w:right="202"/>
              <w:jc w:val="center"/>
              <w:rPr>
                <w:sz w:val="18"/>
              </w:rPr>
            </w:pPr>
            <w:r>
              <w:rPr>
                <w:spacing w:val="-5"/>
                <w:sz w:val="18"/>
              </w:rPr>
              <w:t>383</w:t>
            </w:r>
          </w:p>
        </w:tc>
        <w:tc>
          <w:tcPr>
            <w:tcW w:w="1661" w:type="dxa"/>
          </w:tcPr>
          <w:p>
            <w:pPr>
              <w:pStyle w:val="TableParagraph"/>
              <w:spacing w:before="33"/>
              <w:ind w:left="636"/>
              <w:rPr>
                <w:sz w:val="18"/>
              </w:rPr>
            </w:pPr>
            <w:r>
              <w:rPr>
                <w:spacing w:val="-4"/>
                <w:sz w:val="18"/>
              </w:rPr>
              <w:t>6.87</w:t>
            </w:r>
          </w:p>
        </w:tc>
        <w:tc>
          <w:tcPr>
            <w:tcW w:w="1551" w:type="dxa"/>
          </w:tcPr>
          <w:p>
            <w:pPr>
              <w:pStyle w:val="TableParagraph"/>
              <w:spacing w:before="33"/>
              <w:ind w:left="249" w:right="123"/>
              <w:jc w:val="center"/>
              <w:rPr>
                <w:sz w:val="18"/>
              </w:rPr>
            </w:pPr>
            <w:r>
              <w:rPr>
                <w:spacing w:val="-5"/>
                <w:w w:val="110"/>
                <w:sz w:val="18"/>
              </w:rPr>
              <w:t>312</w:t>
            </w:r>
          </w:p>
        </w:tc>
      </w:tr>
      <w:tr>
        <w:trPr>
          <w:trHeight w:val="316" w:hRule="atLeast"/>
        </w:trPr>
        <w:tc>
          <w:tcPr>
            <w:tcW w:w="3120" w:type="dxa"/>
          </w:tcPr>
          <w:p>
            <w:pPr>
              <w:pStyle w:val="TableParagraph"/>
              <w:spacing w:before="33"/>
              <w:rPr>
                <w:sz w:val="18"/>
              </w:rPr>
            </w:pPr>
            <w:r>
              <w:rPr>
                <w:sz w:val="18"/>
              </w:rPr>
              <w:t>8</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spacing w:before="33"/>
              <w:ind w:left="555"/>
              <w:rPr>
                <w:sz w:val="18"/>
              </w:rPr>
            </w:pPr>
            <w:r>
              <w:rPr>
                <w:spacing w:val="-5"/>
                <w:w w:val="110"/>
                <w:sz w:val="18"/>
              </w:rPr>
              <w:t>153</w:t>
            </w:r>
          </w:p>
        </w:tc>
        <w:tc>
          <w:tcPr>
            <w:tcW w:w="1519" w:type="dxa"/>
          </w:tcPr>
          <w:p>
            <w:pPr>
              <w:pStyle w:val="TableParagraph"/>
              <w:spacing w:before="33"/>
              <w:ind w:left="238" w:right="202"/>
              <w:jc w:val="center"/>
              <w:rPr>
                <w:sz w:val="18"/>
              </w:rPr>
            </w:pPr>
            <w:r>
              <w:rPr>
                <w:spacing w:val="-5"/>
                <w:sz w:val="18"/>
              </w:rPr>
              <w:t>370</w:t>
            </w:r>
          </w:p>
        </w:tc>
        <w:tc>
          <w:tcPr>
            <w:tcW w:w="1661" w:type="dxa"/>
          </w:tcPr>
          <w:p>
            <w:pPr>
              <w:pStyle w:val="TableParagraph"/>
              <w:spacing w:before="33"/>
              <w:ind w:left="636"/>
              <w:rPr>
                <w:sz w:val="18"/>
              </w:rPr>
            </w:pPr>
            <w:r>
              <w:rPr>
                <w:spacing w:val="-4"/>
                <w:sz w:val="18"/>
              </w:rPr>
              <w:t>4.05</w:t>
            </w:r>
          </w:p>
        </w:tc>
        <w:tc>
          <w:tcPr>
            <w:tcW w:w="1551" w:type="dxa"/>
          </w:tcPr>
          <w:p>
            <w:pPr>
              <w:pStyle w:val="TableParagraph"/>
              <w:spacing w:before="33"/>
              <w:ind w:left="128"/>
              <w:jc w:val="center"/>
              <w:rPr>
                <w:sz w:val="18"/>
              </w:rPr>
            </w:pPr>
            <w:r>
              <w:rPr>
                <w:sz w:val="18"/>
              </w:rPr>
              <w:t>–</w:t>
            </w:r>
          </w:p>
        </w:tc>
      </w:tr>
      <w:tr>
        <w:trPr>
          <w:trHeight w:val="316" w:hRule="atLeast"/>
        </w:trPr>
        <w:tc>
          <w:tcPr>
            <w:tcW w:w="3120" w:type="dxa"/>
          </w:tcPr>
          <w:p>
            <w:pPr>
              <w:pStyle w:val="TableParagraph"/>
              <w:rPr>
                <w:sz w:val="18"/>
              </w:rPr>
            </w:pPr>
            <w:r>
              <w:rPr>
                <w:w w:val="105"/>
                <w:sz w:val="18"/>
              </w:rPr>
              <w:t>13</w:t>
            </w:r>
            <w:r>
              <w:rPr>
                <w:spacing w:val="3"/>
                <w:w w:val="105"/>
                <w:sz w:val="18"/>
              </w:rPr>
              <w:t> </w:t>
            </w:r>
            <w:r>
              <w:rPr>
                <w:w w:val="105"/>
                <w:sz w:val="18"/>
              </w:rPr>
              <w:t>days</w:t>
            </w:r>
            <w:r>
              <w:rPr>
                <w:spacing w:val="3"/>
                <w:w w:val="105"/>
                <w:sz w:val="18"/>
              </w:rPr>
              <w:t> </w:t>
            </w:r>
            <w:r>
              <w:rPr>
                <w:w w:val="105"/>
                <w:sz w:val="18"/>
              </w:rPr>
              <w:t>after</w:t>
            </w:r>
            <w:r>
              <w:rPr>
                <w:spacing w:val="4"/>
                <w:w w:val="105"/>
                <w:sz w:val="18"/>
              </w:rPr>
              <w:t> </w:t>
            </w:r>
            <w:r>
              <w:rPr>
                <w:w w:val="105"/>
                <w:sz w:val="18"/>
              </w:rPr>
              <w:t>pimozide</w:t>
            </w:r>
            <w:r>
              <w:rPr>
                <w:spacing w:val="3"/>
                <w:w w:val="105"/>
                <w:sz w:val="18"/>
              </w:rPr>
              <w:t> </w:t>
            </w:r>
            <w:r>
              <w:rPr>
                <w:spacing w:val="-2"/>
                <w:w w:val="105"/>
                <w:sz w:val="18"/>
              </w:rPr>
              <w:t>initiation</w:t>
            </w:r>
          </w:p>
        </w:tc>
        <w:tc>
          <w:tcPr>
            <w:tcW w:w="1500" w:type="dxa"/>
          </w:tcPr>
          <w:p>
            <w:pPr>
              <w:pStyle w:val="TableParagraph"/>
              <w:ind w:left="608"/>
              <w:rPr>
                <w:sz w:val="18"/>
              </w:rPr>
            </w:pPr>
            <w:r>
              <w:rPr>
                <w:spacing w:val="-5"/>
                <w:sz w:val="18"/>
              </w:rPr>
              <w:t>39</w:t>
            </w:r>
          </w:p>
        </w:tc>
        <w:tc>
          <w:tcPr>
            <w:tcW w:w="1519" w:type="dxa"/>
          </w:tcPr>
          <w:p>
            <w:pPr>
              <w:pStyle w:val="TableParagraph"/>
              <w:ind w:left="238" w:right="202"/>
              <w:jc w:val="center"/>
              <w:rPr>
                <w:sz w:val="18"/>
              </w:rPr>
            </w:pPr>
            <w:r>
              <w:rPr>
                <w:spacing w:val="-5"/>
                <w:w w:val="110"/>
                <w:sz w:val="18"/>
              </w:rPr>
              <w:t>138</w:t>
            </w:r>
          </w:p>
        </w:tc>
        <w:tc>
          <w:tcPr>
            <w:tcW w:w="1661" w:type="dxa"/>
          </w:tcPr>
          <w:p>
            <w:pPr>
              <w:pStyle w:val="TableParagraph"/>
              <w:ind w:left="636"/>
              <w:rPr>
                <w:sz w:val="18"/>
              </w:rPr>
            </w:pPr>
            <w:r>
              <w:rPr>
                <w:spacing w:val="-4"/>
                <w:w w:val="105"/>
                <w:sz w:val="18"/>
              </w:rPr>
              <w:t>2.14</w:t>
            </w:r>
          </w:p>
        </w:tc>
        <w:tc>
          <w:tcPr>
            <w:tcW w:w="1551" w:type="dxa"/>
          </w:tcPr>
          <w:p>
            <w:pPr>
              <w:pStyle w:val="TableParagraph"/>
              <w:ind w:left="128"/>
              <w:jc w:val="center"/>
              <w:rPr>
                <w:sz w:val="18"/>
              </w:rPr>
            </w:pPr>
            <w:r>
              <w:rPr>
                <w:sz w:val="18"/>
              </w:rPr>
              <w:t>–</w:t>
            </w:r>
          </w:p>
        </w:tc>
      </w:tr>
      <w:tr>
        <w:trPr>
          <w:trHeight w:val="318" w:hRule="atLeast"/>
        </w:trPr>
        <w:tc>
          <w:tcPr>
            <w:tcW w:w="3120" w:type="dxa"/>
          </w:tcPr>
          <w:p>
            <w:pPr>
              <w:pStyle w:val="TableParagraph"/>
              <w:rPr>
                <w:sz w:val="18"/>
              </w:rPr>
            </w:pPr>
            <w:r>
              <w:rPr>
                <w:w w:val="105"/>
                <w:sz w:val="18"/>
              </w:rPr>
              <w:t>17</w:t>
            </w:r>
            <w:r>
              <w:rPr>
                <w:spacing w:val="3"/>
                <w:w w:val="105"/>
                <w:sz w:val="18"/>
              </w:rPr>
              <w:t> </w:t>
            </w:r>
            <w:r>
              <w:rPr>
                <w:w w:val="105"/>
                <w:sz w:val="18"/>
              </w:rPr>
              <w:t>days</w:t>
            </w:r>
            <w:r>
              <w:rPr>
                <w:spacing w:val="3"/>
                <w:w w:val="105"/>
                <w:sz w:val="18"/>
              </w:rPr>
              <w:t> </w:t>
            </w:r>
            <w:r>
              <w:rPr>
                <w:w w:val="105"/>
                <w:sz w:val="18"/>
              </w:rPr>
              <w:t>after</w:t>
            </w:r>
            <w:r>
              <w:rPr>
                <w:spacing w:val="4"/>
                <w:w w:val="105"/>
                <w:sz w:val="18"/>
              </w:rPr>
              <w:t> </w:t>
            </w:r>
            <w:r>
              <w:rPr>
                <w:w w:val="105"/>
                <w:sz w:val="18"/>
              </w:rPr>
              <w:t>pimozide</w:t>
            </w:r>
            <w:r>
              <w:rPr>
                <w:spacing w:val="3"/>
                <w:w w:val="105"/>
                <w:sz w:val="18"/>
              </w:rPr>
              <w:t> </w:t>
            </w:r>
            <w:r>
              <w:rPr>
                <w:spacing w:val="-2"/>
                <w:w w:val="105"/>
                <w:sz w:val="18"/>
              </w:rPr>
              <w:t>initiation</w:t>
            </w:r>
          </w:p>
        </w:tc>
        <w:tc>
          <w:tcPr>
            <w:tcW w:w="1500" w:type="dxa"/>
          </w:tcPr>
          <w:p>
            <w:pPr>
              <w:pStyle w:val="TableParagraph"/>
              <w:ind w:left="608"/>
              <w:rPr>
                <w:sz w:val="18"/>
              </w:rPr>
            </w:pPr>
            <w:r>
              <w:rPr>
                <w:spacing w:val="-5"/>
                <w:w w:val="115"/>
                <w:sz w:val="18"/>
              </w:rPr>
              <w:t>21</w:t>
            </w:r>
          </w:p>
        </w:tc>
        <w:tc>
          <w:tcPr>
            <w:tcW w:w="1519" w:type="dxa"/>
          </w:tcPr>
          <w:p>
            <w:pPr>
              <w:pStyle w:val="TableParagraph"/>
              <w:ind w:left="238" w:right="202"/>
              <w:jc w:val="center"/>
              <w:rPr>
                <w:sz w:val="18"/>
              </w:rPr>
            </w:pPr>
            <w:r>
              <w:rPr>
                <w:spacing w:val="-5"/>
                <w:w w:val="115"/>
                <w:sz w:val="18"/>
              </w:rPr>
              <w:t>61</w:t>
            </w:r>
          </w:p>
        </w:tc>
        <w:tc>
          <w:tcPr>
            <w:tcW w:w="1661" w:type="dxa"/>
          </w:tcPr>
          <w:p>
            <w:pPr>
              <w:pStyle w:val="TableParagraph"/>
              <w:ind w:left="687"/>
              <w:rPr>
                <w:sz w:val="18"/>
              </w:rPr>
            </w:pPr>
            <w:r>
              <w:rPr>
                <w:spacing w:val="-5"/>
                <w:w w:val="110"/>
                <w:sz w:val="18"/>
              </w:rPr>
              <w:t>1.5</w:t>
            </w:r>
          </w:p>
        </w:tc>
        <w:tc>
          <w:tcPr>
            <w:tcW w:w="1551" w:type="dxa"/>
          </w:tcPr>
          <w:p>
            <w:pPr>
              <w:pStyle w:val="TableParagraph"/>
              <w:ind w:left="247" w:right="123"/>
              <w:jc w:val="center"/>
              <w:rPr>
                <w:sz w:val="18"/>
              </w:rPr>
            </w:pPr>
            <w:r>
              <w:rPr>
                <w:spacing w:val="-5"/>
                <w:w w:val="110"/>
                <w:sz w:val="18"/>
              </w:rPr>
              <w:t>183</w:t>
            </w:r>
          </w:p>
        </w:tc>
      </w:tr>
      <w:tr>
        <w:trPr>
          <w:trHeight w:val="360" w:hRule="atLeast"/>
        </w:trPr>
        <w:tc>
          <w:tcPr>
            <w:tcW w:w="3120" w:type="dxa"/>
          </w:tcPr>
          <w:p>
            <w:pPr>
              <w:pStyle w:val="TableParagraph"/>
              <w:spacing w:before="33"/>
              <w:rPr>
                <w:sz w:val="18"/>
              </w:rPr>
            </w:pPr>
            <w:r>
              <w:rPr>
                <w:sz w:val="18"/>
              </w:rPr>
              <w:t>27</w:t>
            </w:r>
            <w:r>
              <w:rPr>
                <w:spacing w:val="18"/>
                <w:sz w:val="18"/>
              </w:rPr>
              <w:t> </w:t>
            </w:r>
            <w:r>
              <w:rPr>
                <w:sz w:val="18"/>
              </w:rPr>
              <w:t>days</w:t>
            </w:r>
            <w:r>
              <w:rPr>
                <w:spacing w:val="18"/>
                <w:sz w:val="18"/>
              </w:rPr>
              <w:t> </w:t>
            </w:r>
            <w:r>
              <w:rPr>
                <w:sz w:val="18"/>
              </w:rPr>
              <w:t>after</w:t>
            </w:r>
            <w:r>
              <w:rPr>
                <w:spacing w:val="19"/>
                <w:sz w:val="18"/>
              </w:rPr>
              <w:t> </w:t>
            </w:r>
            <w:r>
              <w:rPr>
                <w:sz w:val="18"/>
              </w:rPr>
              <w:t>pimozide</w:t>
            </w:r>
            <w:r>
              <w:rPr>
                <w:spacing w:val="18"/>
                <w:sz w:val="18"/>
              </w:rPr>
              <w:t> </w:t>
            </w:r>
            <w:r>
              <w:rPr>
                <w:spacing w:val="-2"/>
                <w:sz w:val="18"/>
              </w:rPr>
              <w:t>initiation</w:t>
            </w:r>
          </w:p>
        </w:tc>
        <w:tc>
          <w:tcPr>
            <w:tcW w:w="1500" w:type="dxa"/>
          </w:tcPr>
          <w:p>
            <w:pPr>
              <w:pStyle w:val="TableParagraph"/>
              <w:spacing w:before="33"/>
              <w:ind w:left="608"/>
              <w:rPr>
                <w:sz w:val="18"/>
              </w:rPr>
            </w:pPr>
            <w:r>
              <w:rPr>
                <w:spacing w:val="-5"/>
                <w:sz w:val="18"/>
              </w:rPr>
              <w:t>26</w:t>
            </w:r>
          </w:p>
        </w:tc>
        <w:tc>
          <w:tcPr>
            <w:tcW w:w="1519" w:type="dxa"/>
          </w:tcPr>
          <w:p>
            <w:pPr>
              <w:pStyle w:val="TableParagraph"/>
              <w:spacing w:before="33"/>
              <w:ind w:left="238" w:right="202"/>
              <w:jc w:val="center"/>
              <w:rPr>
                <w:sz w:val="18"/>
              </w:rPr>
            </w:pPr>
            <w:r>
              <w:rPr>
                <w:spacing w:val="-5"/>
                <w:sz w:val="18"/>
              </w:rPr>
              <w:t>22</w:t>
            </w:r>
          </w:p>
        </w:tc>
        <w:tc>
          <w:tcPr>
            <w:tcW w:w="1661" w:type="dxa"/>
          </w:tcPr>
          <w:p>
            <w:pPr>
              <w:pStyle w:val="TableParagraph"/>
              <w:spacing w:before="33"/>
              <w:ind w:left="636"/>
              <w:rPr>
                <w:sz w:val="18"/>
              </w:rPr>
            </w:pPr>
            <w:r>
              <w:rPr>
                <w:spacing w:val="-4"/>
                <w:w w:val="105"/>
                <w:sz w:val="18"/>
              </w:rPr>
              <w:t>1.68</w:t>
            </w:r>
          </w:p>
        </w:tc>
        <w:tc>
          <w:tcPr>
            <w:tcW w:w="1551" w:type="dxa"/>
          </w:tcPr>
          <w:p>
            <w:pPr>
              <w:pStyle w:val="TableParagraph"/>
              <w:spacing w:before="33"/>
              <w:ind w:left="249" w:right="123"/>
              <w:jc w:val="center"/>
              <w:rPr>
                <w:sz w:val="18"/>
              </w:rPr>
            </w:pPr>
            <w:r>
              <w:rPr>
                <w:spacing w:val="-5"/>
                <w:sz w:val="18"/>
              </w:rPr>
              <w:t>94</w:t>
            </w:r>
          </w:p>
        </w:tc>
      </w:tr>
    </w:tbl>
    <w:p>
      <w:pPr>
        <w:pStyle w:val="BodyText"/>
        <w:spacing w:line="242" w:lineRule="auto" w:before="67"/>
        <w:ind w:left="240"/>
      </w:pPr>
      <w:r>
        <w:rPr>
          <w:w w:val="105"/>
        </w:rPr>
        <w:t>AST:</w:t>
      </w:r>
      <w:r>
        <w:rPr>
          <w:spacing w:val="-13"/>
          <w:w w:val="105"/>
        </w:rPr>
        <w:t> </w:t>
      </w:r>
      <w:r>
        <w:rPr>
          <w:w w:val="105"/>
        </w:rPr>
        <w:t>Aspartate</w:t>
      </w:r>
      <w:r>
        <w:rPr>
          <w:spacing w:val="-13"/>
          <w:w w:val="105"/>
        </w:rPr>
        <w:t> </w:t>
      </w:r>
      <w:r>
        <w:rPr>
          <w:w w:val="105"/>
        </w:rPr>
        <w:t>aminotransferase;</w:t>
      </w:r>
      <w:r>
        <w:rPr>
          <w:spacing w:val="-13"/>
          <w:w w:val="105"/>
        </w:rPr>
        <w:t> </w:t>
      </w:r>
      <w:r>
        <w:rPr>
          <w:w w:val="105"/>
        </w:rPr>
        <w:t>ALT:</w:t>
      </w:r>
      <w:r>
        <w:rPr>
          <w:spacing w:val="-13"/>
          <w:w w:val="105"/>
        </w:rPr>
        <w:t> </w:t>
      </w:r>
      <w:r>
        <w:rPr>
          <w:w w:val="105"/>
        </w:rPr>
        <w:t>Alanine</w:t>
      </w:r>
      <w:r>
        <w:rPr>
          <w:spacing w:val="-13"/>
          <w:w w:val="105"/>
        </w:rPr>
        <w:t> </w:t>
      </w:r>
      <w:r>
        <w:rPr>
          <w:w w:val="105"/>
        </w:rPr>
        <w:t>aminotransferase;</w:t>
      </w:r>
      <w:r>
        <w:rPr>
          <w:spacing w:val="-13"/>
          <w:w w:val="105"/>
        </w:rPr>
        <w:t> </w:t>
      </w:r>
      <w:r>
        <w:rPr>
          <w:w w:val="105"/>
        </w:rPr>
        <w:t>TB:</w:t>
      </w:r>
      <w:r>
        <w:rPr>
          <w:spacing w:val="-13"/>
          <w:w w:val="105"/>
        </w:rPr>
        <w:t> </w:t>
      </w:r>
      <w:r>
        <w:rPr>
          <w:w w:val="105"/>
        </w:rPr>
        <w:t>Total</w:t>
      </w:r>
      <w:r>
        <w:rPr>
          <w:spacing w:val="-13"/>
          <w:w w:val="105"/>
        </w:rPr>
        <w:t> </w:t>
      </w:r>
      <w:r>
        <w:rPr>
          <w:w w:val="105"/>
        </w:rPr>
        <w:t>bilirubin;</w:t>
      </w:r>
      <w:r>
        <w:rPr>
          <w:spacing w:val="-13"/>
          <w:w w:val="105"/>
        </w:rPr>
        <w:t> </w:t>
      </w:r>
      <w:r>
        <w:rPr>
          <w:w w:val="105"/>
        </w:rPr>
        <w:t>ALP:</w:t>
      </w:r>
      <w:r>
        <w:rPr>
          <w:spacing w:val="-13"/>
          <w:w w:val="105"/>
        </w:rPr>
        <w:t> </w:t>
      </w:r>
      <w:r>
        <w:rPr>
          <w:w w:val="105"/>
        </w:rPr>
        <w:t>Alkaline</w:t>
      </w:r>
      <w:r>
        <w:rPr>
          <w:spacing w:val="-13"/>
          <w:w w:val="105"/>
        </w:rPr>
        <w:t> </w:t>
      </w:r>
      <w:r>
        <w:rPr>
          <w:w w:val="105"/>
        </w:rPr>
        <w:t>phosphatase. Normal range of transaminases are given in parenthesis</w:t>
      </w:r>
    </w:p>
    <w:p>
      <w:pPr>
        <w:pStyle w:val="BodyText"/>
        <w:spacing w:before="2"/>
        <w:rPr>
          <w:sz w:val="16"/>
        </w:rPr>
      </w:pPr>
    </w:p>
    <w:p>
      <w:pPr>
        <w:spacing w:after="0"/>
        <w:rPr>
          <w:sz w:val="16"/>
        </w:rPr>
        <w:sectPr>
          <w:pgSz w:w="12240" w:h="15840"/>
          <w:pgMar w:header="0" w:footer="1008" w:top="1340" w:bottom="1200" w:left="1320" w:right="1320"/>
        </w:sectPr>
      </w:pPr>
    </w:p>
    <w:p>
      <w:pPr>
        <w:pStyle w:val="BodyText"/>
        <w:spacing w:line="244" w:lineRule="auto" w:before="100"/>
        <w:ind w:left="120" w:right="38"/>
        <w:jc w:val="both"/>
      </w:pPr>
      <w:r>
        <w:rPr/>
        <w:t>ies were negative. Hepatobiliary ultrasonography and pelvic MRI were performed and no abnormality was de- tected. Jaundice began to resolve at the third week of hepatitis. The patient was regularly monitored by gas- troenterology department and they concluded that the patient</w:t>
      </w:r>
      <w:r>
        <w:rPr>
          <w:spacing w:val="40"/>
        </w:rPr>
        <w:t> </w:t>
      </w:r>
      <w:r>
        <w:rPr/>
        <w:t>had</w:t>
      </w:r>
      <w:r>
        <w:rPr>
          <w:spacing w:val="40"/>
        </w:rPr>
        <w:t> </w:t>
      </w:r>
      <w:r>
        <w:rPr/>
        <w:t>a</w:t>
      </w:r>
      <w:r>
        <w:rPr>
          <w:spacing w:val="40"/>
        </w:rPr>
        <w:t> </w:t>
      </w:r>
      <w:r>
        <w:rPr/>
        <w:t>drug</w:t>
      </w:r>
      <w:r>
        <w:rPr>
          <w:spacing w:val="40"/>
        </w:rPr>
        <w:t> </w:t>
      </w:r>
      <w:r>
        <w:rPr/>
        <w:t>induced</w:t>
      </w:r>
      <w:r>
        <w:rPr>
          <w:spacing w:val="40"/>
        </w:rPr>
        <w:t> </w:t>
      </w:r>
      <w:r>
        <w:rPr/>
        <w:t>cholestatic</w:t>
      </w:r>
      <w:r>
        <w:rPr>
          <w:spacing w:val="40"/>
        </w:rPr>
        <w:t> </w:t>
      </w:r>
      <w:r>
        <w:rPr/>
        <w:t>hepatitis.</w:t>
      </w:r>
    </w:p>
    <w:p>
      <w:pPr>
        <w:pStyle w:val="BodyText"/>
        <w:spacing w:line="244" w:lineRule="auto" w:before="120"/>
        <w:ind w:left="120" w:right="39" w:firstLine="480"/>
        <w:jc w:val="both"/>
      </w:pPr>
      <w:r>
        <w:rPr/>
        <w:t>Personal medical history of the patient revealed</w:t>
      </w:r>
      <w:r>
        <w:rPr>
          <w:spacing w:val="80"/>
        </w:rPr>
        <w:t> </w:t>
      </w:r>
      <w:r>
        <w:rPr/>
        <w:t>no previous liver disease or any infectious disease that may be harmful to liver, no alcohol or substance use, no previous psychotropic medication or psychiatric disor- der. Patient was discharged on sertraline 50 mg/day </w:t>
      </w:r>
      <w:r>
        <w:rPr>
          <w:spacing w:val="-2"/>
        </w:rPr>
        <w:t>medication</w:t>
      </w:r>
      <w:r>
        <w:rPr>
          <w:spacing w:val="-5"/>
        </w:rPr>
        <w:t> </w:t>
      </w:r>
      <w:r>
        <w:rPr>
          <w:spacing w:val="-2"/>
        </w:rPr>
        <w:t>on</w:t>
      </w:r>
      <w:r>
        <w:rPr>
          <w:spacing w:val="-5"/>
        </w:rPr>
        <w:t> </w:t>
      </w:r>
      <w:r>
        <w:rPr>
          <w:spacing w:val="-2"/>
        </w:rPr>
        <w:t>the</w:t>
      </w:r>
      <w:r>
        <w:rPr>
          <w:spacing w:val="-5"/>
        </w:rPr>
        <w:t> </w:t>
      </w:r>
      <w:r>
        <w:rPr>
          <w:spacing w:val="-2"/>
        </w:rPr>
        <w:t>fifty-first</w:t>
      </w:r>
      <w:r>
        <w:rPr>
          <w:spacing w:val="-5"/>
        </w:rPr>
        <w:t> </w:t>
      </w:r>
      <w:r>
        <w:rPr>
          <w:spacing w:val="-2"/>
        </w:rPr>
        <w:t>day</w:t>
      </w:r>
      <w:r>
        <w:rPr>
          <w:spacing w:val="-5"/>
        </w:rPr>
        <w:t> </w:t>
      </w:r>
      <w:r>
        <w:rPr>
          <w:spacing w:val="-2"/>
        </w:rPr>
        <w:t>of</w:t>
      </w:r>
      <w:r>
        <w:rPr>
          <w:spacing w:val="-5"/>
        </w:rPr>
        <w:t> </w:t>
      </w:r>
      <w:r>
        <w:rPr>
          <w:spacing w:val="-2"/>
        </w:rPr>
        <w:t>her</w:t>
      </w:r>
      <w:r>
        <w:rPr>
          <w:spacing w:val="-5"/>
        </w:rPr>
        <w:t> </w:t>
      </w:r>
      <w:r>
        <w:rPr>
          <w:spacing w:val="-2"/>
        </w:rPr>
        <w:t>hospitalization</w:t>
      </w:r>
      <w:r>
        <w:rPr>
          <w:spacing w:val="-5"/>
        </w:rPr>
        <w:t> </w:t>
      </w:r>
      <w:r>
        <w:rPr>
          <w:spacing w:val="-2"/>
        </w:rPr>
        <w:t>with </w:t>
      </w:r>
      <w:r>
        <w:rPr/>
        <w:t>partial remission. Patient gave documented informed consent for the publication of her data.</w:t>
      </w:r>
    </w:p>
    <w:p>
      <w:pPr>
        <w:pStyle w:val="Heading1"/>
        <w:spacing w:before="173"/>
        <w:ind w:left="120"/>
      </w:pPr>
      <w:r>
        <w:rPr>
          <w:spacing w:val="13"/>
          <w:w w:val="110"/>
        </w:rPr>
        <w:t>DISCUSSION</w:t>
      </w:r>
    </w:p>
    <w:p>
      <w:pPr>
        <w:pStyle w:val="BodyText"/>
        <w:spacing w:line="244" w:lineRule="auto" w:before="128"/>
        <w:ind w:left="119" w:right="38" w:firstLine="480"/>
        <w:jc w:val="both"/>
      </w:pPr>
      <w:r>
        <w:rPr>
          <w:w w:val="105"/>
        </w:rPr>
        <w:t>The</w:t>
      </w:r>
      <w:r>
        <w:rPr>
          <w:spacing w:val="-1"/>
          <w:w w:val="105"/>
        </w:rPr>
        <w:t> </w:t>
      </w:r>
      <w:r>
        <w:rPr>
          <w:w w:val="105"/>
        </w:rPr>
        <w:t>diagnosis</w:t>
      </w:r>
      <w:r>
        <w:rPr>
          <w:spacing w:val="-1"/>
          <w:w w:val="105"/>
        </w:rPr>
        <w:t> </w:t>
      </w:r>
      <w:r>
        <w:rPr>
          <w:w w:val="105"/>
        </w:rPr>
        <w:t>of</w:t>
      </w:r>
      <w:r>
        <w:rPr>
          <w:spacing w:val="-1"/>
          <w:w w:val="105"/>
        </w:rPr>
        <w:t> </w:t>
      </w:r>
      <w:r>
        <w:rPr>
          <w:w w:val="105"/>
        </w:rPr>
        <w:t>drug</w:t>
      </w:r>
      <w:r>
        <w:rPr>
          <w:spacing w:val="-1"/>
          <w:w w:val="105"/>
        </w:rPr>
        <w:t> </w:t>
      </w:r>
      <w:r>
        <w:rPr>
          <w:w w:val="105"/>
        </w:rPr>
        <w:t>induced</w:t>
      </w:r>
      <w:r>
        <w:rPr>
          <w:spacing w:val="-1"/>
          <w:w w:val="105"/>
        </w:rPr>
        <w:t> </w:t>
      </w:r>
      <w:r>
        <w:rPr>
          <w:w w:val="105"/>
        </w:rPr>
        <w:t>liver</w:t>
      </w:r>
      <w:r>
        <w:rPr>
          <w:spacing w:val="-1"/>
          <w:w w:val="105"/>
        </w:rPr>
        <w:t> </w:t>
      </w:r>
      <w:r>
        <w:rPr>
          <w:w w:val="105"/>
        </w:rPr>
        <w:t>disease</w:t>
      </w:r>
      <w:r>
        <w:rPr>
          <w:spacing w:val="-1"/>
          <w:w w:val="105"/>
        </w:rPr>
        <w:t> </w:t>
      </w:r>
      <w:r>
        <w:rPr>
          <w:w w:val="105"/>
        </w:rPr>
        <w:t>is</w:t>
      </w:r>
      <w:r>
        <w:rPr>
          <w:spacing w:val="-1"/>
          <w:w w:val="105"/>
        </w:rPr>
        <w:t> </w:t>
      </w:r>
      <w:r>
        <w:rPr>
          <w:w w:val="105"/>
        </w:rPr>
        <w:t>de- </w:t>
      </w:r>
      <w:r>
        <w:rPr/>
        <w:t>termined</w:t>
      </w:r>
      <w:r>
        <w:rPr>
          <w:spacing w:val="-9"/>
        </w:rPr>
        <w:t> </w:t>
      </w:r>
      <w:r>
        <w:rPr/>
        <w:t>by</w:t>
      </w:r>
      <w:r>
        <w:rPr>
          <w:spacing w:val="-9"/>
        </w:rPr>
        <w:t> </w:t>
      </w:r>
      <w:r>
        <w:rPr/>
        <w:t>elevation</w:t>
      </w:r>
      <w:r>
        <w:rPr>
          <w:spacing w:val="-9"/>
        </w:rPr>
        <w:t> </w:t>
      </w:r>
      <w:r>
        <w:rPr/>
        <w:t>of</w:t>
      </w:r>
      <w:r>
        <w:rPr>
          <w:spacing w:val="-9"/>
        </w:rPr>
        <w:t> </w:t>
      </w:r>
      <w:r>
        <w:rPr/>
        <w:t>ALT,</w:t>
      </w:r>
      <w:r>
        <w:rPr>
          <w:spacing w:val="-8"/>
        </w:rPr>
        <w:t> </w:t>
      </w:r>
      <w:r>
        <w:rPr/>
        <w:t>AST,</w:t>
      </w:r>
      <w:r>
        <w:rPr>
          <w:spacing w:val="-9"/>
        </w:rPr>
        <w:t> </w:t>
      </w:r>
      <w:r>
        <w:rPr/>
        <w:t>ALP</w:t>
      </w:r>
      <w:r>
        <w:rPr>
          <w:spacing w:val="-9"/>
        </w:rPr>
        <w:t> </w:t>
      </w:r>
      <w:r>
        <w:rPr/>
        <w:t>and</w:t>
      </w:r>
      <w:r>
        <w:rPr>
          <w:spacing w:val="-9"/>
        </w:rPr>
        <w:t> </w:t>
      </w:r>
      <w:r>
        <w:rPr/>
        <w:t>GGT</w:t>
      </w:r>
      <w:r>
        <w:rPr>
          <w:spacing w:val="-9"/>
        </w:rPr>
        <w:t> </w:t>
      </w:r>
      <w:r>
        <w:rPr/>
        <w:t>or</w:t>
      </w:r>
      <w:r>
        <w:rPr>
          <w:spacing w:val="-9"/>
        </w:rPr>
        <w:t> </w:t>
      </w:r>
      <w:r>
        <w:rPr/>
        <w:t>clini- </w:t>
      </w:r>
      <w:r>
        <w:rPr>
          <w:w w:val="105"/>
        </w:rPr>
        <w:t>cal</w:t>
      </w:r>
      <w:r>
        <w:rPr>
          <w:spacing w:val="-4"/>
          <w:w w:val="105"/>
        </w:rPr>
        <w:t> </w:t>
      </w:r>
      <w:r>
        <w:rPr>
          <w:w w:val="105"/>
        </w:rPr>
        <w:t>signs</w:t>
      </w:r>
      <w:r>
        <w:rPr>
          <w:spacing w:val="-4"/>
          <w:w w:val="105"/>
        </w:rPr>
        <w:t> </w:t>
      </w:r>
      <w:r>
        <w:rPr>
          <w:w w:val="105"/>
        </w:rPr>
        <w:t>such</w:t>
      </w:r>
      <w:r>
        <w:rPr>
          <w:spacing w:val="-4"/>
          <w:w w:val="105"/>
        </w:rPr>
        <w:t> </w:t>
      </w:r>
      <w:r>
        <w:rPr>
          <w:w w:val="105"/>
        </w:rPr>
        <w:t>as</w:t>
      </w:r>
      <w:r>
        <w:rPr>
          <w:spacing w:val="-4"/>
          <w:w w:val="105"/>
        </w:rPr>
        <w:t> </w:t>
      </w:r>
      <w:r>
        <w:rPr>
          <w:w w:val="105"/>
        </w:rPr>
        <w:t>hepatitis</w:t>
      </w:r>
      <w:r>
        <w:rPr>
          <w:spacing w:val="-3"/>
          <w:w w:val="105"/>
        </w:rPr>
        <w:t> </w:t>
      </w:r>
      <w:r>
        <w:rPr>
          <w:w w:val="105"/>
        </w:rPr>
        <w:t>and</w:t>
      </w:r>
      <w:r>
        <w:rPr>
          <w:spacing w:val="-4"/>
          <w:w w:val="105"/>
        </w:rPr>
        <w:t> </w:t>
      </w:r>
      <w:r>
        <w:rPr>
          <w:w w:val="105"/>
        </w:rPr>
        <w:t>jaundice</w:t>
      </w:r>
      <w:r>
        <w:rPr>
          <w:spacing w:val="-3"/>
          <w:w w:val="105"/>
        </w:rPr>
        <w:t> </w:t>
      </w:r>
      <w:r>
        <w:rPr>
          <w:w w:val="105"/>
          <w:position w:val="6"/>
          <w:sz w:val="10"/>
        </w:rPr>
        <w:t>3</w:t>
      </w:r>
      <w:r>
        <w:rPr>
          <w:w w:val="105"/>
        </w:rPr>
        <w:t>.</w:t>
      </w:r>
      <w:r>
        <w:rPr>
          <w:spacing w:val="-3"/>
          <w:w w:val="105"/>
        </w:rPr>
        <w:t> </w:t>
      </w:r>
      <w:r>
        <w:rPr>
          <w:w w:val="105"/>
        </w:rPr>
        <w:t>Following</w:t>
      </w:r>
      <w:r>
        <w:rPr>
          <w:spacing w:val="-3"/>
          <w:w w:val="105"/>
        </w:rPr>
        <w:t> </w:t>
      </w:r>
      <w:r>
        <w:rPr>
          <w:w w:val="105"/>
        </w:rPr>
        <w:t>the addition</w:t>
      </w:r>
      <w:r>
        <w:rPr>
          <w:spacing w:val="-8"/>
          <w:w w:val="105"/>
        </w:rPr>
        <w:t> </w:t>
      </w:r>
      <w:r>
        <w:rPr>
          <w:w w:val="105"/>
        </w:rPr>
        <w:t>of</w:t>
      </w:r>
      <w:r>
        <w:rPr>
          <w:spacing w:val="-8"/>
          <w:w w:val="105"/>
        </w:rPr>
        <w:t> </w:t>
      </w:r>
      <w:r>
        <w:rPr>
          <w:w w:val="105"/>
        </w:rPr>
        <w:t>pimozide</w:t>
      </w:r>
      <w:r>
        <w:rPr>
          <w:spacing w:val="-8"/>
          <w:w w:val="105"/>
        </w:rPr>
        <w:t> </w:t>
      </w:r>
      <w:r>
        <w:rPr>
          <w:w w:val="105"/>
        </w:rPr>
        <w:t>to</w:t>
      </w:r>
      <w:r>
        <w:rPr>
          <w:spacing w:val="-8"/>
          <w:w w:val="105"/>
        </w:rPr>
        <w:t> </w:t>
      </w:r>
      <w:r>
        <w:rPr>
          <w:w w:val="105"/>
        </w:rPr>
        <w:t>the</w:t>
      </w:r>
      <w:r>
        <w:rPr>
          <w:spacing w:val="-8"/>
          <w:w w:val="105"/>
        </w:rPr>
        <w:t> </w:t>
      </w:r>
      <w:r>
        <w:rPr>
          <w:w w:val="105"/>
        </w:rPr>
        <w:t>ongoing</w:t>
      </w:r>
      <w:r>
        <w:rPr>
          <w:spacing w:val="-8"/>
          <w:w w:val="105"/>
        </w:rPr>
        <w:t> </w:t>
      </w:r>
      <w:r>
        <w:rPr>
          <w:w w:val="105"/>
        </w:rPr>
        <w:t>therapy,</w:t>
      </w:r>
      <w:r>
        <w:rPr>
          <w:spacing w:val="-8"/>
          <w:w w:val="105"/>
        </w:rPr>
        <w:t> </w:t>
      </w:r>
      <w:r>
        <w:rPr>
          <w:w w:val="105"/>
        </w:rPr>
        <w:t>detected serum liver enzyme elevations and jaundice </w:t>
      </w:r>
      <w:r>
        <w:rPr>
          <w:w w:val="105"/>
        </w:rPr>
        <w:t>confirms hepatotoxicity in this case.</w:t>
      </w:r>
    </w:p>
    <w:p>
      <w:pPr>
        <w:pStyle w:val="BodyText"/>
        <w:spacing w:line="244" w:lineRule="auto" w:before="119"/>
        <w:ind w:left="120" w:right="38" w:firstLine="480"/>
        <w:jc w:val="both"/>
      </w:pPr>
      <w:r>
        <w:rPr/>
        <w:t>Haloperidol</w:t>
      </w:r>
      <w:r>
        <w:rPr>
          <w:position w:val="6"/>
          <w:sz w:val="10"/>
        </w:rPr>
        <w:t>4</w:t>
      </w:r>
      <w:r>
        <w:rPr/>
        <w:t>, risperidone</w:t>
      </w:r>
      <w:r>
        <w:rPr>
          <w:position w:val="6"/>
          <w:sz w:val="10"/>
        </w:rPr>
        <w:t>5</w:t>
      </w:r>
      <w:r>
        <w:rPr>
          <w:spacing w:val="40"/>
          <w:position w:val="6"/>
          <w:sz w:val="10"/>
        </w:rPr>
        <w:t> </w:t>
      </w:r>
      <w:r>
        <w:rPr/>
        <w:t>and chlorpromazine</w:t>
      </w:r>
      <w:r>
        <w:rPr>
          <w:position w:val="6"/>
          <w:sz w:val="10"/>
        </w:rPr>
        <w:t>6</w:t>
      </w:r>
      <w:r>
        <w:rPr>
          <w:spacing w:val="40"/>
          <w:position w:val="6"/>
          <w:sz w:val="10"/>
        </w:rPr>
        <w:t> </w:t>
      </w:r>
      <w:r>
        <w:rPr/>
        <w:t>were associated with cholestatic hepatitis. Though it is hard to clarify by which drug hepatotoxicity is caused, one may presume chlorpromazine or risperidone are usual suspects for the hepatotoxicity. However, in this case, chlorpromazine and risperidone had been stopped and the patient was on pimozide and abrupt presenta- tion of hepatitis two days after pimozide initiation made us think of a pimozide induced cholestatic hepatitis or a drug-drug interaction.</w:t>
      </w:r>
    </w:p>
    <w:p>
      <w:pPr>
        <w:pStyle w:val="BodyText"/>
        <w:spacing w:line="244" w:lineRule="auto"/>
        <w:ind w:left="120" w:right="38" w:firstLine="480"/>
        <w:jc w:val="both"/>
      </w:pPr>
      <w:r>
        <w:rPr>
          <w:w w:val="105"/>
        </w:rPr>
        <w:t>Though there are several reports that have been </w:t>
      </w:r>
      <w:r>
        <w:rPr/>
        <w:t>published involving cholestatic hepatitis associated with several</w:t>
      </w:r>
      <w:r>
        <w:rPr>
          <w:spacing w:val="7"/>
        </w:rPr>
        <w:t> </w:t>
      </w:r>
      <w:r>
        <w:rPr/>
        <w:t>antipsychotics</w:t>
      </w:r>
      <w:r>
        <w:rPr>
          <w:spacing w:val="7"/>
        </w:rPr>
        <w:t> </w:t>
      </w:r>
      <w:r>
        <w:rPr/>
        <w:t>but</w:t>
      </w:r>
      <w:r>
        <w:rPr>
          <w:spacing w:val="8"/>
        </w:rPr>
        <w:t> </w:t>
      </w:r>
      <w:r>
        <w:rPr/>
        <w:t>to</w:t>
      </w:r>
      <w:r>
        <w:rPr>
          <w:spacing w:val="8"/>
        </w:rPr>
        <w:t> </w:t>
      </w:r>
      <w:r>
        <w:rPr/>
        <w:t>the</w:t>
      </w:r>
      <w:r>
        <w:rPr>
          <w:spacing w:val="9"/>
        </w:rPr>
        <w:t> </w:t>
      </w:r>
      <w:r>
        <w:rPr/>
        <w:t>best</w:t>
      </w:r>
      <w:r>
        <w:rPr>
          <w:spacing w:val="8"/>
        </w:rPr>
        <w:t> </w:t>
      </w:r>
      <w:r>
        <w:rPr/>
        <w:t>of</w:t>
      </w:r>
      <w:r>
        <w:rPr>
          <w:spacing w:val="7"/>
        </w:rPr>
        <w:t> </w:t>
      </w:r>
      <w:r>
        <w:rPr/>
        <w:t>our</w:t>
      </w:r>
      <w:r>
        <w:rPr>
          <w:spacing w:val="7"/>
        </w:rPr>
        <w:t> </w:t>
      </w:r>
      <w:r>
        <w:rPr>
          <w:spacing w:val="-2"/>
        </w:rPr>
        <w:t>knowledge,</w:t>
      </w:r>
    </w:p>
    <w:p>
      <w:pPr>
        <w:pStyle w:val="BodyText"/>
        <w:spacing w:line="244" w:lineRule="auto" w:before="100"/>
        <w:ind w:left="120"/>
      </w:pPr>
      <w:r>
        <w:rPr/>
        <w:br w:type="column"/>
      </w:r>
      <w:r>
        <w:rPr/>
        <w:t>cholestatic type of drug induced hepatotoxicity was not reported with pimozide so far.</w:t>
      </w:r>
    </w:p>
    <w:p>
      <w:pPr>
        <w:pStyle w:val="Heading1"/>
        <w:spacing w:before="174"/>
      </w:pPr>
      <w:r>
        <w:rPr>
          <w:spacing w:val="9"/>
        </w:rPr>
        <w:t>CONCLUSION</w:t>
      </w:r>
    </w:p>
    <w:p>
      <w:pPr>
        <w:pStyle w:val="BodyText"/>
        <w:spacing w:line="244" w:lineRule="auto" w:before="188"/>
        <w:ind w:left="119" w:right="112" w:firstLine="480"/>
        <w:jc w:val="both"/>
      </w:pPr>
      <w:r>
        <w:rPr>
          <w:w w:val="105"/>
        </w:rPr>
        <w:t>Early diagnosis of drug induced liver disease and </w:t>
      </w:r>
      <w:r>
        <w:rPr/>
        <w:t>identification of the drug may prevent more severe even </w:t>
      </w:r>
      <w:r>
        <w:rPr>
          <w:w w:val="105"/>
        </w:rPr>
        <w:t>fatal outcomes. Sufficient knowledge of literature with reported cases may help clinicians to clarify the causes of</w:t>
      </w:r>
      <w:r>
        <w:rPr>
          <w:spacing w:val="-13"/>
          <w:w w:val="105"/>
        </w:rPr>
        <w:t> </w:t>
      </w:r>
      <w:r>
        <w:rPr>
          <w:w w:val="105"/>
        </w:rPr>
        <w:t>drug</w:t>
      </w:r>
      <w:r>
        <w:rPr>
          <w:spacing w:val="-13"/>
          <w:w w:val="105"/>
        </w:rPr>
        <w:t> </w:t>
      </w:r>
      <w:r>
        <w:rPr>
          <w:w w:val="105"/>
        </w:rPr>
        <w:t>induced</w:t>
      </w:r>
      <w:r>
        <w:rPr>
          <w:spacing w:val="-13"/>
          <w:w w:val="105"/>
        </w:rPr>
        <w:t> </w:t>
      </w:r>
      <w:r>
        <w:rPr>
          <w:w w:val="105"/>
        </w:rPr>
        <w:t>liver</w:t>
      </w:r>
      <w:r>
        <w:rPr>
          <w:spacing w:val="-13"/>
          <w:w w:val="105"/>
        </w:rPr>
        <w:t> </w:t>
      </w:r>
      <w:r>
        <w:rPr>
          <w:w w:val="105"/>
        </w:rPr>
        <w:t>diseases.</w:t>
      </w:r>
      <w:r>
        <w:rPr>
          <w:spacing w:val="-13"/>
          <w:w w:val="105"/>
        </w:rPr>
        <w:t> </w:t>
      </w:r>
      <w:r>
        <w:rPr>
          <w:w w:val="105"/>
        </w:rPr>
        <w:t>Therefore,</w:t>
      </w:r>
      <w:r>
        <w:rPr>
          <w:spacing w:val="-13"/>
          <w:w w:val="105"/>
        </w:rPr>
        <w:t> </w:t>
      </w:r>
      <w:r>
        <w:rPr>
          <w:w w:val="105"/>
        </w:rPr>
        <w:t>the</w:t>
      </w:r>
      <w:r>
        <w:rPr>
          <w:spacing w:val="-13"/>
          <w:w w:val="105"/>
        </w:rPr>
        <w:t> </w:t>
      </w:r>
      <w:r>
        <w:rPr>
          <w:w w:val="105"/>
        </w:rPr>
        <w:t>possibility of</w:t>
      </w:r>
      <w:r>
        <w:rPr>
          <w:w w:val="105"/>
        </w:rPr>
        <w:t> pimozide-induced</w:t>
      </w:r>
      <w:r>
        <w:rPr>
          <w:w w:val="105"/>
        </w:rPr>
        <w:t> cholestatic</w:t>
      </w:r>
      <w:r>
        <w:rPr>
          <w:w w:val="105"/>
        </w:rPr>
        <w:t> hepatotoxicity</w:t>
      </w:r>
      <w:r>
        <w:rPr>
          <w:w w:val="105"/>
        </w:rPr>
        <w:t> </w:t>
      </w:r>
      <w:r>
        <w:rPr>
          <w:w w:val="105"/>
        </w:rPr>
        <w:t>pre- sented here may help clinicians in this regard.</w:t>
      </w:r>
    </w:p>
    <w:p>
      <w:pPr>
        <w:pStyle w:val="Heading1"/>
        <w:spacing w:before="173"/>
      </w:pPr>
      <w:r>
        <w:rPr>
          <w:spacing w:val="10"/>
          <w:w w:val="115"/>
        </w:rPr>
        <w:t>REFERENCES</w:t>
      </w:r>
    </w:p>
    <w:p>
      <w:pPr>
        <w:pStyle w:val="ListParagraph"/>
        <w:numPr>
          <w:ilvl w:val="0"/>
          <w:numId w:val="1"/>
        </w:numPr>
        <w:tabs>
          <w:tab w:pos="601" w:val="left" w:leader="none"/>
        </w:tabs>
        <w:spacing w:line="235" w:lineRule="auto" w:before="164" w:after="0"/>
        <w:ind w:left="599" w:right="117" w:hanging="480"/>
        <w:jc w:val="both"/>
        <w:rPr>
          <w:sz w:val="17"/>
        </w:rPr>
      </w:pPr>
      <w:r>
        <w:rPr>
          <w:sz w:val="17"/>
        </w:rPr>
        <w:t>Biour</w:t>
      </w:r>
      <w:r>
        <w:rPr>
          <w:spacing w:val="-7"/>
          <w:sz w:val="17"/>
        </w:rPr>
        <w:t> </w:t>
      </w:r>
      <w:r>
        <w:rPr>
          <w:sz w:val="17"/>
        </w:rPr>
        <w:t>M,</w:t>
      </w:r>
      <w:r>
        <w:rPr>
          <w:spacing w:val="-7"/>
          <w:sz w:val="17"/>
        </w:rPr>
        <w:t> </w:t>
      </w:r>
      <w:r>
        <w:rPr>
          <w:sz w:val="17"/>
        </w:rPr>
        <w:t>Poupon</w:t>
      </w:r>
      <w:r>
        <w:rPr>
          <w:spacing w:val="-7"/>
          <w:sz w:val="17"/>
        </w:rPr>
        <w:t> </w:t>
      </w:r>
      <w:r>
        <w:rPr>
          <w:sz w:val="17"/>
        </w:rPr>
        <w:t>R,</w:t>
      </w:r>
      <w:r>
        <w:rPr>
          <w:spacing w:val="-7"/>
          <w:sz w:val="17"/>
        </w:rPr>
        <w:t> </w:t>
      </w:r>
      <w:r>
        <w:rPr>
          <w:sz w:val="17"/>
        </w:rPr>
        <w:t>Grange</w:t>
      </w:r>
      <w:r>
        <w:rPr>
          <w:spacing w:val="-7"/>
          <w:sz w:val="17"/>
        </w:rPr>
        <w:t> </w:t>
      </w:r>
      <w:r>
        <w:rPr>
          <w:sz w:val="17"/>
        </w:rPr>
        <w:t>JD,</w:t>
      </w:r>
      <w:r>
        <w:rPr>
          <w:spacing w:val="-7"/>
          <w:sz w:val="17"/>
        </w:rPr>
        <w:t> </w:t>
      </w:r>
      <w:r>
        <w:rPr>
          <w:sz w:val="17"/>
        </w:rPr>
        <w:t>Chazouilleres</w:t>
      </w:r>
      <w:r>
        <w:rPr>
          <w:spacing w:val="-7"/>
          <w:sz w:val="17"/>
        </w:rPr>
        <w:t> </w:t>
      </w:r>
      <w:r>
        <w:rPr>
          <w:sz w:val="17"/>
        </w:rPr>
        <w:t>O,</w:t>
      </w:r>
      <w:r>
        <w:rPr>
          <w:spacing w:val="-7"/>
          <w:sz w:val="17"/>
        </w:rPr>
        <w:t> </w:t>
      </w:r>
      <w:r>
        <w:rPr>
          <w:sz w:val="17"/>
        </w:rPr>
        <w:t>Levy </w:t>
      </w:r>
      <w:r>
        <w:rPr>
          <w:w w:val="95"/>
          <w:sz w:val="17"/>
        </w:rPr>
        <w:t>VG,</w:t>
      </w:r>
      <w:r>
        <w:rPr>
          <w:spacing w:val="-5"/>
          <w:w w:val="95"/>
          <w:sz w:val="17"/>
        </w:rPr>
        <w:t> </w:t>
      </w:r>
      <w:r>
        <w:rPr>
          <w:w w:val="95"/>
          <w:sz w:val="17"/>
        </w:rPr>
        <w:t>Bodin</w:t>
      </w:r>
      <w:r>
        <w:rPr>
          <w:spacing w:val="-5"/>
          <w:w w:val="95"/>
          <w:sz w:val="17"/>
        </w:rPr>
        <w:t> </w:t>
      </w:r>
      <w:r>
        <w:rPr>
          <w:w w:val="95"/>
          <w:sz w:val="17"/>
        </w:rPr>
        <w:t>F,</w:t>
      </w:r>
      <w:r>
        <w:rPr>
          <w:spacing w:val="-5"/>
          <w:w w:val="95"/>
          <w:sz w:val="17"/>
        </w:rPr>
        <w:t> </w:t>
      </w:r>
      <w:r>
        <w:rPr>
          <w:w w:val="95"/>
          <w:sz w:val="17"/>
        </w:rPr>
        <w:t>et</w:t>
      </w:r>
      <w:r>
        <w:rPr>
          <w:spacing w:val="-5"/>
          <w:w w:val="95"/>
          <w:sz w:val="17"/>
        </w:rPr>
        <w:t> </w:t>
      </w:r>
      <w:r>
        <w:rPr>
          <w:w w:val="95"/>
          <w:sz w:val="17"/>
        </w:rPr>
        <w:t>al.</w:t>
      </w:r>
      <w:r>
        <w:rPr>
          <w:spacing w:val="-5"/>
          <w:w w:val="95"/>
          <w:sz w:val="17"/>
        </w:rPr>
        <w:t> </w:t>
      </w:r>
      <w:r>
        <w:rPr>
          <w:w w:val="95"/>
          <w:sz w:val="17"/>
        </w:rPr>
        <w:t>Hepatotoxicity</w:t>
      </w:r>
      <w:r>
        <w:rPr>
          <w:spacing w:val="-5"/>
          <w:w w:val="95"/>
          <w:sz w:val="17"/>
        </w:rPr>
        <w:t> </w:t>
      </w:r>
      <w:r>
        <w:rPr>
          <w:w w:val="95"/>
          <w:sz w:val="17"/>
        </w:rPr>
        <w:t>of</w:t>
      </w:r>
      <w:r>
        <w:rPr>
          <w:spacing w:val="-5"/>
          <w:w w:val="95"/>
          <w:sz w:val="17"/>
        </w:rPr>
        <w:t> </w:t>
      </w:r>
      <w:r>
        <w:rPr>
          <w:w w:val="95"/>
          <w:sz w:val="17"/>
        </w:rPr>
        <w:t>drugs:</w:t>
      </w:r>
      <w:r>
        <w:rPr>
          <w:spacing w:val="-5"/>
          <w:w w:val="95"/>
          <w:sz w:val="17"/>
        </w:rPr>
        <w:t> </w:t>
      </w:r>
      <w:r>
        <w:rPr>
          <w:w w:val="95"/>
          <w:sz w:val="17"/>
        </w:rPr>
        <w:t>9</w:t>
      </w:r>
      <w:r>
        <w:rPr>
          <w:w w:val="95"/>
          <w:position w:val="6"/>
          <w:sz w:val="10"/>
        </w:rPr>
        <w:t>th</w:t>
      </w:r>
      <w:r>
        <w:rPr>
          <w:spacing w:val="15"/>
          <w:position w:val="6"/>
          <w:sz w:val="10"/>
        </w:rPr>
        <w:t> </w:t>
      </w:r>
      <w:r>
        <w:rPr>
          <w:w w:val="95"/>
          <w:sz w:val="17"/>
        </w:rPr>
        <w:t>update</w:t>
      </w:r>
      <w:r>
        <w:rPr>
          <w:spacing w:val="-5"/>
          <w:w w:val="95"/>
          <w:sz w:val="17"/>
        </w:rPr>
        <w:t> </w:t>
      </w:r>
      <w:r>
        <w:rPr>
          <w:w w:val="95"/>
          <w:sz w:val="17"/>
        </w:rPr>
        <w:t>of </w:t>
      </w:r>
      <w:r>
        <w:rPr>
          <w:sz w:val="17"/>
        </w:rPr>
        <w:t>the bibliographic database of hepatic involvements and related drugs. Gastroenterol Clin Biol 1996; 20: </w:t>
      </w:r>
      <w:r>
        <w:rPr>
          <w:spacing w:val="-2"/>
          <w:sz w:val="17"/>
        </w:rPr>
        <w:t>744-79.</w:t>
      </w:r>
    </w:p>
    <w:p>
      <w:pPr>
        <w:pStyle w:val="ListParagraph"/>
        <w:numPr>
          <w:ilvl w:val="0"/>
          <w:numId w:val="1"/>
        </w:numPr>
        <w:tabs>
          <w:tab w:pos="601" w:val="left" w:leader="none"/>
        </w:tabs>
        <w:spacing w:line="235" w:lineRule="auto" w:before="122" w:after="0"/>
        <w:ind w:left="599" w:right="111" w:hanging="480"/>
        <w:jc w:val="both"/>
        <w:rPr>
          <w:sz w:val="17"/>
        </w:rPr>
      </w:pPr>
      <w:r>
        <w:rPr>
          <w:sz w:val="17"/>
        </w:rPr>
        <w:t>American Psychiatric Association. Diagnostic and statistical manual of mental disorders. (4th ed). Washington D.C: American Psychiatric Association, </w:t>
      </w:r>
      <w:r>
        <w:rPr>
          <w:spacing w:val="-2"/>
          <w:sz w:val="17"/>
        </w:rPr>
        <w:t>2000.</w:t>
      </w:r>
    </w:p>
    <w:p>
      <w:pPr>
        <w:pStyle w:val="ListParagraph"/>
        <w:numPr>
          <w:ilvl w:val="0"/>
          <w:numId w:val="1"/>
        </w:numPr>
        <w:tabs>
          <w:tab w:pos="601" w:val="left" w:leader="none"/>
        </w:tabs>
        <w:spacing w:line="235" w:lineRule="auto" w:before="121" w:after="0"/>
        <w:ind w:left="599" w:right="118" w:hanging="480"/>
        <w:jc w:val="both"/>
        <w:rPr>
          <w:sz w:val="17"/>
        </w:rPr>
      </w:pPr>
      <w:r>
        <w:rPr>
          <w:sz w:val="17"/>
        </w:rPr>
        <w:t>Lewis JH. Drug-induced liver disease. Med Clin </w:t>
      </w:r>
      <w:r>
        <w:rPr>
          <w:sz w:val="17"/>
        </w:rPr>
        <w:t>North</w:t>
      </w:r>
      <w:r>
        <w:rPr>
          <w:sz w:val="17"/>
        </w:rPr>
        <w:t> </w:t>
      </w:r>
      <w:r>
        <w:rPr>
          <w:w w:val="105"/>
          <w:sz w:val="17"/>
        </w:rPr>
        <w:t>Am</w:t>
      </w:r>
      <w:r>
        <w:rPr>
          <w:spacing w:val="-9"/>
          <w:w w:val="105"/>
          <w:sz w:val="17"/>
        </w:rPr>
        <w:t> </w:t>
      </w:r>
      <w:r>
        <w:rPr>
          <w:w w:val="105"/>
          <w:sz w:val="17"/>
        </w:rPr>
        <w:t>2000;</w:t>
      </w:r>
      <w:r>
        <w:rPr>
          <w:spacing w:val="-9"/>
          <w:w w:val="105"/>
          <w:sz w:val="17"/>
        </w:rPr>
        <w:t> </w:t>
      </w:r>
      <w:r>
        <w:rPr>
          <w:w w:val="105"/>
          <w:sz w:val="17"/>
        </w:rPr>
        <w:t>84:1275-311.</w:t>
      </w:r>
    </w:p>
    <w:p>
      <w:pPr>
        <w:pStyle w:val="ListParagraph"/>
        <w:numPr>
          <w:ilvl w:val="0"/>
          <w:numId w:val="1"/>
        </w:numPr>
        <w:tabs>
          <w:tab w:pos="601" w:val="left" w:leader="none"/>
        </w:tabs>
        <w:spacing w:line="235" w:lineRule="auto" w:before="121" w:after="0"/>
        <w:ind w:left="599" w:right="117" w:hanging="480"/>
        <w:jc w:val="both"/>
        <w:rPr>
          <w:sz w:val="17"/>
        </w:rPr>
      </w:pPr>
      <w:r>
        <w:rPr>
          <w:spacing w:val="-2"/>
          <w:sz w:val="17"/>
        </w:rPr>
        <w:t>Dincsoy</w:t>
      </w:r>
      <w:r>
        <w:rPr>
          <w:spacing w:val="-9"/>
          <w:sz w:val="17"/>
        </w:rPr>
        <w:t> </w:t>
      </w:r>
      <w:r>
        <w:rPr>
          <w:spacing w:val="-2"/>
          <w:sz w:val="17"/>
        </w:rPr>
        <w:t>HP,</w:t>
      </w:r>
      <w:r>
        <w:rPr>
          <w:spacing w:val="-9"/>
          <w:sz w:val="17"/>
        </w:rPr>
        <w:t> </w:t>
      </w:r>
      <w:r>
        <w:rPr>
          <w:spacing w:val="-2"/>
          <w:sz w:val="17"/>
        </w:rPr>
        <w:t>Saelinger</w:t>
      </w:r>
      <w:r>
        <w:rPr>
          <w:spacing w:val="-9"/>
          <w:sz w:val="17"/>
        </w:rPr>
        <w:t> </w:t>
      </w:r>
      <w:r>
        <w:rPr>
          <w:spacing w:val="-2"/>
          <w:sz w:val="17"/>
        </w:rPr>
        <w:t>DA.</w:t>
      </w:r>
      <w:r>
        <w:rPr>
          <w:spacing w:val="-9"/>
          <w:sz w:val="17"/>
        </w:rPr>
        <w:t> </w:t>
      </w:r>
      <w:r>
        <w:rPr>
          <w:spacing w:val="-2"/>
          <w:sz w:val="17"/>
        </w:rPr>
        <w:t>Haloperidol-induced</w:t>
      </w:r>
      <w:r>
        <w:rPr>
          <w:spacing w:val="-9"/>
          <w:sz w:val="17"/>
        </w:rPr>
        <w:t> </w:t>
      </w:r>
      <w:r>
        <w:rPr>
          <w:spacing w:val="-2"/>
          <w:sz w:val="17"/>
        </w:rPr>
        <w:t>chronic </w:t>
      </w:r>
      <w:r>
        <w:rPr>
          <w:sz w:val="17"/>
        </w:rPr>
        <w:t>cholestatic liver disease. Gastroenterology 1982; 83: </w:t>
      </w:r>
      <w:r>
        <w:rPr>
          <w:spacing w:val="-2"/>
          <w:sz w:val="17"/>
        </w:rPr>
        <w:t>694-700.</w:t>
      </w:r>
    </w:p>
    <w:p>
      <w:pPr>
        <w:pStyle w:val="ListParagraph"/>
        <w:numPr>
          <w:ilvl w:val="0"/>
          <w:numId w:val="1"/>
        </w:numPr>
        <w:tabs>
          <w:tab w:pos="601" w:val="left" w:leader="none"/>
        </w:tabs>
        <w:spacing w:line="235" w:lineRule="auto" w:before="121" w:after="0"/>
        <w:ind w:left="599" w:right="105" w:hanging="480"/>
        <w:jc w:val="both"/>
        <w:rPr>
          <w:sz w:val="17"/>
        </w:rPr>
      </w:pPr>
      <w:r>
        <w:rPr>
          <w:spacing w:val="9"/>
          <w:w w:val="105"/>
          <w:sz w:val="17"/>
        </w:rPr>
        <w:t>Wright</w:t>
      </w:r>
      <w:r>
        <w:rPr>
          <w:spacing w:val="9"/>
          <w:w w:val="105"/>
          <w:sz w:val="17"/>
        </w:rPr>
        <w:t> </w:t>
      </w:r>
      <w:r>
        <w:rPr>
          <w:w w:val="105"/>
          <w:sz w:val="17"/>
        </w:rPr>
        <w:t>TM,</w:t>
      </w:r>
      <w:r>
        <w:rPr>
          <w:w w:val="105"/>
          <w:sz w:val="17"/>
        </w:rPr>
        <w:t> </w:t>
      </w:r>
      <w:r>
        <w:rPr>
          <w:spacing w:val="9"/>
          <w:w w:val="105"/>
          <w:sz w:val="17"/>
        </w:rPr>
        <w:t>Vandenberg</w:t>
      </w:r>
      <w:r>
        <w:rPr>
          <w:spacing w:val="9"/>
          <w:w w:val="105"/>
          <w:sz w:val="17"/>
        </w:rPr>
        <w:t> </w:t>
      </w:r>
      <w:r>
        <w:rPr>
          <w:w w:val="105"/>
          <w:sz w:val="17"/>
        </w:rPr>
        <w:t>AM.</w:t>
      </w:r>
      <w:r>
        <w:rPr>
          <w:w w:val="105"/>
          <w:sz w:val="17"/>
        </w:rPr>
        <w:t> </w:t>
      </w:r>
      <w:r>
        <w:rPr>
          <w:spacing w:val="10"/>
          <w:w w:val="105"/>
          <w:sz w:val="17"/>
        </w:rPr>
        <w:t>Risperidone</w:t>
      </w:r>
      <w:r>
        <w:rPr>
          <w:spacing w:val="10"/>
          <w:w w:val="105"/>
          <w:sz w:val="17"/>
        </w:rPr>
        <w:t> </w:t>
      </w:r>
      <w:r>
        <w:rPr>
          <w:spacing w:val="11"/>
          <w:w w:val="105"/>
          <w:sz w:val="17"/>
        </w:rPr>
        <w:t>and </w:t>
      </w:r>
      <w:r>
        <w:rPr>
          <w:w w:val="105"/>
          <w:sz w:val="17"/>
        </w:rPr>
        <w:t>quetiapine-induced cholestasis. Ann Pharmacother 2007;</w:t>
      </w:r>
      <w:r>
        <w:rPr>
          <w:spacing w:val="-21"/>
          <w:w w:val="105"/>
          <w:sz w:val="17"/>
        </w:rPr>
        <w:t> </w:t>
      </w:r>
      <w:r>
        <w:rPr>
          <w:w w:val="105"/>
          <w:sz w:val="17"/>
        </w:rPr>
        <w:t>41:1518-23.</w:t>
      </w:r>
    </w:p>
    <w:p>
      <w:pPr>
        <w:pStyle w:val="ListParagraph"/>
        <w:numPr>
          <w:ilvl w:val="0"/>
          <w:numId w:val="1"/>
        </w:numPr>
        <w:tabs>
          <w:tab w:pos="601" w:val="left" w:leader="none"/>
        </w:tabs>
        <w:spacing w:line="235" w:lineRule="auto" w:before="121" w:after="0"/>
        <w:ind w:left="599" w:right="117" w:hanging="480"/>
        <w:jc w:val="both"/>
        <w:rPr>
          <w:sz w:val="17"/>
        </w:rPr>
      </w:pPr>
      <w:r>
        <w:rPr>
          <w:w w:val="95"/>
          <w:sz w:val="17"/>
        </w:rPr>
        <w:t>Movitt ER, Meyer MA, Snell AM, Goldman MJ, Gibson </w:t>
      </w:r>
      <w:r>
        <w:rPr>
          <w:sz w:val="17"/>
        </w:rPr>
        <w:t>JR,</w:t>
      </w:r>
      <w:r>
        <w:rPr>
          <w:spacing w:val="-5"/>
          <w:sz w:val="17"/>
        </w:rPr>
        <w:t> </w:t>
      </w:r>
      <w:r>
        <w:rPr>
          <w:sz w:val="17"/>
        </w:rPr>
        <w:t>Sullivan</w:t>
      </w:r>
      <w:r>
        <w:rPr>
          <w:spacing w:val="-5"/>
          <w:sz w:val="17"/>
        </w:rPr>
        <w:t> </w:t>
      </w:r>
      <w:r>
        <w:rPr>
          <w:sz w:val="17"/>
        </w:rPr>
        <w:t>BH,</w:t>
      </w:r>
      <w:r>
        <w:rPr>
          <w:spacing w:val="-5"/>
          <w:sz w:val="17"/>
        </w:rPr>
        <w:t> </w:t>
      </w:r>
      <w:r>
        <w:rPr>
          <w:sz w:val="17"/>
        </w:rPr>
        <w:t>et</w:t>
      </w:r>
      <w:r>
        <w:rPr>
          <w:spacing w:val="-5"/>
          <w:sz w:val="17"/>
        </w:rPr>
        <w:t> </w:t>
      </w:r>
      <w:r>
        <w:rPr>
          <w:sz w:val="17"/>
        </w:rPr>
        <w:t>al.</w:t>
      </w:r>
      <w:r>
        <w:rPr>
          <w:spacing w:val="-5"/>
          <w:sz w:val="17"/>
        </w:rPr>
        <w:t> </w:t>
      </w:r>
      <w:r>
        <w:rPr>
          <w:sz w:val="17"/>
        </w:rPr>
        <w:t>Jaundice</w:t>
      </w:r>
      <w:r>
        <w:rPr>
          <w:spacing w:val="-5"/>
          <w:sz w:val="17"/>
        </w:rPr>
        <w:t> </w:t>
      </w:r>
      <w:r>
        <w:rPr>
          <w:sz w:val="17"/>
        </w:rPr>
        <w:t>associated</w:t>
      </w:r>
      <w:r>
        <w:rPr>
          <w:spacing w:val="-5"/>
          <w:sz w:val="17"/>
        </w:rPr>
        <w:t> </w:t>
      </w:r>
      <w:r>
        <w:rPr>
          <w:sz w:val="17"/>
        </w:rPr>
        <w:t>with</w:t>
      </w:r>
      <w:r>
        <w:rPr>
          <w:spacing w:val="-5"/>
          <w:sz w:val="17"/>
        </w:rPr>
        <w:t> </w:t>
      </w:r>
      <w:r>
        <w:rPr>
          <w:sz w:val="17"/>
        </w:rPr>
        <w:t>the</w:t>
      </w:r>
      <w:r>
        <w:rPr>
          <w:spacing w:val="-5"/>
          <w:sz w:val="17"/>
        </w:rPr>
        <w:t> </w:t>
      </w:r>
      <w:r>
        <w:rPr>
          <w:sz w:val="17"/>
        </w:rPr>
        <w:t>ad- </w:t>
      </w:r>
      <w:r>
        <w:rPr>
          <w:spacing w:val="-4"/>
          <w:sz w:val="17"/>
        </w:rPr>
        <w:t>ministration of chlorpromazine, SKF-2601-A (thorazine); </w:t>
      </w:r>
      <w:r>
        <w:rPr>
          <w:sz w:val="17"/>
        </w:rPr>
        <w:t>report</w:t>
      </w:r>
      <w:r>
        <w:rPr>
          <w:spacing w:val="-9"/>
          <w:sz w:val="17"/>
        </w:rPr>
        <w:t> </w:t>
      </w:r>
      <w:r>
        <w:rPr>
          <w:sz w:val="17"/>
        </w:rPr>
        <w:t>of</w:t>
      </w:r>
      <w:r>
        <w:rPr>
          <w:spacing w:val="-9"/>
          <w:sz w:val="17"/>
        </w:rPr>
        <w:t> </w:t>
      </w:r>
      <w:r>
        <w:rPr>
          <w:sz w:val="17"/>
        </w:rPr>
        <w:t>three</w:t>
      </w:r>
      <w:r>
        <w:rPr>
          <w:spacing w:val="-9"/>
          <w:sz w:val="17"/>
        </w:rPr>
        <w:t> </w:t>
      </w:r>
      <w:r>
        <w:rPr>
          <w:sz w:val="17"/>
        </w:rPr>
        <w:t>cases,</w:t>
      </w:r>
      <w:r>
        <w:rPr>
          <w:spacing w:val="-9"/>
          <w:sz w:val="17"/>
        </w:rPr>
        <w:t> </w:t>
      </w:r>
      <w:r>
        <w:rPr>
          <w:sz w:val="17"/>
        </w:rPr>
        <w:t>with</w:t>
      </w:r>
      <w:r>
        <w:rPr>
          <w:spacing w:val="-9"/>
          <w:sz w:val="17"/>
        </w:rPr>
        <w:t> </w:t>
      </w:r>
      <w:r>
        <w:rPr>
          <w:sz w:val="17"/>
        </w:rPr>
        <w:t>biopsies</w:t>
      </w:r>
      <w:r>
        <w:rPr>
          <w:spacing w:val="-11"/>
          <w:sz w:val="17"/>
        </w:rPr>
        <w:t> </w:t>
      </w:r>
      <w:r>
        <w:rPr>
          <w:sz w:val="17"/>
        </w:rPr>
        <w:t>of</w:t>
      </w:r>
      <w:r>
        <w:rPr>
          <w:spacing w:val="-9"/>
          <w:sz w:val="17"/>
        </w:rPr>
        <w:t> </w:t>
      </w:r>
      <w:r>
        <w:rPr>
          <w:sz w:val="17"/>
        </w:rPr>
        <w:t>the</w:t>
      </w:r>
      <w:r>
        <w:rPr>
          <w:spacing w:val="-9"/>
          <w:sz w:val="17"/>
        </w:rPr>
        <w:t> </w:t>
      </w:r>
      <w:r>
        <w:rPr>
          <w:sz w:val="17"/>
        </w:rPr>
        <w:t>liver.</w:t>
      </w:r>
      <w:r>
        <w:rPr>
          <w:spacing w:val="-9"/>
          <w:sz w:val="17"/>
        </w:rPr>
        <w:t> </w:t>
      </w:r>
      <w:r>
        <w:rPr>
          <w:sz w:val="17"/>
        </w:rPr>
        <w:t>Gastro- enterology 1955; 28: 901-13.</w:t>
      </w:r>
    </w:p>
    <w:sectPr>
      <w:type w:val="continuous"/>
      <w:pgSz w:w="12240" w:h="15840"/>
      <w:pgMar w:header="0" w:footer="1008" w:top="920" w:bottom="1200" w:left="1320" w:right="1320"/>
      <w:cols w:num="2" w:equalWidth="0">
        <w:col w:w="4664" w:space="19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840768" type="#_x0000_t202" id="docshape1" filled="false" stroked="false">
          <v:textbox inset="0,0,0,0">
            <w:txbxContent>
              <w:p>
                <w:pPr>
                  <w:pStyle w:val="BodyText"/>
                  <w:spacing w:before="20"/>
                  <w:ind w:left="60"/>
                </w:pPr>
                <w:r>
                  <w:rPr>
                    <w:spacing w:val="-5"/>
                    <w:w w:val="105"/>
                  </w:rPr>
                  <w:fldChar w:fldCharType="begin"/>
                </w:r>
                <w:r>
                  <w:rPr>
                    <w:spacing w:val="-5"/>
                    <w:w w:val="105"/>
                  </w:rPr>
                  <w:instrText> PAGE </w:instrText>
                </w:r>
                <w:r>
                  <w:rPr>
                    <w:spacing w:val="-5"/>
                    <w:w w:val="105"/>
                  </w:rPr>
                  <w:fldChar w:fldCharType="separate"/>
                </w:r>
                <w:r>
                  <w:rPr>
                    <w:spacing w:val="-5"/>
                    <w:w w:val="105"/>
                  </w:rPr>
                  <w:t>120</w:t>
                </w:r>
                <w:r>
                  <w:rPr>
                    <w:spacing w:val="-5"/>
                    <w:w w:val="105"/>
                  </w:rPr>
                  <w:fldChar w:fldCharType="end"/>
                </w:r>
                <w:r>
                  <w:rPr>
                    <w:spacing w:val="-5"/>
                    <w:w w:val="10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18"/>
    </w:pPr>
    <w:rPr>
      <w:rFonts w:ascii="Maiandra GD" w:hAnsi="Maiandra GD" w:eastAsia="Maiandra GD" w:cs="Maiandra GD"/>
      <w:sz w:val="18"/>
      <w:szCs w:val="18"/>
    </w:rPr>
  </w:style>
  <w:style w:styleId="Heading1" w:type="paragraph">
    <w:name w:val="Heading 1"/>
    <w:basedOn w:val="Normal"/>
    <w:uiPriority w:val="1"/>
    <w:qFormat/>
    <w:pPr>
      <w:spacing w:before="100"/>
      <w:ind w:left="119"/>
      <w:outlineLvl w:val="1"/>
    </w:pPr>
    <w:rPr>
      <w:rFonts w:ascii="Maiandra GD" w:hAnsi="Maiandra GD" w:eastAsia="Maiandra GD" w:cs="Maiandra GD"/>
      <w:sz w:val="20"/>
      <w:szCs w:val="20"/>
    </w:rPr>
  </w:style>
  <w:style w:styleId="Title" w:type="paragraph">
    <w:name w:val="Title"/>
    <w:basedOn w:val="Normal"/>
    <w:uiPriority w:val="1"/>
    <w:qFormat/>
    <w:pPr>
      <w:spacing w:before="101"/>
      <w:ind w:left="578" w:right="569"/>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7" w:hanging="480"/>
      <w:jc w:val="both"/>
    </w:pPr>
    <w:rPr>
      <w:rFonts w:ascii="Maiandra GD" w:hAnsi="Maiandra GD" w:eastAsia="Maiandra GD" w:cs="Maiandra GD"/>
    </w:rPr>
  </w:style>
  <w:style w:styleId="TableParagraph" w:type="paragraph">
    <w:name w:val="Table Paragraph"/>
    <w:basedOn w:val="Normal"/>
    <w:uiPriority w:val="1"/>
    <w:qFormat/>
    <w:pPr>
      <w:spacing w:before="35"/>
      <w:ind w:left="115"/>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aygineker@yahoo.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F10DB3-DF7E-45BD-84F3-62DBD5596457}"/>
</file>

<file path=customXml/itemProps2.xml><?xml version="1.0" encoding="utf-8"?>
<ds:datastoreItem xmlns:ds="http://schemas.openxmlformats.org/officeDocument/2006/customXml" ds:itemID="{F3B9C954-D994-4B05-A442-D63FFC70D23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Case Report-2.pmd</dc:title>
  <dcterms:created xsi:type="dcterms:W3CDTF">2022-07-28T16:28:22Z</dcterms:created>
  <dcterms:modified xsi:type="dcterms:W3CDTF">2022-07-28T16:28:22Z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