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jc w:val="right"/>
      </w:pPr>
      <w:r>
        <w:rPr>
          <w:color w:val="95C11F"/>
          <w:w w:val="95"/>
        </w:rPr>
        <w:t>ORIGINAL</w:t>
      </w:r>
      <w:r>
        <w:rPr>
          <w:color w:val="95C11F"/>
          <w:spacing w:val="-12"/>
          <w:w w:val="95"/>
        </w:rPr>
        <w:t> </w:t>
      </w:r>
      <w:r>
        <w:rPr>
          <w:color w:val="95C11F"/>
          <w:spacing w:val="-2"/>
        </w:rPr>
        <w:t>ARTICLE</w:t>
      </w:r>
    </w:p>
    <w:p>
      <w:pPr>
        <w:pStyle w:val="Title"/>
        <w:spacing w:line="206" w:lineRule="auto" w:before="314"/>
        <w:ind w:left="1624" w:right="214"/>
      </w:pPr>
      <w:r>
        <w:rPr>
          <w:color w:val="231F20"/>
          <w:w w:val="95"/>
        </w:rPr>
        <w:t>PATTERN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CHILD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EMERGENCIES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 CONSULTS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TERTIARY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HOSPITAL,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KARACHI</w:t>
      </w:r>
    </w:p>
    <w:p>
      <w:pPr>
        <w:pStyle w:val="BodyText"/>
        <w:spacing w:before="9"/>
        <w:jc w:val="left"/>
        <w:rPr>
          <w:sz w:val="44"/>
        </w:rPr>
      </w:pPr>
    </w:p>
    <w:p>
      <w:pPr>
        <w:pStyle w:val="Heading1"/>
        <w:spacing w:line="209" w:lineRule="exact"/>
        <w:ind w:left="115"/>
        <w:rPr>
          <w:sz w:val="11"/>
        </w:rPr>
      </w:pPr>
      <w:r>
        <w:rPr>
          <w:color w:val="1D1D1B"/>
          <w:w w:val="90"/>
        </w:rPr>
        <w:t>FAHEEM</w:t>
      </w:r>
      <w:r>
        <w:rPr>
          <w:color w:val="1D1D1B"/>
          <w:spacing w:val="-9"/>
          <w:w w:val="90"/>
        </w:rPr>
        <w:t> </w:t>
      </w:r>
      <w:r>
        <w:rPr>
          <w:color w:val="1D1D1B"/>
          <w:w w:val="90"/>
        </w:rPr>
        <w:t>KHAN</w:t>
      </w:r>
      <w:r>
        <w:rPr>
          <w:color w:val="1D1D1B"/>
          <w:w w:val="90"/>
          <w:position w:val="7"/>
          <w:sz w:val="11"/>
        </w:rPr>
        <w:t>1</w:t>
      </w:r>
      <w:r>
        <w:rPr>
          <w:color w:val="1D1D1B"/>
          <w:w w:val="90"/>
        </w:rPr>
        <w:t>,</w:t>
      </w:r>
      <w:r>
        <w:rPr>
          <w:color w:val="1D1D1B"/>
          <w:spacing w:val="-13"/>
          <w:w w:val="90"/>
        </w:rPr>
        <w:t> </w:t>
      </w:r>
      <w:r>
        <w:rPr>
          <w:color w:val="1D1D1B"/>
          <w:w w:val="90"/>
        </w:rPr>
        <w:t>TAYYAB</w:t>
      </w:r>
      <w:r>
        <w:rPr>
          <w:color w:val="1D1D1B"/>
          <w:spacing w:val="-9"/>
          <w:w w:val="90"/>
        </w:rPr>
        <w:t> </w:t>
      </w:r>
      <w:r>
        <w:rPr>
          <w:color w:val="1D1D1B"/>
          <w:w w:val="90"/>
        </w:rPr>
        <w:t>ARFEEN</w:t>
      </w:r>
      <w:r>
        <w:rPr>
          <w:color w:val="1D1D1B"/>
          <w:w w:val="90"/>
          <w:position w:val="7"/>
          <w:sz w:val="11"/>
        </w:rPr>
        <w:t>2</w:t>
      </w:r>
      <w:r>
        <w:rPr>
          <w:color w:val="1D1D1B"/>
          <w:w w:val="90"/>
        </w:rPr>
        <w:t>,</w:t>
      </w:r>
      <w:r>
        <w:rPr>
          <w:color w:val="1D1D1B"/>
          <w:spacing w:val="-1"/>
          <w:w w:val="90"/>
        </w:rPr>
        <w:t> </w:t>
      </w:r>
      <w:r>
        <w:rPr>
          <w:color w:val="1D1D1B"/>
          <w:w w:val="90"/>
        </w:rPr>
        <w:t>MUKESH</w:t>
      </w:r>
      <w:r>
        <w:rPr>
          <w:color w:val="1D1D1B"/>
          <w:spacing w:val="-1"/>
          <w:w w:val="90"/>
        </w:rPr>
        <w:t> </w:t>
      </w:r>
      <w:r>
        <w:rPr>
          <w:color w:val="1D1D1B"/>
          <w:w w:val="90"/>
        </w:rPr>
        <w:t>BHIMANI</w:t>
      </w:r>
      <w:r>
        <w:rPr>
          <w:color w:val="1D1D1B"/>
          <w:w w:val="90"/>
          <w:position w:val="7"/>
          <w:sz w:val="11"/>
        </w:rPr>
        <w:t>3</w:t>
      </w:r>
      <w:r>
        <w:rPr>
          <w:color w:val="1D1D1B"/>
          <w:w w:val="90"/>
        </w:rPr>
        <w:t>,</w:t>
      </w:r>
      <w:r>
        <w:rPr>
          <w:color w:val="1D1D1B"/>
          <w:spacing w:val="-5"/>
        </w:rPr>
        <w:t> </w:t>
      </w:r>
      <w:r>
        <w:rPr>
          <w:color w:val="1D1D1B"/>
          <w:w w:val="90"/>
        </w:rPr>
        <w:t>MOHAMMAD</w:t>
      </w:r>
      <w:r>
        <w:rPr>
          <w:color w:val="1D1D1B"/>
          <w:spacing w:val="-1"/>
          <w:w w:val="90"/>
        </w:rPr>
        <w:t> </w:t>
      </w:r>
      <w:r>
        <w:rPr>
          <w:color w:val="1D1D1B"/>
          <w:w w:val="90"/>
        </w:rPr>
        <w:t>ZAMAN</w:t>
      </w:r>
      <w:r>
        <w:rPr>
          <w:color w:val="1D1D1B"/>
          <w:w w:val="90"/>
          <w:position w:val="7"/>
          <w:sz w:val="11"/>
        </w:rPr>
        <w:t>4</w:t>
      </w:r>
      <w:r>
        <w:rPr>
          <w:color w:val="1D1D1B"/>
          <w:w w:val="90"/>
        </w:rPr>
        <w:t>,</w:t>
      </w:r>
      <w:r>
        <w:rPr>
          <w:color w:val="1D1D1B"/>
          <w:spacing w:val="-13"/>
          <w:w w:val="90"/>
        </w:rPr>
        <w:t> </w:t>
      </w:r>
      <w:r>
        <w:rPr>
          <w:color w:val="1D1D1B"/>
          <w:w w:val="90"/>
        </w:rPr>
        <w:t>TANIA</w:t>
      </w:r>
      <w:r>
        <w:rPr>
          <w:color w:val="1D1D1B"/>
          <w:spacing w:val="-6"/>
        </w:rPr>
        <w:t> </w:t>
      </w:r>
      <w:r>
        <w:rPr>
          <w:color w:val="1D1D1B"/>
          <w:spacing w:val="-2"/>
          <w:w w:val="90"/>
        </w:rPr>
        <w:t>NADEEM</w:t>
      </w:r>
      <w:r>
        <w:rPr>
          <w:color w:val="1D1D1B"/>
          <w:spacing w:val="-2"/>
          <w:w w:val="90"/>
          <w:position w:val="7"/>
          <w:sz w:val="11"/>
        </w:rPr>
        <w:t>5</w:t>
      </w:r>
    </w:p>
    <w:p>
      <w:pPr>
        <w:spacing w:line="153" w:lineRule="exact" w:before="0"/>
        <w:ind w:left="115" w:right="0" w:firstLine="0"/>
        <w:jc w:val="left"/>
        <w:rPr>
          <w:rFonts w:ascii="Tahoma"/>
          <w:sz w:val="9"/>
        </w:rPr>
      </w:pPr>
      <w:r>
        <w:rPr>
          <w:rFonts w:ascii="Tahoma"/>
          <w:color w:val="1D1D1B"/>
          <w:w w:val="95"/>
          <w:sz w:val="16"/>
        </w:rPr>
        <w:t>Department</w:t>
      </w:r>
      <w:r>
        <w:rPr>
          <w:rFonts w:ascii="Tahoma"/>
          <w:color w:val="1D1D1B"/>
          <w:spacing w:val="-3"/>
          <w:w w:val="95"/>
          <w:sz w:val="16"/>
        </w:rPr>
        <w:t> </w:t>
      </w:r>
      <w:r>
        <w:rPr>
          <w:rFonts w:ascii="Tahoma"/>
          <w:color w:val="1D1D1B"/>
          <w:w w:val="95"/>
          <w:sz w:val="16"/>
        </w:rPr>
        <w:t>of</w:t>
      </w:r>
      <w:r>
        <w:rPr>
          <w:rFonts w:ascii="Tahoma"/>
          <w:color w:val="1D1D1B"/>
          <w:spacing w:val="-3"/>
          <w:w w:val="95"/>
          <w:sz w:val="16"/>
        </w:rPr>
        <w:t> </w:t>
      </w:r>
      <w:r>
        <w:rPr>
          <w:rFonts w:ascii="Tahoma"/>
          <w:color w:val="1D1D1B"/>
          <w:w w:val="95"/>
          <w:sz w:val="16"/>
        </w:rPr>
        <w:t>Psychiatry,</w:t>
      </w:r>
      <w:r>
        <w:rPr>
          <w:rFonts w:ascii="Tahoma"/>
          <w:color w:val="1D1D1B"/>
          <w:spacing w:val="-2"/>
          <w:w w:val="95"/>
          <w:sz w:val="16"/>
        </w:rPr>
        <w:t> </w:t>
      </w:r>
      <w:r>
        <w:rPr>
          <w:rFonts w:ascii="Tahoma"/>
          <w:color w:val="1D1D1B"/>
          <w:w w:val="95"/>
          <w:sz w:val="16"/>
        </w:rPr>
        <w:t>Aga</w:t>
      </w:r>
      <w:r>
        <w:rPr>
          <w:rFonts w:ascii="Tahoma"/>
          <w:color w:val="1D1D1B"/>
          <w:spacing w:val="-3"/>
          <w:w w:val="95"/>
          <w:sz w:val="16"/>
        </w:rPr>
        <w:t> </w:t>
      </w:r>
      <w:r>
        <w:rPr>
          <w:rFonts w:ascii="Tahoma"/>
          <w:color w:val="1D1D1B"/>
          <w:w w:val="95"/>
          <w:sz w:val="16"/>
        </w:rPr>
        <w:t>Khan</w:t>
      </w:r>
      <w:r>
        <w:rPr>
          <w:rFonts w:ascii="Tahoma"/>
          <w:color w:val="1D1D1B"/>
          <w:spacing w:val="-2"/>
          <w:w w:val="95"/>
          <w:sz w:val="16"/>
        </w:rPr>
        <w:t> </w:t>
      </w:r>
      <w:r>
        <w:rPr>
          <w:rFonts w:ascii="Tahoma"/>
          <w:color w:val="1D1D1B"/>
          <w:w w:val="95"/>
          <w:sz w:val="16"/>
        </w:rPr>
        <w:t>University</w:t>
      </w:r>
      <w:r>
        <w:rPr>
          <w:rFonts w:ascii="Tahoma"/>
          <w:color w:val="1D1D1B"/>
          <w:spacing w:val="-3"/>
          <w:w w:val="95"/>
          <w:sz w:val="16"/>
        </w:rPr>
        <w:t> </w:t>
      </w:r>
      <w:r>
        <w:rPr>
          <w:rFonts w:ascii="Tahoma"/>
          <w:color w:val="1D1D1B"/>
          <w:w w:val="95"/>
          <w:sz w:val="16"/>
        </w:rPr>
        <w:t>Hospital</w:t>
      </w:r>
      <w:r>
        <w:rPr>
          <w:rFonts w:ascii="Tahoma"/>
          <w:color w:val="1D1D1B"/>
          <w:spacing w:val="-3"/>
          <w:w w:val="95"/>
          <w:sz w:val="16"/>
        </w:rPr>
        <w:t> </w:t>
      </w:r>
      <w:r>
        <w:rPr>
          <w:rFonts w:ascii="Tahoma"/>
          <w:color w:val="1D1D1B"/>
          <w:w w:val="95"/>
          <w:sz w:val="16"/>
        </w:rPr>
        <w:t>Karachi</w:t>
      </w:r>
      <w:r>
        <w:rPr>
          <w:rFonts w:ascii="Tahoma"/>
          <w:color w:val="1D1D1B"/>
          <w:w w:val="95"/>
          <w:position w:val="5"/>
          <w:sz w:val="9"/>
        </w:rPr>
        <w:t>1-</w:t>
      </w:r>
      <w:r>
        <w:rPr>
          <w:rFonts w:ascii="Tahoma"/>
          <w:color w:val="1D1D1B"/>
          <w:spacing w:val="-10"/>
          <w:w w:val="95"/>
          <w:position w:val="5"/>
          <w:sz w:val="9"/>
        </w:rPr>
        <w:t>5</w:t>
      </w:r>
    </w:p>
    <w:p>
      <w:pPr>
        <w:spacing w:line="177" w:lineRule="exact" w:before="0"/>
        <w:ind w:left="115" w:right="0" w:firstLine="0"/>
        <w:jc w:val="left"/>
        <w:rPr>
          <w:rFonts w:ascii="Tahoma"/>
          <w:sz w:val="16"/>
        </w:rPr>
      </w:pPr>
      <w:r>
        <w:rPr>
          <w:rFonts w:ascii="Tahoma"/>
          <w:b/>
          <w:color w:val="1D1D1B"/>
          <w:spacing w:val="-2"/>
          <w:w w:val="95"/>
          <w:sz w:val="16"/>
        </w:rPr>
        <w:t>Correspondence:</w:t>
      </w:r>
      <w:r>
        <w:rPr>
          <w:rFonts w:ascii="Tahoma"/>
          <w:b/>
          <w:color w:val="1D1D1B"/>
          <w:spacing w:val="2"/>
          <w:sz w:val="16"/>
        </w:rPr>
        <w:t> </w:t>
      </w:r>
      <w:r>
        <w:rPr>
          <w:rFonts w:ascii="Tahoma"/>
          <w:color w:val="1D1D1B"/>
          <w:spacing w:val="-2"/>
          <w:w w:val="95"/>
          <w:sz w:val="16"/>
        </w:rPr>
        <w:t>Faheem</w:t>
      </w:r>
      <w:r>
        <w:rPr>
          <w:rFonts w:ascii="Tahoma"/>
          <w:color w:val="1D1D1B"/>
          <w:spacing w:val="-1"/>
          <w:sz w:val="16"/>
        </w:rPr>
        <w:t> </w:t>
      </w:r>
      <w:r>
        <w:rPr>
          <w:rFonts w:ascii="Tahoma"/>
          <w:color w:val="1D1D1B"/>
          <w:spacing w:val="-2"/>
          <w:w w:val="95"/>
          <w:sz w:val="16"/>
        </w:rPr>
        <w:t>Khan,</w:t>
      </w:r>
      <w:r>
        <w:rPr>
          <w:rFonts w:ascii="Tahoma"/>
          <w:color w:val="1D1D1B"/>
          <w:spacing w:val="-1"/>
          <w:sz w:val="16"/>
        </w:rPr>
        <w:t> </w:t>
      </w:r>
      <w:r>
        <w:rPr>
          <w:rFonts w:ascii="Tahoma"/>
          <w:b/>
          <w:color w:val="1D1D1B"/>
          <w:spacing w:val="-2"/>
          <w:w w:val="95"/>
          <w:sz w:val="16"/>
        </w:rPr>
        <w:t>Email:</w:t>
      </w:r>
      <w:r>
        <w:rPr>
          <w:rFonts w:ascii="Tahoma"/>
          <w:b/>
          <w:color w:val="1D1D1B"/>
          <w:spacing w:val="3"/>
          <w:sz w:val="16"/>
        </w:rPr>
        <w:t> </w:t>
      </w:r>
      <w:hyperlink r:id="rId5">
        <w:r>
          <w:rPr>
            <w:rFonts w:ascii="Tahoma"/>
            <w:color w:val="1D1D1B"/>
            <w:spacing w:val="-2"/>
            <w:w w:val="95"/>
            <w:sz w:val="16"/>
          </w:rPr>
          <w:t>khan.faheem@outlook.com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after="0"/>
        <w:jc w:val="left"/>
        <w:rPr>
          <w:rFonts w:ascii="Tahoma"/>
          <w:sz w:val="20"/>
        </w:rPr>
        <w:sectPr>
          <w:type w:val="continuous"/>
          <w:pgSz w:w="11880" w:h="15840"/>
          <w:pgMar w:top="440" w:bottom="280" w:left="600" w:right="600"/>
        </w:sectPr>
      </w:pPr>
    </w:p>
    <w:p>
      <w:pPr>
        <w:pStyle w:val="Heading1"/>
        <w:spacing w:line="440" w:lineRule="atLeast" w:before="68"/>
        <w:ind w:right="2970"/>
      </w:pPr>
      <w:r>
        <w:rPr>
          <w:color w:val="95C11F"/>
          <w:spacing w:val="-2"/>
          <w:w w:val="85"/>
        </w:rPr>
        <w:t>ABSTRACT OBJECTIVE</w:t>
      </w:r>
    </w:p>
    <w:p>
      <w:pPr>
        <w:pStyle w:val="BodyText"/>
        <w:spacing w:line="249" w:lineRule="auto" w:before="10"/>
        <w:ind w:left="123" w:right="44"/>
      </w:pPr>
      <w:r>
        <w:rPr>
          <w:color w:val="231F20"/>
          <w:w w:val="95"/>
        </w:rPr>
        <w:t>To report patterns of referrals from Emergency Depart- </w:t>
      </w:r>
      <w:r>
        <w:rPr>
          <w:color w:val="231F20"/>
        </w:rPr>
        <w:t>ment (ED) and other departments for Child and Adoles- cents (C&amp;A) mental health problems</w:t>
      </w:r>
    </w:p>
    <w:p>
      <w:pPr>
        <w:pStyle w:val="BodyText"/>
        <w:spacing w:before="11"/>
        <w:jc w:val="left"/>
        <w:rPr>
          <w:sz w:val="17"/>
        </w:rPr>
      </w:pPr>
    </w:p>
    <w:p>
      <w:pPr>
        <w:pStyle w:val="Heading1"/>
        <w:spacing w:line="231" w:lineRule="exact"/>
      </w:pPr>
      <w:r>
        <w:rPr>
          <w:color w:val="95C11F"/>
          <w:spacing w:val="-2"/>
          <w:w w:val="95"/>
        </w:rPr>
        <w:t>DESIGN</w:t>
      </w:r>
    </w:p>
    <w:p>
      <w:pPr>
        <w:pStyle w:val="BodyText"/>
        <w:spacing w:line="219" w:lineRule="exact"/>
        <w:ind w:left="123"/>
      </w:pPr>
      <w:r>
        <w:rPr>
          <w:color w:val="231F20"/>
          <w:w w:val="90"/>
        </w:rPr>
        <w:t>Retrospective</w:t>
      </w:r>
      <w:r>
        <w:rPr>
          <w:color w:val="231F20"/>
          <w:spacing w:val="46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47"/>
        </w:rPr>
        <w:t> </w:t>
      </w:r>
      <w:r>
        <w:rPr>
          <w:color w:val="231F20"/>
          <w:spacing w:val="-2"/>
          <w:w w:val="90"/>
        </w:rPr>
        <w:t>review</w:t>
      </w:r>
    </w:p>
    <w:p>
      <w:pPr>
        <w:pStyle w:val="BodyText"/>
        <w:spacing w:before="7"/>
        <w:jc w:val="left"/>
        <w:rPr>
          <w:sz w:val="18"/>
        </w:rPr>
      </w:pPr>
    </w:p>
    <w:p>
      <w:pPr>
        <w:pStyle w:val="Heading1"/>
      </w:pPr>
      <w:r>
        <w:rPr>
          <w:color w:val="95C11F"/>
          <w:w w:val="85"/>
        </w:rPr>
        <w:t>PLACE</w:t>
      </w:r>
      <w:r>
        <w:rPr>
          <w:color w:val="95C11F"/>
          <w:spacing w:val="14"/>
        </w:rPr>
        <w:t> </w:t>
      </w:r>
      <w:r>
        <w:rPr>
          <w:color w:val="95C11F"/>
          <w:w w:val="85"/>
        </w:rPr>
        <w:t>AND</w:t>
      </w:r>
      <w:r>
        <w:rPr>
          <w:color w:val="95C11F"/>
          <w:spacing w:val="28"/>
        </w:rPr>
        <w:t> </w:t>
      </w:r>
      <w:r>
        <w:rPr>
          <w:color w:val="95C11F"/>
          <w:w w:val="85"/>
        </w:rPr>
        <w:t>DURATION</w:t>
      </w:r>
      <w:r>
        <w:rPr>
          <w:color w:val="95C11F"/>
          <w:spacing w:val="28"/>
        </w:rPr>
        <w:t> </w:t>
      </w:r>
      <w:r>
        <w:rPr>
          <w:color w:val="95C11F"/>
          <w:w w:val="85"/>
        </w:rPr>
        <w:t>OF</w:t>
      </w:r>
      <w:r>
        <w:rPr>
          <w:color w:val="95C11F"/>
          <w:spacing w:val="28"/>
        </w:rPr>
        <w:t> </w:t>
      </w:r>
      <w:r>
        <w:rPr>
          <w:color w:val="95C11F"/>
          <w:spacing w:val="-2"/>
          <w:w w:val="85"/>
        </w:rPr>
        <w:t>STUDY</w:t>
      </w:r>
    </w:p>
    <w:p>
      <w:pPr>
        <w:pStyle w:val="BodyText"/>
        <w:spacing w:line="249" w:lineRule="auto" w:before="5"/>
        <w:ind w:left="123" w:right="38"/>
      </w:pPr>
      <w:r>
        <w:rPr>
          <w:color w:val="231F20"/>
        </w:rPr>
        <w:t>The study conducted at Aga Khan University Hospital, from June 2010 to December 2012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  <w:spacing w:before="1"/>
      </w:pPr>
      <w:r>
        <w:rPr>
          <w:color w:val="95C11F"/>
          <w:w w:val="85"/>
        </w:rPr>
        <w:t>SUBJECTS</w:t>
      </w:r>
      <w:r>
        <w:rPr>
          <w:color w:val="95C11F"/>
          <w:spacing w:val="12"/>
        </w:rPr>
        <w:t> </w:t>
      </w:r>
      <w:r>
        <w:rPr>
          <w:color w:val="95C11F"/>
          <w:w w:val="85"/>
        </w:rPr>
        <w:t>AND</w:t>
      </w:r>
      <w:r>
        <w:rPr>
          <w:color w:val="95C11F"/>
          <w:spacing w:val="24"/>
        </w:rPr>
        <w:t> </w:t>
      </w:r>
      <w:r>
        <w:rPr>
          <w:color w:val="95C11F"/>
          <w:spacing w:val="-2"/>
          <w:w w:val="85"/>
        </w:rPr>
        <w:t>METHODS</w:t>
      </w:r>
    </w:p>
    <w:p>
      <w:pPr>
        <w:pStyle w:val="BodyText"/>
        <w:spacing w:line="249" w:lineRule="auto" w:before="5"/>
        <w:ind w:left="123" w:right="38"/>
      </w:pPr>
      <w:r>
        <w:rPr>
          <w:color w:val="231F20"/>
          <w:w w:val="95"/>
        </w:rPr>
        <w:t>We did review of all the cases (&lt;18 years of age) for whom </w:t>
      </w:r>
      <w:r>
        <w:rPr>
          <w:color w:val="231F20"/>
        </w:rPr>
        <w:t>psychiatric referral was generated for mental health </w:t>
      </w:r>
      <w:r>
        <w:rPr>
          <w:color w:val="231F20"/>
          <w:w w:val="95"/>
        </w:rPr>
        <w:t>problems from ED and/or other departments at Aga Khan University Hospital. Data was entered and analyzed using SPSS 16. Chi square was used for categorical variables and </w:t>
      </w:r>
      <w:r>
        <w:rPr>
          <w:color w:val="231F20"/>
          <w:w w:val="90"/>
        </w:rPr>
        <w:t>t-test was applied for continuous variables. P value of less than 0.05 was taken as statistically significant. Exemption </w:t>
      </w:r>
      <w:r>
        <w:rPr>
          <w:color w:val="231F20"/>
        </w:rPr>
        <w:t>from the AKU Research Ethics Review Committee was </w:t>
      </w:r>
      <w:r>
        <w:rPr>
          <w:color w:val="231F20"/>
          <w:spacing w:val="-2"/>
        </w:rPr>
        <w:t>taken.</w:t>
      </w:r>
    </w:p>
    <w:p>
      <w:pPr>
        <w:pStyle w:val="BodyText"/>
        <w:spacing w:before="2"/>
        <w:jc w:val="left"/>
        <w:rPr>
          <w:sz w:val="18"/>
        </w:rPr>
      </w:pPr>
    </w:p>
    <w:p>
      <w:pPr>
        <w:pStyle w:val="Heading1"/>
        <w:spacing w:before="1"/>
      </w:pPr>
      <w:r>
        <w:rPr>
          <w:color w:val="95C11F"/>
          <w:spacing w:val="-2"/>
          <w:w w:val="90"/>
        </w:rPr>
        <w:t>RESULTS</w:t>
      </w:r>
    </w:p>
    <w:p>
      <w:pPr>
        <w:pStyle w:val="BodyText"/>
        <w:spacing w:line="249" w:lineRule="auto" w:before="5"/>
        <w:ind w:left="123" w:right="38"/>
      </w:pPr>
      <w:r>
        <w:rPr>
          <w:color w:val="231F20"/>
          <w:w w:val="95"/>
        </w:rPr>
        <w:t>Among the 160 consults generated in this time period, 90 were girls. The majority presented with suicidal behavior (26%) followed by behavioral symptoms (16%). Out of 160 cases, 61 (38%) were diagnosed with mood disorders and</w:t>
      </w:r>
      <w:r>
        <w:rPr>
          <w:color w:val="231F20"/>
          <w:spacing w:val="40"/>
        </w:rPr>
        <w:t> </w:t>
      </w:r>
      <w:r>
        <w:rPr>
          <w:color w:val="231F20"/>
        </w:rPr>
        <w:t>28 cases (17%) received the diagnosis of conversion and </w:t>
      </w:r>
      <w:r>
        <w:rPr>
          <w:color w:val="231F20"/>
          <w:w w:val="95"/>
        </w:rPr>
        <w:t>adjustment disorder. In 21% (n=33) of the consults there </w:t>
      </w:r>
      <w:r>
        <w:rPr>
          <w:color w:val="231F20"/>
        </w:rPr>
        <w:t>was no diagnosable mental illness.</w:t>
      </w:r>
      <w:r>
        <w:rPr>
          <w:color w:val="231F20"/>
          <w:spacing w:val="40"/>
        </w:rPr>
        <w:t> </w:t>
      </w:r>
      <w:r>
        <w:rPr>
          <w:color w:val="231F20"/>
        </w:rPr>
        <w:t>Family conflict was </w:t>
      </w:r>
      <w:r>
        <w:rPr>
          <w:color w:val="231F20"/>
          <w:w w:val="95"/>
        </w:rPr>
        <w:t>found to be the main stressor. In 43% of cases no psycho- </w:t>
      </w:r>
      <w:r>
        <w:rPr>
          <w:color w:val="231F20"/>
        </w:rPr>
        <w:t>tropic was prescribed.</w:t>
      </w:r>
    </w:p>
    <w:p>
      <w:pPr>
        <w:pStyle w:val="BodyText"/>
        <w:spacing w:before="3"/>
        <w:jc w:val="left"/>
        <w:rPr>
          <w:sz w:val="18"/>
        </w:rPr>
      </w:pPr>
    </w:p>
    <w:p>
      <w:pPr>
        <w:pStyle w:val="Heading1"/>
      </w:pPr>
      <w:r>
        <w:rPr>
          <w:color w:val="95C11F"/>
          <w:spacing w:val="-2"/>
          <w:w w:val="95"/>
        </w:rPr>
        <w:t>CONCLUSION</w:t>
      </w:r>
    </w:p>
    <w:p>
      <w:pPr>
        <w:pStyle w:val="BodyText"/>
        <w:spacing w:line="249" w:lineRule="auto" w:before="5"/>
        <w:ind w:left="123" w:right="38"/>
      </w:pPr>
      <w:r>
        <w:rPr>
          <w:color w:val="231F20"/>
        </w:rPr>
        <w:t>C&amp;A with mental health problems can present in a </w:t>
      </w:r>
      <w:r>
        <w:rPr>
          <w:color w:val="231F20"/>
          <w:w w:val="95"/>
        </w:rPr>
        <w:t>general medical setup with varying issues and stressors. </w:t>
      </w:r>
      <w:r>
        <w:rPr>
          <w:color w:val="231F20"/>
        </w:rPr>
        <w:t>Physicians who are expected to assess them at ED and other departments should be trained to identify and address common mental health problems including </w:t>
      </w:r>
      <w:r>
        <w:rPr>
          <w:color w:val="231F20"/>
          <w:w w:val="95"/>
        </w:rPr>
        <w:t>suicidal behaviors. There is a huge need to develop effec- tive consultation liaison services for C&amp;A in hospitals.</w:t>
      </w:r>
    </w:p>
    <w:p>
      <w:pPr>
        <w:pStyle w:val="BodyText"/>
        <w:spacing w:before="2"/>
        <w:jc w:val="left"/>
        <w:rPr>
          <w:sz w:val="18"/>
        </w:rPr>
      </w:pPr>
    </w:p>
    <w:p>
      <w:pPr>
        <w:pStyle w:val="Heading1"/>
      </w:pPr>
      <w:r>
        <w:rPr>
          <w:color w:val="95C11F"/>
          <w:spacing w:val="-2"/>
          <w:w w:val="95"/>
        </w:rPr>
        <w:t>KEYWORDS</w:t>
      </w:r>
    </w:p>
    <w:p>
      <w:pPr>
        <w:pStyle w:val="BodyText"/>
        <w:spacing w:line="249" w:lineRule="auto" w:before="5"/>
        <w:ind w:left="123" w:right="38"/>
      </w:pPr>
      <w:r>
        <w:rPr>
          <w:color w:val="231F20"/>
          <w:w w:val="90"/>
        </w:rPr>
        <w:t>Child mental health Pakistan, emergency child psychiatric </w:t>
      </w:r>
      <w:r>
        <w:rPr>
          <w:color w:val="231F20"/>
          <w:spacing w:val="-2"/>
        </w:rPr>
        <w:t>disorders.</w:t>
      </w:r>
    </w:p>
    <w:p>
      <w:pPr>
        <w:spacing w:line="240" w:lineRule="auto"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</w:pPr>
      <w:r>
        <w:rPr>
          <w:color w:val="95C11F"/>
          <w:spacing w:val="-2"/>
          <w:w w:val="95"/>
        </w:rPr>
        <w:t>INTRODUCTION</w:t>
      </w:r>
    </w:p>
    <w:p>
      <w:pPr>
        <w:pStyle w:val="BodyText"/>
        <w:spacing w:before="5"/>
        <w:jc w:val="left"/>
        <w:rPr>
          <w:rFonts w:ascii="Gill Sans MT"/>
          <w:b/>
        </w:rPr>
      </w:pPr>
    </w:p>
    <w:p>
      <w:pPr>
        <w:pStyle w:val="BodyText"/>
        <w:spacing w:line="244" w:lineRule="auto" w:before="1"/>
        <w:ind w:left="123" w:right="107"/>
      </w:pPr>
      <w:r>
        <w:rPr>
          <w:color w:val="231F20"/>
        </w:rPr>
        <w:t>Child and adolescent mental health service (CAMHS) is an </w:t>
      </w:r>
      <w:r>
        <w:rPr>
          <w:color w:val="231F20"/>
          <w:w w:val="95"/>
        </w:rPr>
        <w:t>essential component of a tertiary care hospital. Its domain ranges from outpatient &amp; inpatient units, teaching, and to </w:t>
      </w:r>
      <w:r>
        <w:rPr>
          <w:color w:val="231F20"/>
        </w:rPr>
        <w:t>trained medical staff dealing with child and adolescent </w:t>
      </w:r>
      <w:r>
        <w:rPr>
          <w:color w:val="231F20"/>
          <w:w w:val="95"/>
        </w:rPr>
        <w:t>(C&amp;A) and staff providing consultation liaison services across the hospital including emergency department (ED). Preva- lence</w:t>
      </w:r>
      <w:r>
        <w:rPr>
          <w:color w:val="231F20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> </w:t>
      </w:r>
      <w:r>
        <w:rPr>
          <w:color w:val="231F20"/>
          <w:w w:val="95"/>
        </w:rPr>
        <w:t>mental</w:t>
      </w:r>
      <w:r>
        <w:rPr>
          <w:color w:val="231F20"/>
        </w:rPr>
        <w:t> </w:t>
      </w:r>
      <w:r>
        <w:rPr>
          <w:color w:val="231F20"/>
          <w:w w:val="95"/>
        </w:rPr>
        <w:t>health</w:t>
      </w:r>
      <w:r>
        <w:rPr>
          <w:color w:val="231F20"/>
        </w:rPr>
        <w:t> </w:t>
      </w:r>
      <w:r>
        <w:rPr>
          <w:color w:val="231F20"/>
          <w:w w:val="95"/>
        </w:rPr>
        <w:t>problems</w:t>
      </w:r>
      <w:r>
        <w:rPr>
          <w:color w:val="231F20"/>
        </w:rPr>
        <w:t> </w:t>
      </w:r>
      <w:r>
        <w:rPr>
          <w:color w:val="231F20"/>
          <w:w w:val="95"/>
        </w:rPr>
        <w:t>in</w:t>
      </w:r>
      <w:r>
        <w:rPr>
          <w:color w:val="231F20"/>
        </w:rPr>
        <w:t> </w:t>
      </w:r>
      <w:r>
        <w:rPr>
          <w:color w:val="231F20"/>
          <w:w w:val="95"/>
        </w:rPr>
        <w:t>Child</w:t>
      </w:r>
      <w:r>
        <w:rPr>
          <w:color w:val="231F20"/>
        </w:rPr>
        <w:t> </w:t>
      </w:r>
      <w:r>
        <w:rPr>
          <w:color w:val="231F20"/>
          <w:w w:val="95"/>
        </w:rPr>
        <w:t>and</w:t>
      </w:r>
      <w:r>
        <w:rPr>
          <w:color w:val="231F20"/>
        </w:rPr>
        <w:t> </w:t>
      </w:r>
      <w:r>
        <w:rPr>
          <w:color w:val="231F20"/>
          <w:w w:val="95"/>
        </w:rPr>
        <w:t>Adolescent</w:t>
      </w:r>
      <w:r>
        <w:rPr>
          <w:color w:val="231F20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on the rise across the globe. At present prevalence of mental </w:t>
      </w:r>
      <w:r>
        <w:rPr>
          <w:color w:val="231F20"/>
        </w:rPr>
        <w:t>health disorders in C&amp;A is approximately 20%, of which around 4-6% requires clinical intervention.</w:t>
      </w:r>
    </w:p>
    <w:p>
      <w:pPr>
        <w:pStyle w:val="BodyText"/>
        <w:spacing w:before="4"/>
        <w:jc w:val="left"/>
        <w:rPr>
          <w:sz w:val="18"/>
        </w:rPr>
      </w:pPr>
    </w:p>
    <w:p>
      <w:pPr>
        <w:pStyle w:val="BodyText"/>
        <w:spacing w:line="244" w:lineRule="auto"/>
        <w:ind w:left="123" w:right="107"/>
        <w:rPr>
          <w:sz w:val="11"/>
        </w:rPr>
      </w:pPr>
      <w:r>
        <w:rPr>
          <w:color w:val="231F20"/>
          <w:w w:val="95"/>
        </w:rPr>
        <w:t>C&amp;A presents in ED either with an acute psychiatric distur- bance or with a relapse of previously diagnosed psychiatric </w:t>
      </w:r>
      <w:r>
        <w:rPr>
          <w:color w:val="231F20"/>
        </w:rPr>
        <w:t>illness.</w:t>
      </w:r>
      <w:r>
        <w:rPr>
          <w:color w:val="231F20"/>
          <w:spacing w:val="40"/>
        </w:rPr>
        <w:t> </w:t>
      </w:r>
      <w:r>
        <w:rPr>
          <w:color w:val="231F20"/>
        </w:rPr>
        <w:t>In addition to ED, other departments who have </w:t>
      </w:r>
      <w:r>
        <w:rPr>
          <w:color w:val="231F20"/>
          <w:w w:val="95"/>
        </w:rPr>
        <w:t>facility of admitting C&amp;A also seek consultation for mental health problems for this specific population. According to a </w:t>
      </w:r>
      <w:r>
        <w:rPr>
          <w:color w:val="231F20"/>
          <w:w w:val="90"/>
        </w:rPr>
        <w:t>research,</w:t>
      </w:r>
      <w:r>
        <w:rPr>
          <w:color w:val="231F20"/>
          <w:spacing w:val="34"/>
        </w:rPr>
        <w:t> </w:t>
      </w:r>
      <w:r>
        <w:rPr>
          <w:color w:val="231F20"/>
          <w:w w:val="90"/>
        </w:rPr>
        <w:t>approximately</w:t>
      </w:r>
      <w:r>
        <w:rPr>
          <w:color w:val="231F20"/>
          <w:spacing w:val="34"/>
        </w:rPr>
        <w:t> </w:t>
      </w:r>
      <w:r>
        <w:rPr>
          <w:color w:val="231F20"/>
          <w:w w:val="90"/>
        </w:rPr>
        <w:t>200,000</w:t>
      </w:r>
      <w:r>
        <w:rPr>
          <w:color w:val="231F20"/>
          <w:spacing w:val="34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4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34"/>
        </w:rPr>
        <w:t> </w:t>
      </w:r>
      <w:r>
        <w:rPr>
          <w:color w:val="231F20"/>
          <w:w w:val="90"/>
        </w:rPr>
        <w:t>825,</w:t>
      </w:r>
      <w:r>
        <w:rPr>
          <w:color w:val="231F20"/>
          <w:spacing w:val="34"/>
        </w:rPr>
        <w:t> </w:t>
      </w:r>
      <w:r>
        <w:rPr>
          <w:color w:val="231F20"/>
          <w:w w:val="90"/>
        </w:rPr>
        <w:t>000</w:t>
      </w:r>
      <w:r>
        <w:rPr>
          <w:color w:val="231F20"/>
          <w:spacing w:val="34"/>
        </w:rPr>
        <w:t> </w:t>
      </w:r>
      <w:r>
        <w:rPr>
          <w:color w:val="231F20"/>
          <w:w w:val="90"/>
        </w:rPr>
        <w:t>C&amp;As</w:t>
      </w:r>
      <w:r>
        <w:rPr>
          <w:color w:val="231F20"/>
          <w:spacing w:val="34"/>
        </w:rPr>
        <w:t> </w:t>
      </w:r>
      <w:r>
        <w:rPr>
          <w:color w:val="231F20"/>
          <w:w w:val="90"/>
        </w:rPr>
        <w:t>visits </w:t>
      </w:r>
      <w:r>
        <w:rPr>
          <w:color w:val="231F20"/>
          <w:w w:val="95"/>
        </w:rPr>
        <w:t>ED annually in USA.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Multiple studies reports suicidal behav- ior as one of the most common presentation in ED. C&amp;A also </w:t>
      </w:r>
      <w:r>
        <w:rPr>
          <w:color w:val="231F20"/>
        </w:rPr>
        <w:t>presents with depression, abuse, agitation, anxiety and psychotic episodes in ED. A study from Europe reports substance abuse (21%) as the most common problem for </w:t>
      </w:r>
      <w:r>
        <w:rPr>
          <w:color w:val="231F20"/>
          <w:w w:val="95"/>
        </w:rPr>
        <w:t>referral from pediatrics ward followed by suicide attempts (17%), eating disorder (15%), depression and adaptive disor- </w:t>
      </w:r>
      <w:r>
        <w:rPr>
          <w:color w:val="231F20"/>
        </w:rPr>
        <w:t>ders (both 8%).</w:t>
      </w:r>
      <w:r>
        <w:rPr>
          <w:color w:val="231F20"/>
          <w:position w:val="6"/>
          <w:sz w:val="11"/>
        </w:rPr>
        <w:t>6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before="1"/>
        <w:ind w:left="123" w:right="107"/>
      </w:pPr>
      <w:r>
        <w:rPr>
          <w:color w:val="231F20"/>
        </w:rPr>
        <w:t>A school based study done in Karachi reported 17% of </w:t>
      </w:r>
      <w:r>
        <w:rPr>
          <w:color w:val="231F20"/>
          <w:w w:val="95"/>
        </w:rPr>
        <w:t>children as having a common mental disorder,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highlighting </w:t>
      </w:r>
      <w:r>
        <w:rPr>
          <w:color w:val="231F20"/>
        </w:rPr>
        <w:t>the need to establish CAMHS. Trained personnel in C&amp;A </w:t>
      </w:r>
      <w:r>
        <w:rPr>
          <w:color w:val="231F20"/>
          <w:w w:val="95"/>
        </w:rPr>
        <w:t>psychiatry are abysmally low in number (approximately 0.8% </w:t>
      </w:r>
      <w:r>
        <w:rPr>
          <w:color w:val="231F20"/>
        </w:rPr>
        <w:t>of all Psychiatrists in country) in Pakistan,</w:t>
      </w:r>
      <w:r>
        <w:rPr>
          <w:color w:val="231F20"/>
          <w:spacing w:val="40"/>
        </w:rPr>
        <w:t> </w:t>
      </w:r>
      <w:r>
        <w:rPr>
          <w:color w:val="231F20"/>
        </w:rPr>
        <w:t>risking a vast majority of population to sub-standard mental health </w:t>
      </w:r>
      <w:r>
        <w:rPr>
          <w:color w:val="231F20"/>
          <w:w w:val="90"/>
        </w:rPr>
        <w:t>services. Research in this important area is also scarce. Up to </w:t>
      </w:r>
      <w:r>
        <w:rPr>
          <w:color w:val="231F20"/>
          <w:w w:val="95"/>
        </w:rPr>
        <w:t>best of our knowledge there is no study from this region that reports pattern of referrals from ED and other departments. </w:t>
      </w:r>
      <w:r>
        <w:rPr>
          <w:color w:val="231F20"/>
        </w:rPr>
        <w:t>This study is an attempt to bridge the research gap in this </w:t>
      </w:r>
      <w:r>
        <w:rPr>
          <w:color w:val="231F20"/>
          <w:w w:val="95"/>
        </w:rPr>
        <w:t>area of C&amp;A mental health by reporting pattern of referral </w:t>
      </w:r>
      <w:r>
        <w:rPr>
          <w:color w:val="231F20"/>
        </w:rPr>
        <w:t>from ED and other departments of hospital.</w:t>
      </w:r>
    </w:p>
    <w:p>
      <w:pPr>
        <w:pStyle w:val="BodyText"/>
        <w:spacing w:before="10"/>
        <w:jc w:val="left"/>
      </w:pPr>
    </w:p>
    <w:p>
      <w:pPr>
        <w:pStyle w:val="Heading1"/>
      </w:pPr>
      <w:r>
        <w:rPr>
          <w:color w:val="95C11F"/>
          <w:spacing w:val="-2"/>
          <w:w w:val="95"/>
        </w:rPr>
        <w:t>METHODOLOGY</w:t>
      </w:r>
    </w:p>
    <w:p>
      <w:pPr>
        <w:pStyle w:val="BodyText"/>
        <w:spacing w:before="1"/>
        <w:jc w:val="left"/>
        <w:rPr>
          <w:rFonts w:ascii="Gill Sans MT"/>
          <w:b/>
        </w:rPr>
      </w:pPr>
    </w:p>
    <w:p>
      <w:pPr>
        <w:pStyle w:val="BodyText"/>
        <w:ind w:left="123" w:right="107"/>
      </w:pPr>
      <w:r>
        <w:rPr>
          <w:color w:val="231F20"/>
          <w:w w:val="90"/>
        </w:rPr>
        <w:t>This is a retrospective case-note review of all referrals gener- </w:t>
      </w:r>
      <w:r>
        <w:rPr>
          <w:color w:val="231F20"/>
        </w:rPr>
        <w:t>ated by ED and other departments for mental health prob- </w:t>
      </w:r>
      <w:r>
        <w:rPr>
          <w:color w:val="231F20"/>
          <w:w w:val="95"/>
        </w:rPr>
        <w:t>lems related to C&amp;A at Aga Khan University Hospital (AKUH), Karachi. AKUH is a 500 bedded private tertiary care teaching </w:t>
      </w:r>
      <w:r>
        <w:rPr>
          <w:color w:val="231F20"/>
        </w:rPr>
        <w:t>hospital and is the only Joint Commission International </w:t>
      </w:r>
      <w:r>
        <w:rPr>
          <w:color w:val="231F20"/>
          <w:w w:val="95"/>
        </w:rPr>
        <w:t>Association (JCIA) accredited institute in the country.</w:t>
      </w:r>
    </w:p>
    <w:p>
      <w:pPr>
        <w:spacing w:after="0"/>
        <w:sectPr>
          <w:type w:val="continuous"/>
          <w:pgSz w:w="11880" w:h="15840"/>
          <w:pgMar w:top="440" w:bottom="280" w:left="600" w:right="600"/>
          <w:cols w:num="2" w:equalWidth="0">
            <w:col w:w="4989" w:space="377"/>
            <w:col w:w="5314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932928" id="docshapegroup1" coordorigin="-10,-10" coordsize="11900,15860">
            <v:line style="position:absolute" from="5762,3764" to="5762,14634" stroked="true" strokeweight="2.75pt" strokecolor="#95c11f">
              <v:stroke dashstyle="solid"/>
            </v:line>
            <v:line style="position:absolute" from="5871,3764" to="5871,14634" stroked="true" strokeweight="1pt" strokecolor="#95c11f">
              <v:stroke dashstyle="solid"/>
            </v:line>
            <v:shape style="position:absolute;left:1872;top:954;width:9292;height:1241" id="docshape2" coordorigin="1872,955" coordsize="9292,1241" path="m11020,955l2016,955,1960,966,1914,997,1883,1043,1872,1099,1872,2052,1883,2108,1914,2154,1960,2185,2016,2196,11020,2196,11076,2185,11122,2154,11153,2108,11164,2052,11164,1099,11153,1043,11122,997,11076,966,11020,955xe" filled="true" fillcolor="#95c11f" stroked="false">
              <v:path arrowok="t"/>
              <v:fill opacity="19660f" type="solid"/>
            </v:shape>
            <v:shape style="position:absolute;left:715;top:954;width:1257;height:1242" id="docshape3" coordorigin="716,954" coordsize="1257,1242" path="m1973,1160l1767,1160,1767,2012,1973,2012,1973,1160xm1973,954l716,954,716,1160,716,2012,716,2196,1973,2196,1973,2012,931,2012,931,1160,1973,1160,1973,954xe" filled="true" fillcolor="#95c11f" stroked="false">
              <v:path arrowok="t"/>
              <v:fill type="solid"/>
            </v:shape>
            <v:line style="position:absolute" from="11126,14982" to="0,14982" stroked="true" strokeweight=".75pt" strokecolor="#1d1d1b">
              <v:stroke dashstyle="solid"/>
            </v:line>
            <v:rect style="position:absolute;left:8773;top:-1;width:587;height:379" id="docshape4" filled="true" fillcolor="#95c11f" stroked="false">
              <v:fill opacity="26214f" type="solid"/>
            </v:rect>
            <v:rect style="position:absolute;left:9359;top:-1;width:587;height:379" id="docshape5" filled="true" fillcolor="#95c11f" stroked="false">
              <v:fill opacity="45875f" type="solid"/>
            </v:rect>
            <v:rect style="position:absolute;left:9946;top:-1;width:587;height:379" id="docshape6" filled="true" fillcolor="#95c11f" stroked="false">
              <v:fill opacity="19660f" type="solid"/>
            </v:rect>
            <v:rect style="position:absolute;left:10532;top:-1;width:587;height:379" id="docshape7" filled="true" fillcolor="#95c11f" stroked="false">
              <v:fill opacity="32768f" type="solid"/>
            </v:rect>
            <v:rect style="position:absolute;left:11501;top:12311;width:379;height:587" id="docshape8" filled="true" fillcolor="#95c11f" stroked="false">
              <v:fill opacity="26214f" type="solid"/>
            </v:rect>
            <v:rect style="position:absolute;left:11501;top:12898;width:379;height:587" id="docshape9" filled="true" fillcolor="#95c11f" stroked="false">
              <v:fill opacity="45875f" type="solid"/>
            </v:rect>
            <v:rect style="position:absolute;left:11501;top:13484;width:379;height:587" id="docshape10" filled="true" fillcolor="#95c11f" stroked="false">
              <v:fill opacity="19660f" type="solid"/>
            </v:rect>
            <v:rect style="position:absolute;left:11501;top:14071;width:379;height:587" id="docshape11" filled="true" fillcolor="#95c11f" stroked="false">
              <v:fill opacity="32768f" type="solid"/>
            </v:rect>
            <v:rect style="position:absolute;left:0;top:0;width:11880;height:15840" id="docshape12" filled="false" stroked="true" strokeweight="1pt" strokecolor="#1d1d1b">
              <v:stroke dashstyle="solid"/>
            </v:rect>
            <v:shape style="position:absolute;left:0;top:14974;width:2;height:15" id="docshape13" coordorigin="0,14974" coordsize="0,15" path="m0,14974l0,14989,0,14974xe" filled="true" fillcolor="#1d1d1b" stroked="false">
              <v:path arrowok="t"/>
              <v:fill type="solid"/>
            </v:shape>
            <v:line style="position:absolute" from="0,0" to="0,15840" stroked="true" strokeweight="1pt" strokecolor="#1d1d1b">
              <v:stroke dashstyle="solid"/>
            </v:line>
            <w10:wrap type="none"/>
          </v:group>
        </w:pict>
      </w:r>
    </w:p>
    <w:p>
      <w:pPr>
        <w:pStyle w:val="BodyText"/>
        <w:jc w:val="left"/>
        <w:rPr>
          <w:sz w:val="14"/>
        </w:rPr>
      </w:pPr>
    </w:p>
    <w:p>
      <w:pPr>
        <w:tabs>
          <w:tab w:pos="7979" w:val="left" w:leader="none"/>
        </w:tabs>
        <w:spacing w:before="97"/>
        <w:ind w:left="120" w:right="0" w:firstLine="0"/>
        <w:jc w:val="left"/>
        <w:rPr>
          <w:i/>
          <w:sz w:val="12"/>
        </w:rPr>
      </w:pP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21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</w:p>
    <w:p>
      <w:pPr>
        <w:spacing w:after="0"/>
        <w:jc w:val="left"/>
        <w:rPr>
          <w:sz w:val="12"/>
        </w:rPr>
        <w:sectPr>
          <w:type w:val="continuous"/>
          <w:pgSz w:w="11880" w:h="15840"/>
          <w:pgMar w:top="440" w:bottom="280" w:left="600" w:right="600"/>
        </w:sectPr>
      </w:pPr>
    </w:p>
    <w:p>
      <w:pPr>
        <w:pStyle w:val="BodyText"/>
        <w:spacing w:line="244" w:lineRule="auto" w:before="82"/>
        <w:ind w:left="120" w:right="38"/>
      </w:pPr>
      <w:r>
        <w:rPr>
          <w:color w:val="231F20"/>
        </w:rPr>
        <w:t>We extracted medical records from electronic medical </w:t>
      </w:r>
      <w:r>
        <w:rPr>
          <w:color w:val="231F20"/>
          <w:w w:val="95"/>
        </w:rPr>
        <w:t>record system and included all files of C &amp; A below 18 years 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age,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december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2012.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collection </w:t>
      </w:r>
      <w:r>
        <w:rPr>
          <w:color w:val="231F20"/>
        </w:rPr>
        <w:t>form was designed and piloted on first 10 files. Data was entered and analyzed using SPSS 16. Chi square was used </w:t>
      </w:r>
      <w:r>
        <w:rPr>
          <w:color w:val="231F20"/>
          <w:w w:val="90"/>
        </w:rPr>
        <w:t>for</w:t>
      </w:r>
      <w:r>
        <w:rPr>
          <w:color w:val="231F20"/>
        </w:rPr>
        <w:t> </w:t>
      </w:r>
      <w:r>
        <w:rPr>
          <w:color w:val="231F20"/>
          <w:w w:val="90"/>
        </w:rPr>
        <w:t>categorical</w:t>
      </w:r>
      <w:r>
        <w:rPr>
          <w:color w:val="231F20"/>
        </w:rPr>
        <w:t> </w:t>
      </w:r>
      <w:r>
        <w:rPr>
          <w:color w:val="231F20"/>
          <w:w w:val="90"/>
        </w:rPr>
        <w:t>variables</w:t>
      </w:r>
      <w:r>
        <w:rPr>
          <w:color w:val="231F20"/>
        </w:rPr>
        <w:t> </w:t>
      </w:r>
      <w:r>
        <w:rPr>
          <w:color w:val="231F20"/>
          <w:w w:val="90"/>
        </w:rPr>
        <w:t>and</w:t>
      </w:r>
      <w:r>
        <w:rPr>
          <w:color w:val="231F20"/>
        </w:rPr>
        <w:t> </w:t>
      </w:r>
      <w:r>
        <w:rPr>
          <w:color w:val="231F20"/>
          <w:w w:val="90"/>
        </w:rPr>
        <w:t>t-test</w:t>
      </w:r>
      <w:r>
        <w:rPr>
          <w:color w:val="231F20"/>
        </w:rPr>
        <w:t> </w:t>
      </w:r>
      <w:r>
        <w:rPr>
          <w:color w:val="231F20"/>
          <w:w w:val="90"/>
        </w:rPr>
        <w:t>was</w:t>
      </w:r>
      <w:r>
        <w:rPr>
          <w:color w:val="231F20"/>
        </w:rPr>
        <w:t> </w:t>
      </w:r>
      <w:r>
        <w:rPr>
          <w:color w:val="231F20"/>
          <w:w w:val="90"/>
        </w:rPr>
        <w:t>applied</w:t>
      </w:r>
      <w:r>
        <w:rPr>
          <w:color w:val="231F20"/>
        </w:rPr>
        <w:t> </w:t>
      </w:r>
      <w:r>
        <w:rPr>
          <w:color w:val="231F20"/>
          <w:w w:val="90"/>
        </w:rPr>
        <w:t>for</w:t>
      </w:r>
      <w:r>
        <w:rPr>
          <w:color w:val="231F20"/>
        </w:rPr>
        <w:t> </w:t>
      </w:r>
      <w:r>
        <w:rPr>
          <w:color w:val="231F20"/>
          <w:w w:val="90"/>
        </w:rPr>
        <w:t>continu-</w:t>
      </w:r>
      <w:r>
        <w:rPr>
          <w:color w:val="231F20"/>
          <w:spacing w:val="80"/>
        </w:rPr>
        <w:t> </w:t>
      </w:r>
      <w:r>
        <w:rPr>
          <w:color w:val="231F20"/>
          <w:w w:val="90"/>
        </w:rPr>
        <w:t>ous variables. P value of less than 0.05 was taken as statisti- </w:t>
      </w:r>
      <w:r>
        <w:rPr>
          <w:color w:val="231F20"/>
          <w:w w:val="95"/>
        </w:rPr>
        <w:t>cally</w:t>
      </w:r>
      <w:r>
        <w:rPr>
          <w:color w:val="231F20"/>
          <w:w w:val="95"/>
        </w:rPr>
        <w:t> significant.</w:t>
      </w:r>
      <w:r>
        <w:rPr>
          <w:color w:val="231F20"/>
          <w:w w:val="95"/>
        </w:rPr>
        <w:t> Exemption</w:t>
      </w:r>
      <w:r>
        <w:rPr>
          <w:color w:val="231F20"/>
          <w:w w:val="95"/>
        </w:rPr>
        <w:t> from</w:t>
      </w:r>
      <w:r>
        <w:rPr>
          <w:color w:val="231F20"/>
          <w:w w:val="95"/>
        </w:rPr>
        <w:t> research</w:t>
      </w:r>
      <w:r>
        <w:rPr>
          <w:color w:val="231F20"/>
          <w:w w:val="95"/>
        </w:rPr>
        <w:t> Ethics</w:t>
      </w:r>
      <w:r>
        <w:rPr>
          <w:color w:val="231F20"/>
          <w:w w:val="95"/>
        </w:rPr>
        <w:t> Review </w:t>
      </w:r>
      <w:r>
        <w:rPr>
          <w:color w:val="231F20"/>
        </w:rPr>
        <w:t>Committee was taken.</w:t>
      </w:r>
    </w:p>
    <w:p>
      <w:pPr>
        <w:pStyle w:val="BodyText"/>
        <w:spacing w:before="3"/>
        <w:jc w:val="left"/>
        <w:rPr>
          <w:sz w:val="20"/>
        </w:rPr>
      </w:pPr>
    </w:p>
    <w:p>
      <w:pPr>
        <w:pStyle w:val="BodyText"/>
        <w:ind w:left="120"/>
      </w:pPr>
      <w:r>
        <w:rPr>
          <w:rFonts w:ascii="Arial"/>
          <w:b/>
          <w:color w:val="000101"/>
          <w:w w:val="95"/>
          <w:sz w:val="18"/>
        </w:rPr>
        <w:t>Table1:</w:t>
      </w:r>
      <w:r>
        <w:rPr>
          <w:rFonts w:ascii="Arial"/>
          <w:b/>
          <w:color w:val="000101"/>
          <w:spacing w:val="22"/>
          <w:sz w:val="18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Diagnosis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25"/>
        </w:rPr>
        <w:t> </w:t>
      </w:r>
      <w:r>
        <w:rPr>
          <w:color w:val="231F20"/>
          <w:spacing w:val="-4"/>
          <w:w w:val="95"/>
        </w:rPr>
        <w:t>Team</w:t>
      </w:r>
    </w:p>
    <w:p>
      <w:pPr>
        <w:pStyle w:val="BodyText"/>
        <w:spacing w:before="4"/>
        <w:jc w:val="left"/>
        <w:rPr>
          <w:sz w:val="5"/>
        </w:rPr>
      </w:pPr>
    </w:p>
    <w:tbl>
      <w:tblPr>
        <w:tblW w:w="0" w:type="auto"/>
        <w:jc w:val="left"/>
        <w:tblInd w:w="12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780"/>
        <w:gridCol w:w="780"/>
        <w:gridCol w:w="783"/>
        <w:gridCol w:w="778"/>
      </w:tblGrid>
      <w:tr>
        <w:trPr>
          <w:trHeight w:val="580" w:hRule="atLeast"/>
        </w:trPr>
        <w:tc>
          <w:tcPr>
            <w:tcW w:w="1824" w:type="dxa"/>
            <w:tcBorders>
              <w:left w:val="single" w:sz="4" w:space="0" w:color="231F20"/>
              <w:bottom w:val="single" w:sz="4" w:space="0" w:color="1D1D1B"/>
              <w:right w:val="single" w:sz="4" w:space="0" w:color="231F20"/>
            </w:tcBorders>
            <w:shd w:val="clear" w:color="auto" w:fill="B4D362"/>
          </w:tcPr>
          <w:p>
            <w:pPr>
              <w:pStyle w:val="TableParagraph"/>
              <w:spacing w:before="46"/>
              <w:rPr>
                <w:b/>
                <w:sz w:val="13"/>
              </w:rPr>
            </w:pPr>
            <w:r>
              <w:rPr>
                <w:b/>
                <w:color w:val="000101"/>
                <w:spacing w:val="-2"/>
                <w:sz w:val="13"/>
              </w:rPr>
              <w:t>DIAGNOSIS</w:t>
            </w:r>
          </w:p>
        </w:tc>
        <w:tc>
          <w:tcPr>
            <w:tcW w:w="780" w:type="dxa"/>
            <w:tcBorders>
              <w:left w:val="single" w:sz="4" w:space="0" w:color="231F20"/>
              <w:bottom w:val="single" w:sz="4" w:space="0" w:color="1D1D1B"/>
              <w:right w:val="single" w:sz="4" w:space="0" w:color="231F20"/>
            </w:tcBorders>
            <w:shd w:val="clear" w:color="auto" w:fill="B4D362"/>
          </w:tcPr>
          <w:p>
            <w:pPr>
              <w:pStyle w:val="TableParagraph"/>
              <w:spacing w:before="46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pacing w:val="-2"/>
                <w:sz w:val="13"/>
              </w:rPr>
              <w:t>MALES</w:t>
            </w:r>
          </w:p>
          <w:p>
            <w:pPr>
              <w:pStyle w:val="TableParagraph"/>
              <w:spacing w:before="3"/>
              <w:ind w:left="0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before="0"/>
              <w:ind w:left="110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n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5"/>
                <w:sz w:val="13"/>
              </w:rPr>
              <w:t>(%)</w:t>
            </w:r>
          </w:p>
        </w:tc>
        <w:tc>
          <w:tcPr>
            <w:tcW w:w="780" w:type="dxa"/>
            <w:tcBorders>
              <w:left w:val="single" w:sz="4" w:space="0" w:color="231F20"/>
              <w:bottom w:val="single" w:sz="4" w:space="0" w:color="1D1D1B"/>
              <w:right w:val="single" w:sz="4" w:space="0" w:color="231F20"/>
            </w:tcBorders>
            <w:shd w:val="clear" w:color="auto" w:fill="B4D362"/>
          </w:tcPr>
          <w:p>
            <w:pPr>
              <w:pStyle w:val="TableParagraph"/>
              <w:spacing w:before="46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pacing w:val="-2"/>
                <w:sz w:val="13"/>
              </w:rPr>
              <w:t>FEMALES</w:t>
            </w:r>
          </w:p>
          <w:p>
            <w:pPr>
              <w:pStyle w:val="TableParagraph"/>
              <w:spacing w:before="3"/>
              <w:ind w:left="0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before="0"/>
              <w:ind w:left="110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n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5"/>
                <w:sz w:val="13"/>
              </w:rPr>
              <w:t>(%)</w:t>
            </w:r>
          </w:p>
        </w:tc>
        <w:tc>
          <w:tcPr>
            <w:tcW w:w="783" w:type="dxa"/>
            <w:tcBorders>
              <w:left w:val="single" w:sz="4" w:space="0" w:color="231F20"/>
              <w:bottom w:val="single" w:sz="4" w:space="0" w:color="1D1D1B"/>
              <w:right w:val="single" w:sz="4" w:space="0" w:color="231F20"/>
            </w:tcBorders>
            <w:shd w:val="clear" w:color="auto" w:fill="B4D362"/>
          </w:tcPr>
          <w:p>
            <w:pPr>
              <w:pStyle w:val="TableParagraph"/>
              <w:spacing w:before="46"/>
              <w:ind w:left="67"/>
              <w:rPr>
                <w:b/>
                <w:sz w:val="13"/>
              </w:rPr>
            </w:pPr>
            <w:r>
              <w:rPr>
                <w:b/>
                <w:color w:val="000101"/>
                <w:spacing w:val="-2"/>
                <w:sz w:val="13"/>
              </w:rPr>
              <w:t>TOTAL</w:t>
            </w:r>
          </w:p>
          <w:p>
            <w:pPr>
              <w:pStyle w:val="TableParagraph"/>
              <w:spacing w:before="3"/>
              <w:ind w:left="0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before="0"/>
              <w:ind w:left="67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n </w:t>
            </w:r>
            <w:r>
              <w:rPr>
                <w:b/>
                <w:color w:val="000101"/>
                <w:spacing w:val="-5"/>
                <w:sz w:val="13"/>
              </w:rPr>
              <w:t>(%)</w:t>
            </w:r>
          </w:p>
        </w:tc>
        <w:tc>
          <w:tcPr>
            <w:tcW w:w="778" w:type="dxa"/>
            <w:tcBorders>
              <w:left w:val="single" w:sz="4" w:space="0" w:color="231F20"/>
              <w:bottom w:val="single" w:sz="4" w:space="0" w:color="1D1D1B"/>
              <w:right w:val="single" w:sz="4" w:space="0" w:color="231F20"/>
            </w:tcBorders>
            <w:shd w:val="clear" w:color="auto" w:fill="B4D362"/>
          </w:tcPr>
          <w:p>
            <w:pPr>
              <w:pStyle w:val="TableParagraph"/>
              <w:spacing w:before="46"/>
              <w:ind w:left="52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P-</w:t>
            </w:r>
            <w:r>
              <w:rPr>
                <w:b/>
                <w:color w:val="000101"/>
                <w:spacing w:val="-2"/>
                <w:sz w:val="13"/>
              </w:rPr>
              <w:t>VALUE</w:t>
            </w:r>
          </w:p>
        </w:tc>
      </w:tr>
      <w:tr>
        <w:trPr>
          <w:trHeight w:val="384" w:hRule="atLeast"/>
        </w:trPr>
        <w:tc>
          <w:tcPr>
            <w:tcW w:w="1824" w:type="dxa"/>
            <w:tcBorders>
              <w:top w:val="single" w:sz="4" w:space="0" w:color="1D1D1B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9" w:lineRule="auto" w:before="47"/>
              <w:rPr>
                <w:b/>
                <w:sz w:val="13"/>
              </w:rPr>
            </w:pPr>
            <w:r>
              <w:rPr>
                <w:b/>
                <w:color w:val="000101"/>
                <w:spacing w:val="-4"/>
                <w:sz w:val="13"/>
              </w:rPr>
              <w:t>Mood</w:t>
            </w:r>
            <w:r>
              <w:rPr>
                <w:b/>
                <w:color w:val="000101"/>
                <w:spacing w:val="-6"/>
                <w:sz w:val="13"/>
              </w:rPr>
              <w:t> </w:t>
            </w:r>
            <w:r>
              <w:rPr>
                <w:b/>
                <w:color w:val="000101"/>
                <w:spacing w:val="-4"/>
                <w:sz w:val="13"/>
              </w:rPr>
              <w:t>Disorders</w:t>
            </w:r>
            <w:r>
              <w:rPr>
                <w:b/>
                <w:color w:val="000101"/>
                <w:spacing w:val="-6"/>
                <w:sz w:val="13"/>
              </w:rPr>
              <w:t> </w:t>
            </w:r>
            <w:r>
              <w:rPr>
                <w:b/>
                <w:color w:val="000101"/>
                <w:spacing w:val="-4"/>
                <w:sz w:val="13"/>
              </w:rPr>
              <w:t>(MDD,</w:t>
            </w:r>
            <w:r>
              <w:rPr>
                <w:b/>
                <w:color w:val="000101"/>
                <w:spacing w:val="-6"/>
                <w:sz w:val="13"/>
              </w:rPr>
              <w:t> </w:t>
            </w:r>
            <w:r>
              <w:rPr>
                <w:b/>
                <w:color w:val="000101"/>
                <w:spacing w:val="-4"/>
                <w:sz w:val="13"/>
              </w:rPr>
              <w:t>BAD†</w:t>
            </w:r>
            <w:r>
              <w:rPr>
                <w:b/>
                <w:color w:val="000101"/>
                <w:spacing w:val="40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06 cases only), Anxiety)</w:t>
            </w:r>
          </w:p>
        </w:tc>
        <w:tc>
          <w:tcPr>
            <w:tcW w:w="780" w:type="dxa"/>
            <w:tcBorders>
              <w:top w:val="single" w:sz="4" w:space="0" w:color="1D1D1B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7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27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(44.2)</w:t>
            </w:r>
          </w:p>
        </w:tc>
        <w:tc>
          <w:tcPr>
            <w:tcW w:w="780" w:type="dxa"/>
            <w:tcBorders>
              <w:top w:val="single" w:sz="4" w:space="0" w:color="1D1D1B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7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34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(55.4)</w:t>
            </w:r>
          </w:p>
        </w:tc>
        <w:tc>
          <w:tcPr>
            <w:tcW w:w="783" w:type="dxa"/>
            <w:tcBorders>
              <w:top w:val="single" w:sz="4" w:space="0" w:color="1D1D1B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7"/>
              <w:ind w:left="67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61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(38.8)</w:t>
            </w:r>
          </w:p>
        </w:tc>
        <w:tc>
          <w:tcPr>
            <w:tcW w:w="778" w:type="dxa"/>
            <w:vMerge w:val="restart"/>
            <w:tcBorders>
              <w:top w:val="single" w:sz="4" w:space="0" w:color="1D1D1B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9"/>
              <w:ind w:left="52"/>
              <w:rPr>
                <w:b/>
                <w:sz w:val="13"/>
              </w:rPr>
            </w:pPr>
            <w:r>
              <w:rPr>
                <w:b/>
                <w:color w:val="000101"/>
                <w:spacing w:val="-2"/>
                <w:sz w:val="13"/>
              </w:rPr>
              <w:t>0.010</w:t>
            </w:r>
          </w:p>
        </w:tc>
      </w:tr>
      <w:tr>
        <w:trPr>
          <w:trHeight w:val="458" w:hRule="atLeast"/>
        </w:trPr>
        <w:tc>
          <w:tcPr>
            <w:tcW w:w="182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9" w:lineRule="auto"/>
              <w:ind w:right="204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Conversion</w:t>
            </w:r>
            <w:r>
              <w:rPr>
                <w:b/>
                <w:color w:val="000101"/>
                <w:spacing w:val="-9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and</w:t>
            </w:r>
            <w:r>
              <w:rPr>
                <w:b/>
                <w:color w:val="000101"/>
                <w:spacing w:val="40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Adjustment</w:t>
            </w:r>
            <w:r>
              <w:rPr>
                <w:b/>
                <w:color w:val="000101"/>
                <w:spacing w:val="-7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Disorder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6 </w:t>
            </w:r>
            <w:r>
              <w:rPr>
                <w:b/>
                <w:color w:val="000101"/>
                <w:spacing w:val="-2"/>
                <w:sz w:val="13"/>
              </w:rPr>
              <w:t>(21.4)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22</w:t>
            </w:r>
            <w:r>
              <w:rPr>
                <w:b/>
                <w:color w:val="000101"/>
                <w:spacing w:val="-2"/>
                <w:sz w:val="13"/>
              </w:rPr>
              <w:t> (78.5)</w:t>
            </w:r>
          </w:p>
        </w:tc>
        <w:tc>
          <w:tcPr>
            <w:tcW w:w="7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7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28</w:t>
            </w:r>
            <w:r>
              <w:rPr>
                <w:b/>
                <w:color w:val="000101"/>
                <w:spacing w:val="-3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(17.5)</w:t>
            </w:r>
          </w:p>
        </w:tc>
        <w:tc>
          <w:tcPr>
            <w:tcW w:w="77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5" w:hRule="atLeast"/>
        </w:trPr>
        <w:tc>
          <w:tcPr>
            <w:tcW w:w="182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9" w:lineRule="auto"/>
              <w:ind w:right="61" w:hanging="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Psychosis</w:t>
            </w:r>
            <w:r>
              <w:rPr>
                <w:b/>
                <w:color w:val="000101"/>
                <w:spacing w:val="-10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(including</w:t>
            </w:r>
            <w:r>
              <w:rPr>
                <w:b/>
                <w:color w:val="000101"/>
                <w:spacing w:val="-9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Acute</w:t>
            </w:r>
            <w:r>
              <w:rPr>
                <w:b/>
                <w:color w:val="000101"/>
                <w:spacing w:val="40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Psychotic episode and</w:t>
            </w:r>
            <w:r>
              <w:rPr>
                <w:b/>
                <w:color w:val="000101"/>
                <w:spacing w:val="40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Schizophrenia)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7"/>
              <w:ind w:left="152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8 </w:t>
            </w:r>
            <w:r>
              <w:rPr>
                <w:b/>
                <w:color w:val="000101"/>
                <w:spacing w:val="-4"/>
                <w:sz w:val="13"/>
              </w:rPr>
              <w:t>(50)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7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8 </w:t>
            </w:r>
            <w:r>
              <w:rPr>
                <w:b/>
                <w:color w:val="000101"/>
                <w:spacing w:val="-4"/>
                <w:sz w:val="13"/>
              </w:rPr>
              <w:t>(50)</w:t>
            </w:r>
          </w:p>
        </w:tc>
        <w:tc>
          <w:tcPr>
            <w:tcW w:w="7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7"/>
              <w:ind w:left="67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16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5"/>
                <w:sz w:val="13"/>
              </w:rPr>
              <w:t>(10</w:t>
            </w:r>
          </w:p>
        </w:tc>
        <w:tc>
          <w:tcPr>
            <w:tcW w:w="77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7" w:hRule="atLeast"/>
        </w:trPr>
        <w:tc>
          <w:tcPr>
            <w:tcW w:w="182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9" w:lineRule="auto" w:before="7"/>
              <w:ind w:right="204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Organic</w:t>
            </w:r>
            <w:r>
              <w:rPr>
                <w:b/>
                <w:color w:val="000101"/>
                <w:spacing w:val="-10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Disorder</w:t>
            </w:r>
            <w:r>
              <w:rPr>
                <w:b/>
                <w:color w:val="000101"/>
                <w:spacing w:val="-9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(Mental</w:t>
            </w:r>
            <w:r>
              <w:rPr>
                <w:b/>
                <w:color w:val="000101"/>
                <w:spacing w:val="40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Retardation/Learning</w:t>
            </w:r>
            <w:r>
              <w:rPr>
                <w:b/>
                <w:color w:val="000101"/>
                <w:spacing w:val="40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Disability/</w:t>
            </w:r>
            <w:r>
              <w:rPr>
                <w:b/>
                <w:color w:val="000101"/>
                <w:spacing w:val="-7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Delirium)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3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(37.5)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5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(62.5)</w:t>
            </w:r>
          </w:p>
        </w:tc>
        <w:tc>
          <w:tcPr>
            <w:tcW w:w="7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7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8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(5.1)</w:t>
            </w:r>
          </w:p>
        </w:tc>
        <w:tc>
          <w:tcPr>
            <w:tcW w:w="77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82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6"/>
              <w:rPr>
                <w:b/>
                <w:sz w:val="13"/>
              </w:rPr>
            </w:pPr>
            <w:r>
              <w:rPr>
                <w:b/>
                <w:color w:val="000101"/>
                <w:spacing w:val="-2"/>
                <w:sz w:val="13"/>
              </w:rPr>
              <w:t>Others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6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6 </w:t>
            </w:r>
            <w:r>
              <w:rPr>
                <w:b/>
                <w:color w:val="000101"/>
                <w:spacing w:val="-2"/>
                <w:sz w:val="13"/>
              </w:rPr>
              <w:t>(42.8)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6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8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(57.2)</w:t>
            </w:r>
          </w:p>
        </w:tc>
        <w:tc>
          <w:tcPr>
            <w:tcW w:w="7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6"/>
              <w:ind w:left="67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14</w:t>
            </w:r>
            <w:r>
              <w:rPr>
                <w:b/>
                <w:color w:val="000101"/>
                <w:spacing w:val="-2"/>
                <w:sz w:val="13"/>
              </w:rPr>
              <w:t> (8.8)</w:t>
            </w:r>
          </w:p>
        </w:tc>
        <w:tc>
          <w:tcPr>
            <w:tcW w:w="77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82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No</w:t>
            </w:r>
            <w:r>
              <w:rPr>
                <w:b/>
                <w:color w:val="000101"/>
                <w:spacing w:val="-4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Psychiatric</w:t>
            </w:r>
            <w:r>
              <w:rPr>
                <w:b/>
                <w:color w:val="000101"/>
                <w:spacing w:val="-3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Diagnosis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1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20</w:t>
            </w:r>
            <w:r>
              <w:rPr>
                <w:b/>
                <w:color w:val="000101"/>
                <w:spacing w:val="-1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(60.6)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1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13</w:t>
            </w:r>
            <w:r>
              <w:rPr>
                <w:b/>
                <w:color w:val="000101"/>
                <w:spacing w:val="-2"/>
                <w:sz w:val="13"/>
              </w:rPr>
              <w:t> (39.3)</w:t>
            </w:r>
          </w:p>
        </w:tc>
        <w:tc>
          <w:tcPr>
            <w:tcW w:w="7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1"/>
              <w:ind w:left="67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33</w:t>
            </w:r>
            <w:r>
              <w:rPr>
                <w:b/>
                <w:color w:val="000101"/>
                <w:spacing w:val="-2"/>
                <w:sz w:val="13"/>
              </w:rPr>
              <w:t> (20.6)</w:t>
            </w:r>
          </w:p>
        </w:tc>
        <w:tc>
          <w:tcPr>
            <w:tcW w:w="77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1" w:hRule="atLeast"/>
        </w:trPr>
        <w:tc>
          <w:tcPr>
            <w:tcW w:w="182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8"/>
              <w:rPr>
                <w:b/>
                <w:sz w:val="13"/>
              </w:rPr>
            </w:pPr>
            <w:r>
              <w:rPr>
                <w:b/>
                <w:color w:val="000101"/>
                <w:spacing w:val="-2"/>
                <w:sz w:val="13"/>
              </w:rPr>
              <w:t>TOTAL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8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70</w:t>
            </w:r>
            <w:r>
              <w:rPr>
                <w:b/>
                <w:color w:val="000101"/>
                <w:spacing w:val="35"/>
                <w:sz w:val="13"/>
              </w:rPr>
              <w:t> </w:t>
            </w:r>
            <w:r>
              <w:rPr>
                <w:b/>
                <w:color w:val="000101"/>
                <w:spacing w:val="-2"/>
                <w:sz w:val="13"/>
              </w:rPr>
              <w:t>(43.2)</w:t>
            </w:r>
          </w:p>
        </w:tc>
        <w:tc>
          <w:tcPr>
            <w:tcW w:w="7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8"/>
              <w:ind w:left="81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90</w:t>
            </w:r>
            <w:r>
              <w:rPr>
                <w:b/>
                <w:color w:val="000101"/>
                <w:spacing w:val="-2"/>
                <w:sz w:val="13"/>
              </w:rPr>
              <w:t> </w:t>
            </w:r>
            <w:r>
              <w:rPr>
                <w:b/>
                <w:color w:val="000101"/>
                <w:sz w:val="13"/>
              </w:rPr>
              <w:t>(56.2</w:t>
            </w:r>
            <w:r>
              <w:rPr>
                <w:b/>
                <w:color w:val="000101"/>
                <w:spacing w:val="-3"/>
                <w:sz w:val="13"/>
              </w:rPr>
              <w:t> </w:t>
            </w:r>
            <w:r>
              <w:rPr>
                <w:b/>
                <w:color w:val="000101"/>
                <w:spacing w:val="-10"/>
                <w:sz w:val="13"/>
              </w:rPr>
              <w:t>)</w:t>
            </w:r>
          </w:p>
        </w:tc>
        <w:tc>
          <w:tcPr>
            <w:tcW w:w="7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8"/>
              <w:ind w:left="67"/>
              <w:rPr>
                <w:b/>
                <w:sz w:val="13"/>
              </w:rPr>
            </w:pPr>
            <w:r>
              <w:rPr>
                <w:b/>
                <w:color w:val="000101"/>
                <w:sz w:val="13"/>
              </w:rPr>
              <w:t>160</w:t>
            </w:r>
            <w:r>
              <w:rPr>
                <w:b/>
                <w:color w:val="000101"/>
                <w:spacing w:val="-2"/>
                <w:sz w:val="13"/>
              </w:rPr>
              <w:t> (100)</w:t>
            </w:r>
          </w:p>
        </w:tc>
        <w:tc>
          <w:tcPr>
            <w:tcW w:w="77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7"/>
        <w:ind w:left="120"/>
      </w:pPr>
      <w:r>
        <w:rPr>
          <w:color w:val="231F20"/>
        </w:rPr>
        <w:t>*Based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DSM-IV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TR</w:t>
      </w:r>
    </w:p>
    <w:p>
      <w:pPr>
        <w:pStyle w:val="BodyText"/>
        <w:spacing w:before="6"/>
        <w:ind w:left="120"/>
      </w:pPr>
      <w:r>
        <w:rPr>
          <w:color w:val="231F20"/>
          <w:w w:val="90"/>
        </w:rPr>
        <w:t>†</w:t>
      </w:r>
      <w:r>
        <w:rPr>
          <w:color w:val="231F20"/>
          <w:spacing w:val="36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39"/>
        </w:rPr>
        <w:t> </w:t>
      </w:r>
      <w:r>
        <w:rPr>
          <w:color w:val="231F20"/>
          <w:w w:val="90"/>
        </w:rPr>
        <w:t>Depressive</w:t>
      </w:r>
      <w:r>
        <w:rPr>
          <w:color w:val="231F20"/>
          <w:spacing w:val="37"/>
        </w:rPr>
        <w:t> </w:t>
      </w:r>
      <w:r>
        <w:rPr>
          <w:color w:val="231F20"/>
          <w:w w:val="90"/>
        </w:rPr>
        <w:t>Disorder,</w:t>
      </w:r>
      <w:r>
        <w:rPr>
          <w:color w:val="231F20"/>
          <w:spacing w:val="37"/>
        </w:rPr>
        <w:t> </w:t>
      </w:r>
      <w:r>
        <w:rPr>
          <w:color w:val="231F20"/>
          <w:w w:val="90"/>
        </w:rPr>
        <w:t>Bipolar</w:t>
      </w:r>
      <w:r>
        <w:rPr>
          <w:color w:val="231F20"/>
          <w:spacing w:val="39"/>
        </w:rPr>
        <w:t> </w:t>
      </w:r>
      <w:r>
        <w:rPr>
          <w:color w:val="231F20"/>
          <w:w w:val="90"/>
        </w:rPr>
        <w:t>affective</w:t>
      </w:r>
      <w:r>
        <w:rPr>
          <w:color w:val="231F20"/>
          <w:spacing w:val="37"/>
        </w:rPr>
        <w:t> </w:t>
      </w:r>
      <w:r>
        <w:rPr>
          <w:color w:val="231F20"/>
          <w:spacing w:val="-2"/>
          <w:w w:val="90"/>
        </w:rPr>
        <w:t>disorder</w:t>
      </w:r>
    </w:p>
    <w:p>
      <w:pPr>
        <w:pStyle w:val="BodyText"/>
        <w:spacing w:before="5"/>
        <w:jc w:val="left"/>
        <w:rPr>
          <w:sz w:val="20"/>
        </w:rPr>
      </w:pPr>
    </w:p>
    <w:p>
      <w:pPr>
        <w:pStyle w:val="Heading1"/>
        <w:ind w:left="120"/>
      </w:pPr>
      <w:r>
        <w:rPr>
          <w:color w:val="95C11F"/>
          <w:spacing w:val="-2"/>
          <w:w w:val="90"/>
        </w:rPr>
        <w:t>RESULTS</w:t>
      </w:r>
    </w:p>
    <w:p>
      <w:pPr>
        <w:pStyle w:val="BodyText"/>
        <w:spacing w:line="244" w:lineRule="auto" w:before="81"/>
        <w:ind w:left="120" w:right="111"/>
      </w:pPr>
      <w:r>
        <w:rPr/>
        <w:br w:type="column"/>
      </w:r>
      <w:r>
        <w:rPr>
          <w:color w:val="231F20"/>
        </w:rPr>
        <w:t>sonal conflicts, particularly within the family context or </w:t>
      </w:r>
      <w:r>
        <w:rPr>
          <w:color w:val="231F20"/>
          <w:w w:val="95"/>
        </w:rPr>
        <w:t>significant others (16%, n=26). No statistical difference in </w:t>
      </w:r>
      <w:r>
        <w:rPr>
          <w:color w:val="231F20"/>
        </w:rPr>
        <w:t>gender was found in the type of stressors (p-value 0.54). (Table 02).</w:t>
      </w:r>
    </w:p>
    <w:p>
      <w:pPr>
        <w:pStyle w:val="BodyText"/>
        <w:spacing w:before="10"/>
        <w:jc w:val="left"/>
      </w:pPr>
    </w:p>
    <w:p>
      <w:pPr>
        <w:pStyle w:val="BodyText"/>
        <w:spacing w:before="1"/>
        <w:ind w:left="120"/>
      </w:pPr>
      <w:r>
        <w:rPr>
          <w:rFonts w:ascii="Arial"/>
          <w:b/>
          <w:color w:val="000101"/>
          <w:w w:val="95"/>
          <w:sz w:val="18"/>
        </w:rPr>
        <w:t>Table2:</w:t>
      </w:r>
      <w:r>
        <w:rPr>
          <w:rFonts w:ascii="Arial"/>
          <w:b/>
          <w:color w:val="000101"/>
          <w:spacing w:val="11"/>
          <w:sz w:val="18"/>
        </w:rPr>
        <w:t> </w:t>
      </w:r>
      <w:r>
        <w:rPr>
          <w:color w:val="231F20"/>
          <w:w w:val="95"/>
        </w:rPr>
        <w:t>Stressors</w:t>
      </w:r>
      <w:r>
        <w:rPr>
          <w:color w:val="231F20"/>
          <w:spacing w:val="13"/>
        </w:rPr>
        <w:t> </w:t>
      </w:r>
      <w:r>
        <w:rPr>
          <w:color w:val="231F20"/>
          <w:w w:val="95"/>
        </w:rPr>
        <w:t>Identified</w:t>
      </w:r>
      <w:r>
        <w:rPr>
          <w:color w:val="231F20"/>
          <w:spacing w:val="13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3"/>
        </w:rPr>
        <w:t> </w:t>
      </w:r>
      <w:r>
        <w:rPr>
          <w:color w:val="231F20"/>
          <w:spacing w:val="-2"/>
          <w:w w:val="95"/>
        </w:rPr>
        <w:t>Patients</w:t>
      </w:r>
    </w:p>
    <w:p>
      <w:pPr>
        <w:pStyle w:val="BodyText"/>
        <w:spacing w:before="7"/>
        <w:jc w:val="left"/>
        <w:rPr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0"/>
        <w:gridCol w:w="917"/>
        <w:gridCol w:w="820"/>
        <w:gridCol w:w="1008"/>
        <w:gridCol w:w="776"/>
      </w:tblGrid>
      <w:tr>
        <w:trPr>
          <w:trHeight w:val="583" w:hRule="atLeast"/>
        </w:trPr>
        <w:tc>
          <w:tcPr>
            <w:tcW w:w="1420" w:type="dxa"/>
            <w:tcBorders>
              <w:bottom w:val="single" w:sz="4" w:space="0" w:color="1D1D1B"/>
            </w:tcBorders>
            <w:shd w:val="clear" w:color="auto" w:fill="B4D362"/>
          </w:tcPr>
          <w:p>
            <w:pPr>
              <w:pStyle w:val="TableParagraph"/>
              <w:spacing w:before="39"/>
              <w:rPr>
                <w:b/>
                <w:sz w:val="14"/>
              </w:rPr>
            </w:pPr>
            <w:r>
              <w:rPr>
                <w:b/>
                <w:color w:val="000101"/>
                <w:spacing w:val="-2"/>
                <w:sz w:val="14"/>
              </w:rPr>
              <w:t>STRESSORS</w:t>
            </w:r>
          </w:p>
        </w:tc>
        <w:tc>
          <w:tcPr>
            <w:tcW w:w="917" w:type="dxa"/>
            <w:tcBorders>
              <w:bottom w:val="single" w:sz="4" w:space="0" w:color="1D1D1B"/>
            </w:tcBorders>
            <w:shd w:val="clear" w:color="auto" w:fill="B4D362"/>
          </w:tcPr>
          <w:p>
            <w:pPr>
              <w:pStyle w:val="TableParagraph"/>
              <w:spacing w:before="39"/>
              <w:ind w:left="53"/>
              <w:rPr>
                <w:b/>
                <w:sz w:val="14"/>
              </w:rPr>
            </w:pPr>
            <w:r>
              <w:rPr>
                <w:b/>
                <w:color w:val="000101"/>
                <w:spacing w:val="-4"/>
                <w:sz w:val="14"/>
              </w:rPr>
              <w:t>BOYS</w:t>
            </w:r>
          </w:p>
          <w:p>
            <w:pPr>
              <w:pStyle w:val="TableParagraph"/>
              <w:spacing w:before="142"/>
              <w:ind w:left="81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n</w:t>
            </w:r>
            <w:r>
              <w:rPr>
                <w:b/>
                <w:color w:val="000101"/>
                <w:spacing w:val="-1"/>
                <w:sz w:val="14"/>
              </w:rPr>
              <w:t> </w:t>
            </w:r>
            <w:r>
              <w:rPr>
                <w:b/>
                <w:color w:val="000101"/>
                <w:spacing w:val="-5"/>
                <w:sz w:val="14"/>
              </w:rPr>
              <w:t>(%)</w:t>
            </w:r>
          </w:p>
        </w:tc>
        <w:tc>
          <w:tcPr>
            <w:tcW w:w="820" w:type="dxa"/>
            <w:tcBorders>
              <w:bottom w:val="single" w:sz="4" w:space="0" w:color="1D1D1B"/>
            </w:tcBorders>
            <w:shd w:val="clear" w:color="auto" w:fill="B4D362"/>
          </w:tcPr>
          <w:p>
            <w:pPr>
              <w:pStyle w:val="TableParagraph"/>
              <w:spacing w:before="39"/>
              <w:ind w:left="51"/>
              <w:rPr>
                <w:b/>
                <w:sz w:val="14"/>
              </w:rPr>
            </w:pPr>
            <w:r>
              <w:rPr>
                <w:b/>
                <w:color w:val="000101"/>
                <w:spacing w:val="-2"/>
                <w:sz w:val="14"/>
              </w:rPr>
              <w:t>GIRLS</w:t>
            </w:r>
          </w:p>
          <w:p>
            <w:pPr>
              <w:pStyle w:val="TableParagraph"/>
              <w:spacing w:before="142"/>
              <w:ind w:left="80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n</w:t>
            </w:r>
            <w:r>
              <w:rPr>
                <w:b/>
                <w:color w:val="000101"/>
                <w:spacing w:val="-1"/>
                <w:sz w:val="14"/>
              </w:rPr>
              <w:t> </w:t>
            </w:r>
            <w:r>
              <w:rPr>
                <w:b/>
                <w:color w:val="000101"/>
                <w:spacing w:val="-5"/>
                <w:sz w:val="14"/>
              </w:rPr>
              <w:t>(%)</w:t>
            </w:r>
          </w:p>
        </w:tc>
        <w:tc>
          <w:tcPr>
            <w:tcW w:w="1008" w:type="dxa"/>
            <w:tcBorders>
              <w:bottom w:val="single" w:sz="4" w:space="0" w:color="1D1D1B"/>
            </w:tcBorders>
            <w:shd w:val="clear" w:color="auto" w:fill="B4D362"/>
          </w:tcPr>
          <w:p>
            <w:pPr>
              <w:pStyle w:val="TableParagraph"/>
              <w:spacing w:before="39"/>
              <w:rPr>
                <w:b/>
                <w:sz w:val="14"/>
              </w:rPr>
            </w:pPr>
            <w:r>
              <w:rPr>
                <w:b/>
                <w:color w:val="000101"/>
                <w:spacing w:val="-2"/>
                <w:sz w:val="14"/>
              </w:rPr>
              <w:t>TOTAL</w:t>
            </w:r>
          </w:p>
          <w:p>
            <w:pPr>
              <w:pStyle w:val="TableParagraph"/>
              <w:spacing w:before="142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n </w:t>
            </w:r>
            <w:r>
              <w:rPr>
                <w:b/>
                <w:color w:val="000101"/>
                <w:spacing w:val="-5"/>
                <w:sz w:val="14"/>
              </w:rPr>
              <w:t>(%)</w:t>
            </w:r>
          </w:p>
        </w:tc>
        <w:tc>
          <w:tcPr>
            <w:tcW w:w="776" w:type="dxa"/>
            <w:tcBorders>
              <w:bottom w:val="single" w:sz="4" w:space="0" w:color="1D1D1B"/>
            </w:tcBorders>
            <w:shd w:val="clear" w:color="auto" w:fill="B4D362"/>
          </w:tcPr>
          <w:p>
            <w:pPr>
              <w:pStyle w:val="TableParagraph"/>
              <w:spacing w:before="39"/>
              <w:ind w:left="54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P-</w:t>
            </w:r>
            <w:r>
              <w:rPr>
                <w:b/>
                <w:color w:val="000101"/>
                <w:spacing w:val="-2"/>
                <w:sz w:val="14"/>
              </w:rPr>
              <w:t>VALUE</w:t>
            </w:r>
          </w:p>
        </w:tc>
      </w:tr>
      <w:tr>
        <w:trPr>
          <w:trHeight w:val="384" w:hRule="atLeast"/>
        </w:trPr>
        <w:tc>
          <w:tcPr>
            <w:tcW w:w="1420" w:type="dxa"/>
            <w:tcBorders>
              <w:top w:val="single" w:sz="4" w:space="0" w:color="1D1D1B"/>
            </w:tcBorders>
          </w:tcPr>
          <w:p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Medical</w:t>
            </w:r>
            <w:r>
              <w:rPr>
                <w:b/>
                <w:color w:val="000101"/>
                <w:spacing w:val="-5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Problem</w:t>
            </w:r>
          </w:p>
        </w:tc>
        <w:tc>
          <w:tcPr>
            <w:tcW w:w="917" w:type="dxa"/>
            <w:tcBorders>
              <w:top w:val="single" w:sz="4" w:space="0" w:color="1D1D1B"/>
            </w:tcBorders>
          </w:tcPr>
          <w:p>
            <w:pPr>
              <w:pStyle w:val="TableParagraph"/>
              <w:spacing w:before="37"/>
              <w:ind w:left="53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16</w:t>
            </w:r>
            <w:r>
              <w:rPr>
                <w:b/>
                <w:color w:val="000101"/>
                <w:spacing w:val="-1"/>
                <w:sz w:val="14"/>
              </w:rPr>
              <w:t> </w:t>
            </w:r>
            <w:r>
              <w:rPr>
                <w:b/>
                <w:color w:val="000101"/>
                <w:spacing w:val="-4"/>
                <w:sz w:val="14"/>
              </w:rPr>
              <w:t>(57)</w:t>
            </w:r>
          </w:p>
        </w:tc>
        <w:tc>
          <w:tcPr>
            <w:tcW w:w="820" w:type="dxa"/>
            <w:tcBorders>
              <w:top w:val="single" w:sz="4" w:space="0" w:color="1D1D1B"/>
            </w:tcBorders>
          </w:tcPr>
          <w:p>
            <w:pPr>
              <w:pStyle w:val="TableParagraph"/>
              <w:spacing w:before="37"/>
              <w:ind w:left="51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12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(42.8)</w:t>
            </w:r>
          </w:p>
        </w:tc>
        <w:tc>
          <w:tcPr>
            <w:tcW w:w="1008" w:type="dxa"/>
            <w:tcBorders>
              <w:top w:val="single" w:sz="4" w:space="0" w:color="1D1D1B"/>
            </w:tcBorders>
          </w:tcPr>
          <w:p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28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(17.5)</w:t>
            </w:r>
          </w:p>
        </w:tc>
        <w:tc>
          <w:tcPr>
            <w:tcW w:w="776" w:type="dxa"/>
            <w:vMerge w:val="restart"/>
            <w:tcBorders>
              <w:top w:val="single" w:sz="4" w:space="0" w:color="1D1D1B"/>
            </w:tcBorders>
          </w:tcPr>
          <w:p>
            <w:pPr>
              <w:pStyle w:val="TableParagraph"/>
              <w:spacing w:before="40"/>
              <w:ind w:left="53"/>
              <w:rPr>
                <w:b/>
                <w:sz w:val="14"/>
              </w:rPr>
            </w:pPr>
            <w:r>
              <w:rPr>
                <w:b/>
                <w:color w:val="000101"/>
                <w:spacing w:val="-2"/>
                <w:sz w:val="14"/>
              </w:rPr>
              <w:t>0.541</w:t>
            </w:r>
          </w:p>
        </w:tc>
      </w:tr>
      <w:tr>
        <w:trPr>
          <w:trHeight w:val="458" w:hRule="atLeast"/>
        </w:trPr>
        <w:tc>
          <w:tcPr>
            <w:tcW w:w="1420" w:type="dxa"/>
          </w:tcPr>
          <w:p>
            <w:pPr>
              <w:pStyle w:val="TableParagraph"/>
              <w:spacing w:before="31"/>
              <w:rPr>
                <w:b/>
                <w:sz w:val="14"/>
              </w:rPr>
            </w:pPr>
            <w:r>
              <w:rPr>
                <w:b/>
                <w:color w:val="000101"/>
                <w:spacing w:val="-2"/>
                <w:sz w:val="14"/>
              </w:rPr>
              <w:t>Conflicts</w:t>
            </w:r>
          </w:p>
          <w:p>
            <w:pPr>
              <w:pStyle w:val="TableParagraph"/>
              <w:spacing w:before="7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(family</w:t>
            </w:r>
            <w:r>
              <w:rPr>
                <w:b/>
                <w:color w:val="000101"/>
                <w:spacing w:val="-6"/>
                <w:sz w:val="14"/>
              </w:rPr>
              <w:t> </w:t>
            </w:r>
            <w:r>
              <w:rPr>
                <w:b/>
                <w:color w:val="000101"/>
                <w:sz w:val="14"/>
              </w:rPr>
              <w:t>&amp;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others)</w:t>
            </w:r>
          </w:p>
        </w:tc>
        <w:tc>
          <w:tcPr>
            <w:tcW w:w="917" w:type="dxa"/>
          </w:tcPr>
          <w:p>
            <w:pPr>
              <w:pStyle w:val="TableParagraph"/>
              <w:spacing w:before="31"/>
              <w:ind w:left="53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9</w:t>
            </w:r>
            <w:r>
              <w:rPr>
                <w:b/>
                <w:color w:val="000101"/>
                <w:spacing w:val="-2"/>
                <w:sz w:val="14"/>
              </w:rPr>
              <w:t> (34.6)</w:t>
            </w:r>
          </w:p>
        </w:tc>
        <w:tc>
          <w:tcPr>
            <w:tcW w:w="820" w:type="dxa"/>
          </w:tcPr>
          <w:p>
            <w:pPr>
              <w:pStyle w:val="TableParagraph"/>
              <w:spacing w:before="31"/>
              <w:ind w:left="51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17</w:t>
            </w:r>
            <w:r>
              <w:rPr>
                <w:b/>
                <w:color w:val="000101"/>
                <w:spacing w:val="-1"/>
                <w:sz w:val="14"/>
              </w:rPr>
              <w:t> </w:t>
            </w:r>
            <w:r>
              <w:rPr>
                <w:b/>
                <w:color w:val="000101"/>
                <w:spacing w:val="-4"/>
                <w:sz w:val="14"/>
              </w:rPr>
              <w:t>(65)</w:t>
            </w:r>
          </w:p>
        </w:tc>
        <w:tc>
          <w:tcPr>
            <w:tcW w:w="1008" w:type="dxa"/>
          </w:tcPr>
          <w:p>
            <w:pPr>
              <w:pStyle w:val="TableParagraph"/>
              <w:spacing w:before="31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26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(16.2)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420" w:type="dxa"/>
          </w:tcPr>
          <w:p>
            <w:pPr>
              <w:pStyle w:val="TableParagraph"/>
              <w:spacing w:before="31"/>
              <w:rPr>
                <w:b/>
                <w:sz w:val="14"/>
              </w:rPr>
            </w:pPr>
            <w:r>
              <w:rPr>
                <w:b/>
                <w:color w:val="000101"/>
                <w:spacing w:val="-2"/>
                <w:sz w:val="14"/>
              </w:rPr>
              <w:t>Academic</w:t>
            </w:r>
          </w:p>
        </w:tc>
        <w:tc>
          <w:tcPr>
            <w:tcW w:w="917" w:type="dxa"/>
          </w:tcPr>
          <w:p>
            <w:pPr>
              <w:pStyle w:val="TableParagraph"/>
              <w:spacing w:before="31"/>
              <w:ind w:left="53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10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(45.4)</w:t>
            </w:r>
          </w:p>
        </w:tc>
        <w:tc>
          <w:tcPr>
            <w:tcW w:w="820" w:type="dxa"/>
          </w:tcPr>
          <w:p>
            <w:pPr>
              <w:pStyle w:val="TableParagraph"/>
              <w:spacing w:before="31"/>
              <w:ind w:left="51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12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(54.5)</w:t>
            </w:r>
          </w:p>
        </w:tc>
        <w:tc>
          <w:tcPr>
            <w:tcW w:w="1008" w:type="dxa"/>
          </w:tcPr>
          <w:p>
            <w:pPr>
              <w:pStyle w:val="TableParagraph"/>
              <w:spacing w:before="31"/>
              <w:ind w:left="54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22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(13.7)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420" w:type="dxa"/>
          </w:tcPr>
          <w:p>
            <w:pPr>
              <w:pStyle w:val="TableParagraph"/>
              <w:spacing w:before="36"/>
              <w:rPr>
                <w:b/>
                <w:sz w:val="14"/>
              </w:rPr>
            </w:pPr>
            <w:r>
              <w:rPr>
                <w:b/>
                <w:color w:val="000101"/>
                <w:spacing w:val="-2"/>
                <w:sz w:val="14"/>
              </w:rPr>
              <w:t>Others</w:t>
            </w:r>
          </w:p>
        </w:tc>
        <w:tc>
          <w:tcPr>
            <w:tcW w:w="917" w:type="dxa"/>
          </w:tcPr>
          <w:p>
            <w:pPr>
              <w:pStyle w:val="TableParagraph"/>
              <w:spacing w:before="36"/>
              <w:ind w:left="53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7 </w:t>
            </w:r>
            <w:r>
              <w:rPr>
                <w:b/>
                <w:color w:val="000101"/>
                <w:spacing w:val="-4"/>
                <w:sz w:val="14"/>
              </w:rPr>
              <w:t>(41)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left="51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10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(58.8)</w:t>
            </w:r>
          </w:p>
        </w:tc>
        <w:tc>
          <w:tcPr>
            <w:tcW w:w="1008" w:type="dxa"/>
          </w:tcPr>
          <w:p>
            <w:pPr>
              <w:pStyle w:val="TableParagraph"/>
              <w:spacing w:before="36"/>
              <w:ind w:left="54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17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(10.6)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420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00101"/>
                <w:spacing w:val="-4"/>
                <w:sz w:val="14"/>
              </w:rPr>
              <w:t>None</w:t>
            </w:r>
          </w:p>
        </w:tc>
        <w:tc>
          <w:tcPr>
            <w:tcW w:w="917" w:type="dxa"/>
          </w:tcPr>
          <w:p>
            <w:pPr>
              <w:pStyle w:val="TableParagraph"/>
              <w:ind w:left="53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28</w:t>
            </w:r>
            <w:r>
              <w:rPr>
                <w:b/>
                <w:color w:val="000101"/>
                <w:spacing w:val="-1"/>
                <w:sz w:val="14"/>
              </w:rPr>
              <w:t> </w:t>
            </w:r>
            <w:r>
              <w:rPr>
                <w:b/>
                <w:color w:val="000101"/>
                <w:spacing w:val="-4"/>
                <w:sz w:val="14"/>
              </w:rPr>
              <w:t>(41)</w:t>
            </w:r>
          </w:p>
        </w:tc>
        <w:tc>
          <w:tcPr>
            <w:tcW w:w="820" w:type="dxa"/>
          </w:tcPr>
          <w:p>
            <w:pPr>
              <w:pStyle w:val="TableParagraph"/>
              <w:ind w:left="51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39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(58.8)</w:t>
            </w:r>
          </w:p>
        </w:tc>
        <w:tc>
          <w:tcPr>
            <w:tcW w:w="1008" w:type="dxa"/>
          </w:tcPr>
          <w:p>
            <w:pPr>
              <w:pStyle w:val="TableParagraph"/>
              <w:ind w:left="54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67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(41.8)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1" w:hRule="atLeast"/>
        </w:trPr>
        <w:tc>
          <w:tcPr>
            <w:tcW w:w="1420" w:type="dxa"/>
          </w:tcPr>
          <w:p>
            <w:pPr>
              <w:pStyle w:val="TableParagraph"/>
              <w:spacing w:before="49"/>
              <w:rPr>
                <w:b/>
                <w:sz w:val="14"/>
              </w:rPr>
            </w:pPr>
            <w:r>
              <w:rPr>
                <w:b/>
                <w:color w:val="000101"/>
                <w:spacing w:val="-2"/>
                <w:sz w:val="14"/>
              </w:rPr>
              <w:t>TOTAL</w:t>
            </w:r>
          </w:p>
        </w:tc>
        <w:tc>
          <w:tcPr>
            <w:tcW w:w="917" w:type="dxa"/>
          </w:tcPr>
          <w:p>
            <w:pPr>
              <w:pStyle w:val="TableParagraph"/>
              <w:spacing w:before="49"/>
              <w:ind w:left="53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70</w:t>
            </w:r>
            <w:r>
              <w:rPr>
                <w:b/>
                <w:color w:val="000101"/>
                <w:spacing w:val="37"/>
                <w:sz w:val="14"/>
              </w:rPr>
              <w:t> </w:t>
            </w:r>
            <w:r>
              <w:rPr>
                <w:b/>
                <w:color w:val="000101"/>
                <w:spacing w:val="-2"/>
                <w:sz w:val="14"/>
              </w:rPr>
              <w:t>(43.2)</w:t>
            </w:r>
          </w:p>
        </w:tc>
        <w:tc>
          <w:tcPr>
            <w:tcW w:w="820" w:type="dxa"/>
          </w:tcPr>
          <w:p>
            <w:pPr>
              <w:pStyle w:val="TableParagraph"/>
              <w:spacing w:before="49"/>
              <w:ind w:left="51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90</w:t>
            </w:r>
            <w:r>
              <w:rPr>
                <w:b/>
                <w:color w:val="000101"/>
                <w:spacing w:val="-2"/>
                <w:sz w:val="14"/>
              </w:rPr>
              <w:t> </w:t>
            </w:r>
            <w:r>
              <w:rPr>
                <w:b/>
                <w:color w:val="000101"/>
                <w:sz w:val="14"/>
              </w:rPr>
              <w:t>(56.2</w:t>
            </w:r>
            <w:r>
              <w:rPr>
                <w:b/>
                <w:color w:val="000101"/>
                <w:spacing w:val="-3"/>
                <w:sz w:val="14"/>
              </w:rPr>
              <w:t> </w:t>
            </w:r>
            <w:r>
              <w:rPr>
                <w:b/>
                <w:color w:val="000101"/>
                <w:spacing w:val="-12"/>
                <w:sz w:val="14"/>
              </w:rPr>
              <w:t>)</w:t>
            </w:r>
          </w:p>
        </w:tc>
        <w:tc>
          <w:tcPr>
            <w:tcW w:w="1008" w:type="dxa"/>
          </w:tcPr>
          <w:p>
            <w:pPr>
              <w:pStyle w:val="TableParagraph"/>
              <w:spacing w:before="49"/>
              <w:rPr>
                <w:b/>
                <w:sz w:val="14"/>
              </w:rPr>
            </w:pPr>
            <w:r>
              <w:rPr>
                <w:b/>
                <w:color w:val="000101"/>
                <w:sz w:val="14"/>
              </w:rPr>
              <w:t>160</w:t>
            </w:r>
            <w:r>
              <w:rPr>
                <w:b/>
                <w:color w:val="000101"/>
                <w:spacing w:val="-2"/>
                <w:sz w:val="14"/>
              </w:rPr>
              <w:t> (100)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44" w:lineRule="auto" w:before="94"/>
        <w:ind w:left="120" w:right="111"/>
      </w:pPr>
      <w:r>
        <w:rPr>
          <w:color w:val="231F20"/>
          <w:w w:val="95"/>
        </w:rPr>
        <w:t>Out of 160 consults, 53% (n=85) were prescribed one of the </w:t>
      </w:r>
      <w:r>
        <w:rPr>
          <w:color w:val="231F20"/>
        </w:rPr>
        <w:t>psychotropics, 4% (n=6) were prescribed medications </w:t>
      </w:r>
      <w:r>
        <w:rPr>
          <w:color w:val="231F20"/>
          <w:w w:val="95"/>
        </w:rPr>
        <w:t>other</w:t>
      </w:r>
      <w:r>
        <w:rPr>
          <w:color w:val="231F20"/>
          <w:spacing w:val="37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37"/>
        </w:rPr>
        <w:t> </w:t>
      </w:r>
      <w:r>
        <w:rPr>
          <w:color w:val="231F20"/>
          <w:w w:val="95"/>
        </w:rPr>
        <w:t>psychotropic</w:t>
      </w:r>
      <w:r>
        <w:rPr>
          <w:color w:val="231F20"/>
          <w:spacing w:val="37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7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37"/>
        </w:rPr>
        <w:t> </w:t>
      </w:r>
      <w:r>
        <w:rPr>
          <w:color w:val="231F20"/>
          <w:w w:val="95"/>
        </w:rPr>
        <w:t>psychotropic</w:t>
      </w:r>
      <w:r>
        <w:rPr>
          <w:color w:val="231F20"/>
          <w:spacing w:val="37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37"/>
        </w:rPr>
        <w:t> </w:t>
      </w:r>
      <w:r>
        <w:rPr>
          <w:color w:val="231F20"/>
          <w:w w:val="95"/>
        </w:rPr>
        <w:t>advised in 43% (n=69) of cases. Outpatient follow up was advised in 50% (n=80) of cases, while 25% (n=40) patients were trans- ferred to psychiatric ward for further management.</w:t>
      </w:r>
    </w:p>
    <w:p>
      <w:pPr>
        <w:pStyle w:val="BodyText"/>
        <w:spacing w:before="6"/>
        <w:jc w:val="left"/>
        <w:rPr>
          <w:sz w:val="20"/>
        </w:rPr>
      </w:pPr>
    </w:p>
    <w:p>
      <w:pPr>
        <w:pStyle w:val="Heading1"/>
        <w:ind w:left="120"/>
      </w:pPr>
      <w:r>
        <w:rPr>
          <w:color w:val="95C11F"/>
          <w:spacing w:val="-2"/>
          <w:w w:val="95"/>
        </w:rPr>
        <w:t>DISCUSSION</w:t>
      </w:r>
    </w:p>
    <w:p>
      <w:pPr>
        <w:pStyle w:val="BodyText"/>
        <w:spacing w:before="7"/>
        <w:jc w:val="left"/>
        <w:rPr>
          <w:rFonts w:ascii="Gill Sans MT"/>
          <w:b/>
        </w:rPr>
      </w:pPr>
    </w:p>
    <w:p>
      <w:pPr>
        <w:pStyle w:val="BodyText"/>
        <w:spacing w:line="244" w:lineRule="auto"/>
        <w:ind w:left="120" w:right="111"/>
      </w:pPr>
      <w:r>
        <w:rPr>
          <w:color w:val="231F20"/>
          <w:w w:val="95"/>
        </w:rPr>
        <w:t>This study describes pattern of C&amp;A referrals from ED and other wards of a tertiary care hospital in Pakistan. Referral </w:t>
      </w:r>
      <w:r>
        <w:rPr>
          <w:color w:val="231F20"/>
        </w:rPr>
        <w:t>rate in our study was less (05 consults per month) as </w:t>
      </w:r>
      <w:r>
        <w:rPr>
          <w:color w:val="231F20"/>
          <w:w w:val="95"/>
        </w:rPr>
        <w:t>compared</w:t>
      </w:r>
      <w:r>
        <w:rPr>
          <w:color w:val="231F20"/>
          <w:spacing w:val="17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18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17"/>
        </w:rPr>
        <w:t> </w:t>
      </w:r>
      <w:r>
        <w:rPr>
          <w:color w:val="231F20"/>
          <w:w w:val="95"/>
        </w:rPr>
        <w:t>(28</w:t>
      </w:r>
      <w:r>
        <w:rPr>
          <w:color w:val="231F20"/>
          <w:spacing w:val="18"/>
        </w:rPr>
        <w:t> </w:t>
      </w:r>
      <w:r>
        <w:rPr>
          <w:color w:val="231F20"/>
          <w:w w:val="95"/>
        </w:rPr>
        <w:t>consults</w:t>
      </w:r>
      <w:r>
        <w:rPr>
          <w:color w:val="231F20"/>
          <w:spacing w:val="18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17"/>
        </w:rPr>
        <w:t> </w:t>
      </w:r>
      <w:r>
        <w:rPr>
          <w:color w:val="231F20"/>
          <w:w w:val="95"/>
        </w:rPr>
        <w:t>month).</w:t>
      </w:r>
      <w:r>
        <w:rPr>
          <w:color w:val="231F20"/>
          <w:w w:val="95"/>
          <w:position w:val="6"/>
          <w:sz w:val="11"/>
        </w:rPr>
        <w:t>13</w:t>
      </w:r>
      <w:r>
        <w:rPr>
          <w:color w:val="231F20"/>
          <w:spacing w:val="38"/>
          <w:position w:val="6"/>
          <w:sz w:val="11"/>
        </w:rPr>
        <w:t> </w:t>
      </w:r>
      <w:r>
        <w:rPr>
          <w:color w:val="231F20"/>
          <w:spacing w:val="-4"/>
          <w:w w:val="95"/>
        </w:rPr>
        <w:t>This</w:t>
      </w:r>
    </w:p>
    <w:p>
      <w:pPr>
        <w:spacing w:after="0" w:line="244" w:lineRule="auto"/>
        <w:sectPr>
          <w:pgSz w:w="11880" w:h="15840"/>
          <w:pgMar w:top="800" w:bottom="280" w:left="600" w:right="600"/>
          <w:cols w:num="2" w:equalWidth="0">
            <w:col w:w="5113" w:space="381"/>
            <w:col w:w="5186"/>
          </w:cols>
        </w:sectPr>
      </w:pPr>
    </w:p>
    <w:p>
      <w:pPr>
        <w:pStyle w:val="BodyText"/>
        <w:spacing w:line="244" w:lineRule="auto" w:before="4"/>
        <w:ind w:left="120" w:right="38"/>
      </w:pPr>
      <w:r>
        <w:rPr>
          <w:color w:val="231F20"/>
        </w:rPr>
        <w:t>160 consults were generated during our study period </w:t>
      </w:r>
      <w:r>
        <w:rPr>
          <w:color w:val="231F20"/>
          <w:w w:val="90"/>
        </w:rPr>
        <w:t>(average</w:t>
      </w:r>
      <w:r>
        <w:rPr>
          <w:color w:val="231F20"/>
        </w:rPr>
        <w:t> </w:t>
      </w:r>
      <w:r>
        <w:rPr>
          <w:color w:val="231F20"/>
          <w:w w:val="90"/>
        </w:rPr>
        <w:t>5.16</w:t>
      </w:r>
      <w:r>
        <w:rPr>
          <w:color w:val="231F20"/>
        </w:rPr>
        <w:t> </w:t>
      </w:r>
      <w:r>
        <w:rPr>
          <w:color w:val="231F20"/>
          <w:w w:val="90"/>
        </w:rPr>
        <w:t>consults</w:t>
      </w:r>
      <w:r>
        <w:rPr>
          <w:color w:val="231F20"/>
        </w:rPr>
        <w:t> </w:t>
      </w:r>
      <w:r>
        <w:rPr>
          <w:color w:val="231F20"/>
          <w:w w:val="90"/>
        </w:rPr>
        <w:t>per</w:t>
      </w:r>
      <w:r>
        <w:rPr>
          <w:color w:val="231F20"/>
        </w:rPr>
        <w:t> </w:t>
      </w:r>
      <w:r>
        <w:rPr>
          <w:color w:val="231F20"/>
          <w:w w:val="90"/>
        </w:rPr>
        <w:t>month).</w:t>
      </w:r>
      <w:r>
        <w:rPr>
          <w:color w:val="231F20"/>
        </w:rPr>
        <w:t> </w:t>
      </w:r>
      <w:r>
        <w:rPr>
          <w:color w:val="231F20"/>
          <w:w w:val="90"/>
        </w:rPr>
        <w:t>Out</w:t>
      </w:r>
      <w:r>
        <w:rPr>
          <w:color w:val="231F20"/>
        </w:rPr>
        <w:t> </w:t>
      </w:r>
      <w:r>
        <w:rPr>
          <w:color w:val="231F20"/>
          <w:w w:val="90"/>
        </w:rPr>
        <w:t>of</w:t>
      </w:r>
      <w:r>
        <w:rPr>
          <w:color w:val="231F20"/>
        </w:rPr>
        <w:t> </w:t>
      </w:r>
      <w:r>
        <w:rPr>
          <w:color w:val="231F20"/>
          <w:w w:val="90"/>
        </w:rPr>
        <w:t>these,</w:t>
      </w:r>
      <w:r>
        <w:rPr>
          <w:color w:val="231F20"/>
        </w:rPr>
        <w:t> </w:t>
      </w:r>
      <w:r>
        <w:rPr>
          <w:color w:val="231F20"/>
          <w:w w:val="90"/>
        </w:rPr>
        <w:t>there</w:t>
      </w:r>
      <w:r>
        <w:rPr>
          <w:color w:val="231F2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70 boys (44%) and 90 girls (56%), with a ratio of 1.2:1 (boys: </w:t>
      </w:r>
      <w:r>
        <w:rPr>
          <w:color w:val="231F20"/>
          <w:w w:val="90"/>
        </w:rPr>
        <w:t>girls).</w:t>
      </w:r>
      <w:r>
        <w:rPr>
          <w:color w:val="231F20"/>
          <w:spacing w:val="12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14.84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(range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2-18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years),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15.1</w:t>
      </w:r>
      <w:r>
        <w:rPr>
          <w:color w:val="231F20"/>
          <w:spacing w:val="13"/>
        </w:rPr>
        <w:t> </w:t>
      </w:r>
      <w:r>
        <w:rPr>
          <w:color w:val="231F20"/>
          <w:spacing w:val="-5"/>
          <w:w w:val="90"/>
        </w:rPr>
        <w:t>(SD</w:t>
      </w:r>
    </w:p>
    <w:p>
      <w:pPr>
        <w:pStyle w:val="BodyText"/>
        <w:spacing w:line="244" w:lineRule="auto" w:before="4"/>
        <w:ind w:left="120" w:right="38"/>
      </w:pPr>
      <w:r>
        <w:rPr>
          <w:color w:val="231F20"/>
          <w:w w:val="95"/>
        </w:rPr>
        <w:t>+- 3.27) for boys and 14.6 (SD +_2.51) for girls. Most of the </w:t>
      </w:r>
      <w:r>
        <w:rPr>
          <w:color w:val="231F20"/>
        </w:rPr>
        <w:t>patients 46% (n=73) were in their secondary education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(6-10th grade) followed by 16% (n=25) in Higher secondary </w:t>
      </w:r>
      <w:r>
        <w:rPr>
          <w:color w:val="231F20"/>
        </w:rPr>
        <w:t>education (11-13th grade), 14% (n=22) in primary educa- </w:t>
      </w:r>
      <w:r>
        <w:rPr>
          <w:color w:val="231F20"/>
          <w:w w:val="95"/>
        </w:rPr>
        <w:t>tion (1-5th grade), while data was missing in 21% of cases. </w:t>
      </w:r>
      <w:r>
        <w:rPr>
          <w:color w:val="231F20"/>
        </w:rPr>
        <w:t>Majority (66%) of referrals were from Emergency depart- ment followed by pediatrics (23%) and other in-patient </w:t>
      </w:r>
      <w:r>
        <w:rPr>
          <w:color w:val="231F20"/>
          <w:w w:val="95"/>
        </w:rPr>
        <w:t>units (11%).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In 82% (n=131) of cases, interviews were given </w:t>
      </w:r>
      <w:r>
        <w:rPr>
          <w:color w:val="231F20"/>
        </w:rPr>
        <w:t>by first degree relatives, with second degree relatives giving details in just 4% (n=6) of cases.</w:t>
      </w:r>
    </w:p>
    <w:p>
      <w:pPr>
        <w:pStyle w:val="BodyText"/>
        <w:spacing w:before="4"/>
        <w:jc w:val="left"/>
      </w:pPr>
    </w:p>
    <w:p>
      <w:pPr>
        <w:pStyle w:val="BodyText"/>
        <w:spacing w:line="244" w:lineRule="auto"/>
        <w:ind w:left="120" w:right="38"/>
      </w:pPr>
      <w:r>
        <w:rPr>
          <w:color w:val="231F20"/>
        </w:rPr>
        <w:t>C&amp;A presented with varied symptoms: They included Suicidal</w:t>
      </w:r>
      <w:r>
        <w:rPr>
          <w:color w:val="231F20"/>
          <w:spacing w:val="59"/>
        </w:rPr>
        <w:t> </w:t>
      </w:r>
      <w:r>
        <w:rPr>
          <w:color w:val="231F20"/>
        </w:rPr>
        <w:t>behavior</w:t>
      </w:r>
      <w:r>
        <w:rPr>
          <w:color w:val="231F20"/>
          <w:spacing w:val="59"/>
        </w:rPr>
        <w:t> </w:t>
      </w:r>
      <w:r>
        <w:rPr>
          <w:color w:val="231F20"/>
        </w:rPr>
        <w:t>(26%),</w:t>
      </w:r>
      <w:r>
        <w:rPr>
          <w:color w:val="231F20"/>
          <w:spacing w:val="59"/>
        </w:rPr>
        <w:t> </w:t>
      </w:r>
      <w:r>
        <w:rPr>
          <w:color w:val="231F20"/>
        </w:rPr>
        <w:t>behavioral</w:t>
      </w:r>
      <w:r>
        <w:rPr>
          <w:color w:val="231F20"/>
          <w:spacing w:val="59"/>
        </w:rPr>
        <w:t> </w:t>
      </w:r>
      <w:r>
        <w:rPr>
          <w:color w:val="231F20"/>
        </w:rPr>
        <w:t>symptoms</w:t>
      </w:r>
      <w:r>
        <w:rPr>
          <w:color w:val="231F20"/>
          <w:spacing w:val="59"/>
        </w:rPr>
        <w:t> </w:t>
      </w:r>
      <w:r>
        <w:rPr>
          <w:color w:val="231F20"/>
          <w:spacing w:val="-2"/>
          <w:w w:val="95"/>
        </w:rPr>
        <w:t>(16.9%),</w:t>
      </w:r>
    </w:p>
    <w:p>
      <w:pPr>
        <w:pStyle w:val="BodyText"/>
        <w:spacing w:line="244" w:lineRule="auto" w:before="2"/>
        <w:ind w:left="120" w:right="38"/>
      </w:pPr>
      <w:r>
        <w:rPr>
          <w:color w:val="231F20"/>
        </w:rPr>
        <w:t>mood symptoms (13.8%), physical symptoms (13.8%), Pseudo Neurological symptoms (13.8%) and psychotic </w:t>
      </w:r>
      <w:r>
        <w:rPr>
          <w:color w:val="231F20"/>
          <w:w w:val="95"/>
        </w:rPr>
        <w:t>symptoms (6.3%) (Figure 01).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Females were more likely to have a psychiatric illness than males (p-value 0.010) (Table </w:t>
      </w:r>
      <w:r>
        <w:rPr>
          <w:color w:val="231F20"/>
        </w:rPr>
        <w:t>1). Mood disorders were the most common psychiatric disorders (n=61, 38.8%), of which 34% presented with </w:t>
      </w:r>
      <w:r>
        <w:rPr>
          <w:color w:val="231F20"/>
          <w:w w:val="95"/>
        </w:rPr>
        <w:t>symptoms of Depressive and anxiety disorder, followed by conversion and adjustment disorders (n=28, 17.5%). In 21% </w:t>
      </w:r>
      <w:r>
        <w:rPr>
          <w:color w:val="231F20"/>
        </w:rPr>
        <w:t>(n=33) of the consults, there was no diagnosable mental </w:t>
      </w:r>
      <w:r>
        <w:rPr>
          <w:color w:val="231F20"/>
          <w:w w:val="95"/>
        </w:rPr>
        <w:t>illness (Table 1). Major stressors identified were stress due </w:t>
      </w:r>
      <w:r>
        <w:rPr>
          <w:color w:val="231F20"/>
        </w:rPr>
        <w:t>to medical illness in 17% of cases, followed by interper-</w:t>
      </w:r>
    </w:p>
    <w:p>
      <w:pPr>
        <w:pStyle w:val="BodyText"/>
        <w:spacing w:line="244" w:lineRule="auto" w:before="4"/>
        <w:ind w:left="120" w:right="111"/>
      </w:pPr>
      <w:r>
        <w:rPr/>
        <w:br w:type="column"/>
      </w:r>
      <w:r>
        <w:rPr>
          <w:color w:val="231F20"/>
        </w:rPr>
        <w:t>could be due to many factors; such as lack of awareness </w:t>
      </w:r>
      <w:r>
        <w:rPr>
          <w:color w:val="231F20"/>
          <w:w w:val="95"/>
        </w:rPr>
        <w:t>about mental illnesses among parents and doctors and the </w:t>
      </w:r>
      <w:r>
        <w:rPr>
          <w:color w:val="231F20"/>
          <w:w w:val="90"/>
        </w:rPr>
        <w:t>stigma attached to such behaviors. psychiatric illnesses are </w:t>
      </w:r>
      <w:r>
        <w:rPr>
          <w:color w:val="231F20"/>
        </w:rPr>
        <w:t>generally less prioritized in the ED setting and financial </w:t>
      </w:r>
      <w:r>
        <w:rPr>
          <w:color w:val="231F20"/>
          <w:w w:val="95"/>
        </w:rPr>
        <w:t>reasons could be another factor as some parents get their children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discharged before involving the psychiatry team.</w:t>
      </w:r>
    </w:p>
    <w:p>
      <w:pPr>
        <w:pStyle w:val="BodyText"/>
        <w:spacing w:before="11"/>
        <w:jc w:val="left"/>
      </w:pPr>
    </w:p>
    <w:p>
      <w:pPr>
        <w:pStyle w:val="BodyText"/>
        <w:spacing w:line="244" w:lineRule="auto"/>
        <w:ind w:left="120" w:right="111"/>
      </w:pPr>
      <w:r>
        <w:rPr>
          <w:color w:val="231F20"/>
        </w:rPr>
        <w:t>Our study found suicidal behavior (26%) as the most common presentation. This finding is similar to many studies: 11-25% of all referrals from ED, 62.5% from an inter-city sample of london, 17% in a European hospital 6 </w:t>
      </w:r>
      <w:r>
        <w:rPr>
          <w:color w:val="231F20"/>
          <w:w w:val="95"/>
        </w:rPr>
        <w:t>and 20% in a Australian hospital.</w:t>
      </w:r>
      <w:r>
        <w:rPr>
          <w:color w:val="231F20"/>
          <w:w w:val="95"/>
          <w:position w:val="6"/>
          <w:sz w:val="11"/>
        </w:rPr>
        <w:t>3-5</w:t>
      </w:r>
      <w:r>
        <w:rPr>
          <w:color w:val="231F20"/>
          <w:spacing w:val="35"/>
          <w:position w:val="6"/>
          <w:sz w:val="11"/>
        </w:rPr>
        <w:t> </w:t>
      </w:r>
      <w:r>
        <w:rPr>
          <w:color w:val="231F20"/>
          <w:w w:val="95"/>
        </w:rPr>
        <w:t>A previously done study</w:t>
      </w:r>
      <w:r>
        <w:rPr>
          <w:color w:val="231F20"/>
          <w:spacing w:val="40"/>
        </w:rPr>
        <w:t> </w:t>
      </w:r>
      <w:r>
        <w:rPr>
          <w:color w:val="231F20"/>
        </w:rPr>
        <w:t>in the same center reported 69 cases of DSH in ED during the period 1990 to 2006 and concluded that an effective service should be developed for future referrals of such </w:t>
      </w:r>
      <w:r>
        <w:rPr>
          <w:color w:val="231F20"/>
          <w:w w:val="95"/>
        </w:rPr>
        <w:t>C&amp;A.</w:t>
      </w:r>
      <w:r>
        <w:rPr>
          <w:color w:val="231F20"/>
          <w:spacing w:val="79"/>
        </w:rPr>
        <w:t> </w:t>
      </w:r>
      <w:r>
        <w:rPr>
          <w:color w:val="231F20"/>
          <w:w w:val="95"/>
        </w:rPr>
        <w:t>Suicidal behavior is the most concerning behavior as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it is a terminal event, and thus poses a challenge to health </w:t>
      </w:r>
      <w:r>
        <w:rPr>
          <w:color w:val="231F20"/>
        </w:rPr>
        <w:t>care professionals for proper assessment in a short time. </w:t>
      </w:r>
      <w:r>
        <w:rPr>
          <w:color w:val="231F20"/>
          <w:w w:val="95"/>
        </w:rPr>
        <w:t>This also presses the need of developing more structured</w:t>
      </w:r>
      <w:r>
        <w:rPr>
          <w:color w:val="231F20"/>
        </w:rPr>
        <w:t> and flawless assessment. ED physicians and health care workers (like Pediatricians) dealing with C&amp;A should </w:t>
      </w:r>
      <w:r>
        <w:rPr>
          <w:color w:val="231F20"/>
          <w:w w:val="95"/>
        </w:rPr>
        <w:t>receive structured training for suicide risk assessment.</w:t>
      </w: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44" w:lineRule="auto"/>
        <w:ind w:left="120" w:right="111"/>
      </w:pPr>
      <w:r>
        <w:rPr>
          <w:color w:val="231F20"/>
          <w:w w:val="95"/>
        </w:rPr>
        <w:t>In this study majority of the consults were from ED (66%), followed by the Pediatrics ward (23%). This finding points </w:t>
      </w:r>
      <w:r>
        <w:rPr>
          <w:color w:val="231F20"/>
        </w:rPr>
        <w:t>toward the increased responsibility of ED physicians in assessment and management of C&amp;A with mental health </w:t>
      </w:r>
      <w:r>
        <w:rPr>
          <w:color w:val="231F20"/>
          <w:spacing w:val="-2"/>
        </w:rPr>
        <w:t>issues.</w:t>
      </w:r>
    </w:p>
    <w:p>
      <w:pPr>
        <w:spacing w:after="0" w:line="244" w:lineRule="auto"/>
        <w:sectPr>
          <w:type w:val="continuous"/>
          <w:pgSz w:w="11880" w:h="15840"/>
          <w:pgMar w:top="440" w:bottom="280" w:left="600" w:right="600"/>
          <w:cols w:num="2" w:equalWidth="0">
            <w:col w:w="5113" w:space="381"/>
            <w:col w:w="5186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932416" id="docshapegroup14" coordorigin="-10,-10" coordsize="11900,15860">
            <v:shape style="position:absolute;left:11880;top:14974;width:2;height:15" id="docshape15" coordorigin="11880,14974" coordsize="0,15" path="m11880,14989l11880,14974,11880,14989xe" filled="true" fillcolor="#1d1d1b" stroked="false">
              <v:path arrowok="t"/>
              <v:fill type="solid"/>
            </v:shape>
            <v:line style="position:absolute" from="11880,15840" to="11880,0" stroked="true" strokeweight="1pt" strokecolor="#1d1d1b">
              <v:stroke dashstyle="solid"/>
            </v:line>
            <v:line style="position:absolute" from="11880,14982" to="754,14982" stroked="true" strokeweight=".75pt" strokecolor="#1d1d1b">
              <v:stroke dashstyle="solid"/>
            </v:line>
            <v:rect style="position:absolute;left:2520;top:-1;width:587;height:379" id="docshape16" filled="true" fillcolor="#95c11f" stroked="false">
              <v:fill opacity="26214f" type="solid"/>
            </v:rect>
            <v:rect style="position:absolute;left:1933;top:-1;width:587;height:379" id="docshape17" filled="true" fillcolor="#95c11f" stroked="false">
              <v:fill opacity="45875f" type="solid"/>
            </v:rect>
            <v:rect style="position:absolute;left:1347;top:-1;width:587;height:379" id="docshape18" filled="true" fillcolor="#95c11f" stroked="false">
              <v:fill opacity="19660f" type="solid"/>
            </v:rect>
            <v:rect style="position:absolute;left:760;top:-1;width:587;height:379" id="docshape19" filled="true" fillcolor="#95c11f" stroked="false">
              <v:fill opacity="32768f" type="solid"/>
            </v:rect>
            <v:rect style="position:absolute;left:0;top:12311;width:379;height:587" id="docshape20" filled="true" fillcolor="#95c11f" stroked="false">
              <v:fill opacity="26214f" type="solid"/>
            </v:rect>
            <v:rect style="position:absolute;left:0;top:12898;width:379;height:587" id="docshape21" filled="true" fillcolor="#95c11f" stroked="false">
              <v:fill opacity="45875f" type="solid"/>
            </v:rect>
            <v:rect style="position:absolute;left:0;top:13484;width:379;height:587" id="docshape22" filled="true" fillcolor="#95c11f" stroked="false">
              <v:fill opacity="19660f" type="solid"/>
            </v:rect>
            <v:rect style="position:absolute;left:0;top:14071;width:379;height:587" id="docshape23" filled="true" fillcolor="#95c11f" stroked="false">
              <v:fill opacity="32768f" type="solid"/>
            </v:rect>
            <v:rect style="position:absolute;left:0;top:0;width:11880;height:15840" id="docshape24" filled="false" stroked="true" strokeweight="1pt" strokecolor="#1d1d1b">
              <v:stroke dashstyle="solid"/>
            </v:rect>
            <w10:wrap type="none"/>
          </v:group>
        </w:pict>
      </w:r>
    </w:p>
    <w:p>
      <w:pPr>
        <w:pStyle w:val="BodyText"/>
        <w:jc w:val="left"/>
        <w:rPr>
          <w:sz w:val="14"/>
        </w:rPr>
      </w:pPr>
    </w:p>
    <w:p>
      <w:pPr>
        <w:tabs>
          <w:tab w:pos="10103" w:val="left" w:leader="none"/>
        </w:tabs>
        <w:spacing w:before="83"/>
        <w:ind w:left="128" w:right="0" w:firstLine="0"/>
        <w:jc w:val="left"/>
        <w:rPr>
          <w:i/>
          <w:sz w:val="12"/>
        </w:rPr>
      </w:pP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22</w:t>
      </w:r>
    </w:p>
    <w:p>
      <w:pPr>
        <w:spacing w:after="0"/>
        <w:jc w:val="left"/>
        <w:rPr>
          <w:sz w:val="12"/>
        </w:rPr>
        <w:sectPr>
          <w:type w:val="continuous"/>
          <w:pgSz w:w="11880" w:h="15840"/>
          <w:pgMar w:top="440" w:bottom="280" w:left="600" w:right="600"/>
        </w:sectPr>
      </w:pPr>
    </w:p>
    <w:p>
      <w:pPr>
        <w:pStyle w:val="BodyText"/>
        <w:spacing w:line="244" w:lineRule="auto" w:before="83"/>
        <w:ind w:left="119" w:right="38"/>
      </w:pPr>
      <w:r>
        <w:rPr>
          <w:color w:val="231F20"/>
        </w:rPr>
        <w:t>This study found that being a female child increases the risk of having psychiatric disorders. Evidence for gender </w:t>
      </w:r>
      <w:r>
        <w:rPr>
          <w:color w:val="231F20"/>
          <w:w w:val="95"/>
        </w:rPr>
        <w:t>specific burden of mental disorder is mixed; some suggest increased prevalence of mental disorder in male children, while the rest report increase in female children especially in cases of DSH and depression.</w:t>
      </w:r>
      <w:r>
        <w:rPr>
          <w:color w:val="231F20"/>
          <w:w w:val="95"/>
          <w:position w:val="6"/>
          <w:sz w:val="11"/>
        </w:rPr>
        <w:t>6,11,13</w:t>
      </w:r>
      <w:r>
        <w:rPr>
          <w:color w:val="231F20"/>
          <w:spacing w:val="22"/>
          <w:position w:val="6"/>
          <w:sz w:val="11"/>
        </w:rPr>
        <w:t> </w:t>
      </w:r>
      <w:r>
        <w:rPr>
          <w:color w:val="231F20"/>
          <w:w w:val="95"/>
        </w:rPr>
        <w:t>This entails the need to have a more detailed scientific evaluation of this phenom- </w:t>
      </w:r>
      <w:r>
        <w:rPr>
          <w:color w:val="231F20"/>
        </w:rPr>
        <w:t>enon to know the causality of these results.</w:t>
      </w:r>
    </w:p>
    <w:p>
      <w:pPr>
        <w:pStyle w:val="BodyText"/>
        <w:spacing w:before="1"/>
        <w:jc w:val="left"/>
        <w:rPr>
          <w:sz w:val="20"/>
        </w:rPr>
      </w:pPr>
    </w:p>
    <w:p>
      <w:pPr>
        <w:pStyle w:val="BodyText"/>
        <w:spacing w:line="244" w:lineRule="auto" w:before="1"/>
        <w:ind w:left="119" w:right="38"/>
        <w:rPr>
          <w:sz w:val="11"/>
        </w:rPr>
      </w:pPr>
      <w:r>
        <w:rPr>
          <w:color w:val="231F20"/>
        </w:rPr>
        <w:t>Among the Psychiatric disorders, depression and anxiety disorders (34%) were found to be the most common </w:t>
      </w:r>
      <w:r>
        <w:rPr>
          <w:color w:val="231F20"/>
          <w:w w:val="95"/>
        </w:rPr>
        <w:t>psychiatric disorders. This can also be correlated with the high prevalence of common mental disorder among adults</w:t>
      </w:r>
      <w:r>
        <w:rPr>
          <w:color w:val="231F20"/>
          <w:spacing w:val="80"/>
        </w:rPr>
        <w:t> </w:t>
      </w:r>
      <w:r>
        <w:rPr>
          <w:color w:val="231F20"/>
        </w:rPr>
        <w:t>in Pakistan and across the globe.</w:t>
      </w:r>
      <w:r>
        <w:rPr>
          <w:color w:val="231F20"/>
          <w:spacing w:val="40"/>
        </w:rPr>
        <w:t> </w:t>
      </w:r>
      <w:r>
        <w:rPr>
          <w:color w:val="231F20"/>
        </w:rPr>
        <w:t>Stressors are crucial as </w:t>
      </w:r>
      <w:r>
        <w:rPr>
          <w:color w:val="231F20"/>
          <w:w w:val="95"/>
        </w:rPr>
        <w:t>they not only cause but also perpetuate exiting illnesses. In young</w:t>
      </w:r>
      <w:r>
        <w:rPr>
          <w:color w:val="231F20"/>
        </w:rPr>
        <w:t> </w:t>
      </w:r>
      <w:r>
        <w:rPr>
          <w:color w:val="231F20"/>
          <w:w w:val="95"/>
        </w:rPr>
        <w:t>it</w:t>
      </w:r>
      <w:r>
        <w:rPr>
          <w:color w:val="231F20"/>
        </w:rPr>
        <w:t> </w:t>
      </w:r>
      <w:r>
        <w:rPr>
          <w:color w:val="231F20"/>
          <w:w w:val="95"/>
        </w:rPr>
        <w:t>becomes</w:t>
      </w:r>
      <w:r>
        <w:rPr>
          <w:color w:val="231F20"/>
        </w:rPr>
        <w:t> </w:t>
      </w:r>
      <w:r>
        <w:rPr>
          <w:color w:val="231F20"/>
          <w:w w:val="95"/>
        </w:rPr>
        <w:t>more</w:t>
      </w:r>
      <w:r>
        <w:rPr>
          <w:color w:val="231F20"/>
        </w:rPr>
        <w:t> </w:t>
      </w:r>
      <w:r>
        <w:rPr>
          <w:color w:val="231F20"/>
          <w:w w:val="95"/>
        </w:rPr>
        <w:t>pertinent</w:t>
      </w:r>
      <w:r>
        <w:rPr>
          <w:color w:val="231F20"/>
        </w:rPr>
        <w:t> </w:t>
      </w:r>
      <w:r>
        <w:rPr>
          <w:color w:val="231F20"/>
          <w:w w:val="95"/>
        </w:rPr>
        <w:t>as</w:t>
      </w:r>
      <w:r>
        <w:rPr>
          <w:color w:val="231F20"/>
        </w:rPr>
        <w:t> </w:t>
      </w:r>
      <w:r>
        <w:rPr>
          <w:color w:val="231F20"/>
          <w:w w:val="95"/>
        </w:rPr>
        <w:t>the</w:t>
      </w:r>
      <w:r>
        <w:rPr>
          <w:color w:val="231F20"/>
        </w:rPr>
        <w:t> </w:t>
      </w:r>
      <w:r>
        <w:rPr>
          <w:color w:val="231F20"/>
          <w:w w:val="95"/>
        </w:rPr>
        <w:t>expression</w:t>
      </w:r>
      <w:r>
        <w:rPr>
          <w:color w:val="231F20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80"/>
        </w:rPr>
        <w:t> </w:t>
      </w:r>
      <w:r>
        <w:rPr>
          <w:color w:val="231F20"/>
        </w:rPr>
        <w:t>be variable from regression to aggression.</w:t>
      </w:r>
      <w:r>
        <w:rPr>
          <w:color w:val="231F20"/>
          <w:spacing w:val="40"/>
        </w:rPr>
        <w:t> </w:t>
      </w:r>
      <w:r>
        <w:rPr>
          <w:color w:val="231F20"/>
        </w:rPr>
        <w:t>In our study </w:t>
      </w:r>
      <w:r>
        <w:rPr>
          <w:color w:val="231F20"/>
          <w:w w:val="95"/>
        </w:rPr>
        <w:t>stress because of suffering from medical illness (17%) and interpersonal conflicts (16%) were most common followed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by Academic stress (13%). In a study by Syed &amp; Khan, stress- ors related to school and home related were risk factors to </w:t>
      </w:r>
      <w:r>
        <w:rPr>
          <w:color w:val="231F20"/>
        </w:rPr>
        <w:t>suicide attempts.</w:t>
      </w:r>
      <w:r>
        <w:rPr>
          <w:color w:val="231F20"/>
          <w:position w:val="6"/>
          <w:sz w:val="11"/>
        </w:rPr>
        <w:t>14</w:t>
      </w:r>
    </w:p>
    <w:p>
      <w:pPr>
        <w:pStyle w:val="BodyText"/>
        <w:spacing w:before="6"/>
        <w:jc w:val="left"/>
        <w:rPr>
          <w:sz w:val="20"/>
        </w:rPr>
      </w:pPr>
    </w:p>
    <w:p>
      <w:pPr>
        <w:pStyle w:val="BodyText"/>
        <w:spacing w:line="244" w:lineRule="auto"/>
        <w:ind w:left="119" w:right="40"/>
      </w:pPr>
      <w:r>
        <w:rPr>
          <w:color w:val="231F20"/>
          <w:w w:val="90"/>
        </w:rPr>
        <w:t>This was a retrospective review so data collection was based</w:t>
      </w:r>
      <w:r>
        <w:rPr>
          <w:color w:val="231F20"/>
          <w:spacing w:val="80"/>
        </w:rPr>
        <w:t> </w:t>
      </w:r>
      <w:r>
        <w:rPr>
          <w:color w:val="231F20"/>
        </w:rPr>
        <w:t>on available records only. In some cases the patient got </w:t>
      </w:r>
      <w:r>
        <w:rPr>
          <w:color w:val="231F20"/>
          <w:w w:val="95"/>
        </w:rPr>
        <w:t>discharged before being seen by a consultant psychiatrist, </w:t>
      </w:r>
      <w:r>
        <w:rPr>
          <w:color w:val="231F20"/>
        </w:rPr>
        <w:t>leading us to rely on the residents’ notes and discussions </w:t>
      </w:r>
      <w:r>
        <w:rPr>
          <w:color w:val="231F20"/>
          <w:w w:val="95"/>
        </w:rPr>
        <w:t>with attending on the phone. The Sample was from only one institute and small, so generalizability cannot be possible.</w:t>
      </w:r>
    </w:p>
    <w:p>
      <w:pPr>
        <w:pStyle w:val="BodyText"/>
        <w:spacing w:before="6"/>
        <w:jc w:val="left"/>
        <w:rPr>
          <w:sz w:val="20"/>
        </w:rPr>
      </w:pPr>
    </w:p>
    <w:p>
      <w:pPr>
        <w:pStyle w:val="Heading1"/>
        <w:ind w:left="119"/>
      </w:pPr>
      <w:r>
        <w:rPr>
          <w:color w:val="95C11F"/>
          <w:spacing w:val="-2"/>
          <w:w w:val="95"/>
        </w:rPr>
        <w:t>CONCLUSION</w:t>
      </w:r>
    </w:p>
    <w:p>
      <w:pPr>
        <w:pStyle w:val="BodyText"/>
        <w:spacing w:before="7"/>
        <w:jc w:val="left"/>
        <w:rPr>
          <w:rFonts w:ascii="Gill Sans MT"/>
          <w:b/>
        </w:rPr>
      </w:pPr>
    </w:p>
    <w:p>
      <w:pPr>
        <w:pStyle w:val="BodyText"/>
        <w:spacing w:line="244" w:lineRule="auto"/>
        <w:ind w:left="119" w:right="38"/>
      </w:pPr>
      <w:r>
        <w:rPr>
          <w:color w:val="231F20"/>
          <w:w w:val="95"/>
        </w:rPr>
        <w:t>Despite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25"/>
        </w:rPr>
        <w:t> </w:t>
      </w:r>
      <w:r>
        <w:rPr>
          <w:color w:val="231F20"/>
          <w:w w:val="95"/>
        </w:rPr>
        <w:t>communicate a need to develop C&amp;A mental health services. This study highlights the importance of suicidal behavior in C&amp;A and </w:t>
      </w:r>
      <w:r>
        <w:rPr>
          <w:color w:val="231F20"/>
        </w:rPr>
        <w:t>the need to train health professionals for prompt and </w:t>
      </w:r>
      <w:r>
        <w:rPr>
          <w:color w:val="231F20"/>
          <w:w w:val="95"/>
        </w:rPr>
        <w:t>flawless assessment. There is need to identify risk factors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for increased prevalence of mental health issues in female gender and to plan a national programme. This study also communicates a dire need to develop effective consulta- tion liaison in tertiary care hospital.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Heading1"/>
        <w:spacing w:before="1"/>
        <w:ind w:left="119"/>
      </w:pPr>
      <w:r>
        <w:rPr>
          <w:color w:val="95C11F"/>
          <w:spacing w:val="-2"/>
          <w:w w:val="90"/>
        </w:rPr>
        <w:t>REFERENCES</w:t>
      </w:r>
    </w:p>
    <w:p>
      <w:pPr>
        <w:pStyle w:val="BodyText"/>
        <w:spacing w:before="7"/>
        <w:jc w:val="left"/>
        <w:rPr>
          <w:rFonts w:ascii="Gill Sans MT"/>
          <w:b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0" w:after="0"/>
        <w:ind w:left="461" w:right="40" w:hanging="342"/>
        <w:jc w:val="both"/>
        <w:rPr>
          <w:sz w:val="19"/>
        </w:rPr>
      </w:pPr>
      <w:r>
        <w:rPr>
          <w:color w:val="231F20"/>
          <w:w w:val="95"/>
          <w:sz w:val="19"/>
        </w:rPr>
        <w:t>Hresources ML, Ure I. Atlas, Atlas Child And Adolescent Mental Health Resources Global Concerns : Implications </w:t>
      </w:r>
      <w:r>
        <w:rPr>
          <w:color w:val="231F20"/>
          <w:sz w:val="19"/>
        </w:rPr>
        <w:t>For The Future. 2005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3" w:after="0"/>
        <w:ind w:left="461" w:right="40" w:hanging="342"/>
        <w:jc w:val="both"/>
        <w:rPr>
          <w:sz w:val="19"/>
        </w:rPr>
      </w:pPr>
      <w:r>
        <w:rPr>
          <w:color w:val="231F20"/>
          <w:w w:val="90"/>
          <w:sz w:val="19"/>
        </w:rPr>
        <w:t>Carandang C, Gray C, Marval-Ospino H, Macphee S. Child </w:t>
      </w:r>
      <w:r>
        <w:rPr>
          <w:color w:val="231F20"/>
          <w:w w:val="95"/>
          <w:sz w:val="19"/>
        </w:rPr>
        <w:t>And Adolescent Psychiatric Emergencies. In Reyjm (Ed), </w:t>
      </w:r>
      <w:r>
        <w:rPr>
          <w:color w:val="231F20"/>
          <w:sz w:val="19"/>
        </w:rPr>
        <w:t>IACAPAP E-Textbook Of Child And Adolescent Mental </w:t>
      </w:r>
      <w:r>
        <w:rPr>
          <w:color w:val="231F20"/>
          <w:w w:val="95"/>
          <w:sz w:val="19"/>
        </w:rPr>
        <w:t>Health. Geneva: International Association For Child And </w:t>
      </w:r>
      <w:r>
        <w:rPr>
          <w:color w:val="231F20"/>
          <w:sz w:val="19"/>
        </w:rPr>
        <w:t>Adolescent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Psychiatry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Allied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Professions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2012.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4" w:after="0"/>
        <w:ind w:left="461" w:right="40" w:hanging="342"/>
        <w:jc w:val="both"/>
        <w:rPr>
          <w:sz w:val="19"/>
        </w:rPr>
      </w:pPr>
      <w:r>
        <w:rPr>
          <w:color w:val="231F20"/>
          <w:sz w:val="19"/>
        </w:rPr>
        <w:t>Cooper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JL,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Masi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R.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Child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Youth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Emergency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Mental </w:t>
      </w:r>
      <w:r>
        <w:rPr>
          <w:color w:val="231F20"/>
          <w:w w:val="95"/>
          <w:sz w:val="19"/>
        </w:rPr>
        <w:t>Health Care: A National Problem. 2007.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2" w:after="0"/>
        <w:ind w:left="461" w:right="40" w:hanging="342"/>
        <w:jc w:val="both"/>
        <w:rPr>
          <w:sz w:val="19"/>
        </w:rPr>
      </w:pPr>
      <w:r>
        <w:rPr>
          <w:color w:val="231F20"/>
          <w:sz w:val="19"/>
        </w:rPr>
        <w:t>Margulies DM, Carlson GA. Assessment Of Child And </w:t>
      </w:r>
      <w:r>
        <w:rPr>
          <w:color w:val="231F20"/>
          <w:w w:val="95"/>
          <w:sz w:val="19"/>
        </w:rPr>
        <w:t>Adolescent Psychiatric Emergencies. Child And Adoles cent Psychopharmacology News.17(1):1-4.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3" w:after="0"/>
        <w:ind w:left="461" w:right="40" w:hanging="342"/>
        <w:jc w:val="both"/>
        <w:rPr>
          <w:sz w:val="19"/>
        </w:rPr>
      </w:pPr>
      <w:r>
        <w:rPr>
          <w:color w:val="231F20"/>
          <w:sz w:val="19"/>
        </w:rPr>
        <w:t>Healy E, Saha S, Subotsky F, Fombonne E. Emergency </w:t>
      </w:r>
      <w:r>
        <w:rPr>
          <w:color w:val="231F20"/>
          <w:w w:val="95"/>
          <w:sz w:val="19"/>
        </w:rPr>
        <w:t>Presentations To An Inner-City Adolescent Psychiatric Service.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Journal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Adolescence.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2002;25(4):397-404.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2" w:after="0"/>
        <w:ind w:left="461" w:right="0" w:hanging="343"/>
        <w:jc w:val="both"/>
        <w:rPr>
          <w:sz w:val="19"/>
        </w:rPr>
      </w:pPr>
      <w:r>
        <w:rPr>
          <w:color w:val="231F20"/>
          <w:w w:val="95"/>
          <w:sz w:val="19"/>
        </w:rPr>
        <w:t>Winiewski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A,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Niwiski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P,</w:t>
      </w:r>
      <w:r>
        <w:rPr>
          <w:color w:val="231F20"/>
          <w:spacing w:val="1"/>
          <w:sz w:val="19"/>
        </w:rPr>
        <w:t> </w:t>
      </w:r>
      <w:r>
        <w:rPr>
          <w:color w:val="231F20"/>
          <w:w w:val="95"/>
          <w:sz w:val="19"/>
        </w:rPr>
        <w:t>Tywonek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M,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Langowicz</w:t>
      </w:r>
      <w:r>
        <w:rPr>
          <w:color w:val="231F20"/>
          <w:spacing w:val="1"/>
          <w:sz w:val="19"/>
        </w:rPr>
        <w:t> </w:t>
      </w:r>
      <w:r>
        <w:rPr>
          <w:color w:val="231F20"/>
          <w:w w:val="95"/>
          <w:sz w:val="19"/>
        </w:rPr>
        <w:t>I.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P-</w:t>
      </w:r>
      <w:r>
        <w:rPr>
          <w:color w:val="231F20"/>
          <w:spacing w:val="-4"/>
          <w:w w:val="95"/>
          <w:sz w:val="19"/>
        </w:rPr>
        <w:t>416-</w:t>
      </w:r>
    </w:p>
    <w:p>
      <w:pPr>
        <w:pStyle w:val="BodyText"/>
        <w:spacing w:line="244" w:lineRule="auto" w:before="82"/>
        <w:ind w:left="461" w:right="113"/>
      </w:pPr>
      <w:r>
        <w:rPr/>
        <w:br w:type="column"/>
      </w:r>
      <w:r>
        <w:rPr>
          <w:color w:val="231F20"/>
          <w:w w:val="95"/>
        </w:rPr>
        <w:t>Psychiatric Consultation On Pediatric Wards: Four-Year </w:t>
      </w:r>
      <w:r>
        <w:rPr>
          <w:color w:val="231F20"/>
        </w:rPr>
        <w:t>Report And A Proposition Of New Application Form. European</w:t>
      </w:r>
      <w:r>
        <w:rPr>
          <w:color w:val="231F20"/>
          <w:spacing w:val="-3"/>
        </w:rPr>
        <w:t> </w:t>
      </w:r>
      <w:r>
        <w:rPr>
          <w:color w:val="231F20"/>
        </w:rPr>
        <w:t>Psychiatry.27:1.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3" w:after="0"/>
        <w:ind w:left="461" w:right="113" w:hanging="342"/>
        <w:jc w:val="both"/>
        <w:rPr>
          <w:sz w:val="19"/>
        </w:rPr>
      </w:pPr>
      <w:r>
        <w:rPr>
          <w:color w:val="231F20"/>
          <w:w w:val="95"/>
          <w:sz w:val="19"/>
        </w:rPr>
        <w:t>Jacintho A, Santos A, Salain TM, Celeri E, Banzato CEM, </w:t>
      </w:r>
      <w:r>
        <w:rPr>
          <w:color w:val="231F20"/>
          <w:sz w:val="19"/>
        </w:rPr>
        <w:t>Dalgalarrondo P. P02-11-Psychiatric Emergencies In </w:t>
      </w:r>
      <w:r>
        <w:rPr>
          <w:color w:val="231F20"/>
          <w:w w:val="95"/>
          <w:sz w:val="19"/>
        </w:rPr>
        <w:t>Children: Demographic And Clinical Care In A University Hospital. European Psychiatry.25:629.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4" w:after="0"/>
        <w:ind w:left="461" w:right="114" w:hanging="342"/>
        <w:jc w:val="both"/>
        <w:rPr>
          <w:sz w:val="19"/>
        </w:rPr>
      </w:pPr>
      <w:r>
        <w:rPr>
          <w:color w:val="231F20"/>
          <w:w w:val="90"/>
          <w:sz w:val="19"/>
        </w:rPr>
        <w:t>Country Cooperation Strategy At A Glance, World Health </w:t>
      </w:r>
      <w:r>
        <w:rPr>
          <w:color w:val="231F20"/>
          <w:sz w:val="19"/>
        </w:rPr>
        <w:t>Organisation.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2011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2" w:after="0"/>
        <w:ind w:left="461" w:right="113" w:hanging="342"/>
        <w:jc w:val="both"/>
        <w:rPr>
          <w:sz w:val="19"/>
        </w:rPr>
      </w:pPr>
      <w:r>
        <w:rPr>
          <w:color w:val="231F20"/>
          <w:sz w:val="19"/>
        </w:rPr>
        <w:t>Federal Budget 2012-2013, Government Of Pakistan, Finance Division, Islamabad. 2012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" w:after="0"/>
        <w:ind w:left="461" w:right="0" w:hanging="343"/>
        <w:jc w:val="both"/>
        <w:rPr>
          <w:sz w:val="19"/>
        </w:rPr>
      </w:pPr>
      <w:r>
        <w:rPr>
          <w:color w:val="231F20"/>
          <w:w w:val="95"/>
          <w:sz w:val="19"/>
        </w:rPr>
        <w:t>The</w:t>
      </w:r>
      <w:r>
        <w:rPr>
          <w:color w:val="231F20"/>
          <w:spacing w:val="11"/>
          <w:sz w:val="19"/>
        </w:rPr>
        <w:t> </w:t>
      </w:r>
      <w:r>
        <w:rPr>
          <w:color w:val="231F20"/>
          <w:w w:val="95"/>
          <w:sz w:val="19"/>
        </w:rPr>
        <w:t>State</w:t>
      </w:r>
      <w:r>
        <w:rPr>
          <w:color w:val="231F20"/>
          <w:spacing w:val="12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12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2"/>
          <w:sz w:val="19"/>
        </w:rPr>
        <w:t> </w:t>
      </w:r>
      <w:r>
        <w:rPr>
          <w:color w:val="231F20"/>
          <w:w w:val="95"/>
          <w:sz w:val="19"/>
        </w:rPr>
        <w:t>World's</w:t>
      </w:r>
      <w:r>
        <w:rPr>
          <w:color w:val="231F20"/>
          <w:spacing w:val="12"/>
          <w:sz w:val="19"/>
        </w:rPr>
        <w:t> </w:t>
      </w:r>
      <w:r>
        <w:rPr>
          <w:color w:val="231F20"/>
          <w:w w:val="95"/>
          <w:sz w:val="19"/>
        </w:rPr>
        <w:t>Children</w:t>
      </w:r>
      <w:r>
        <w:rPr>
          <w:color w:val="231F20"/>
          <w:spacing w:val="12"/>
          <w:sz w:val="19"/>
        </w:rPr>
        <w:t> </w:t>
      </w:r>
      <w:r>
        <w:rPr>
          <w:color w:val="231F20"/>
          <w:w w:val="95"/>
          <w:sz w:val="19"/>
        </w:rPr>
        <w:t>2000,</w:t>
      </w:r>
      <w:r>
        <w:rPr>
          <w:color w:val="231F20"/>
          <w:spacing w:val="12"/>
          <w:sz w:val="19"/>
        </w:rPr>
        <w:t> </w:t>
      </w:r>
      <w:r>
        <w:rPr>
          <w:color w:val="231F20"/>
          <w:w w:val="95"/>
          <w:sz w:val="19"/>
        </w:rPr>
        <w:t>UNICEF.</w:t>
      </w:r>
      <w:r>
        <w:rPr>
          <w:color w:val="231F20"/>
          <w:spacing w:val="11"/>
          <w:sz w:val="19"/>
        </w:rPr>
        <w:t> </w:t>
      </w:r>
      <w:r>
        <w:rPr>
          <w:color w:val="231F20"/>
          <w:spacing w:val="-2"/>
          <w:w w:val="95"/>
          <w:sz w:val="19"/>
        </w:rPr>
        <w:t>2011.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6" w:after="0"/>
        <w:ind w:left="461" w:right="113" w:hanging="342"/>
        <w:jc w:val="both"/>
        <w:rPr>
          <w:sz w:val="19"/>
        </w:rPr>
      </w:pPr>
      <w:r>
        <w:rPr>
          <w:color w:val="231F20"/>
          <w:sz w:val="19"/>
        </w:rPr>
        <w:t>Syed EU, Hussein SA, Haidry S-E-Z. Prevalence Of Emotional And Behavioural Problems Among Primary </w:t>
      </w:r>
      <w:r>
        <w:rPr>
          <w:color w:val="231F20"/>
          <w:w w:val="95"/>
          <w:sz w:val="19"/>
        </w:rPr>
        <w:t>School Children In Karachi, Pakistan: A Multi Informant Survey.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Indian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Journal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Pediatrics.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2009;76(6):623-7.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3" w:after="0"/>
        <w:ind w:left="461" w:right="113" w:hanging="342"/>
        <w:jc w:val="both"/>
        <w:rPr>
          <w:sz w:val="19"/>
        </w:rPr>
      </w:pPr>
      <w:r>
        <w:rPr>
          <w:color w:val="231F20"/>
          <w:sz w:val="19"/>
        </w:rPr>
        <w:t>Atlas: Child, Adolescent And Maternal Mental Health </w:t>
      </w:r>
      <w:r>
        <w:rPr>
          <w:color w:val="231F20"/>
          <w:w w:val="90"/>
          <w:sz w:val="19"/>
        </w:rPr>
        <w:t>Resources In The Eastern Mediterranean Region: / World </w:t>
      </w:r>
      <w:r>
        <w:rPr>
          <w:color w:val="231F20"/>
          <w:sz w:val="19"/>
        </w:rPr>
        <w:t>Health Organization. Regional Office For The Eastern </w:t>
      </w:r>
      <w:r>
        <w:rPr>
          <w:color w:val="231F20"/>
          <w:w w:val="90"/>
          <w:sz w:val="19"/>
        </w:rPr>
        <w:t>Mediterranean.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(EMRO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Technical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Publications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Series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No;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39)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4" w:after="0"/>
        <w:ind w:left="461" w:right="114" w:hanging="342"/>
        <w:jc w:val="both"/>
        <w:rPr>
          <w:sz w:val="19"/>
        </w:rPr>
      </w:pPr>
      <w:r>
        <w:rPr>
          <w:color w:val="231F20"/>
          <w:sz w:val="19"/>
        </w:rPr>
        <w:t>Jean S, Kim B, Donna R. Psychiatric Emergencies In Children And Adolescents: An Emergency Department </w:t>
      </w:r>
      <w:r>
        <w:rPr>
          <w:color w:val="231F20"/>
          <w:w w:val="95"/>
          <w:sz w:val="19"/>
        </w:rPr>
        <w:t>Audit. Australasian Psychiatry. 2006;14(4):403-7.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3" w:after="0"/>
        <w:ind w:left="461" w:right="114" w:hanging="342"/>
        <w:jc w:val="both"/>
        <w:rPr>
          <w:sz w:val="19"/>
        </w:rPr>
      </w:pPr>
      <w:r>
        <w:rPr>
          <w:color w:val="231F20"/>
          <w:w w:val="95"/>
          <w:sz w:val="19"/>
        </w:rPr>
        <w:t>Syed EU, Khan MM. Pattern Of Deliberate Self-Harm In </w:t>
      </w:r>
      <w:r>
        <w:rPr>
          <w:color w:val="231F20"/>
          <w:w w:val="90"/>
          <w:sz w:val="19"/>
        </w:rPr>
        <w:t>Young People In Karachi, Pakistan. Crisis: The Journal Of </w:t>
      </w:r>
      <w:r>
        <w:rPr>
          <w:color w:val="231F20"/>
          <w:w w:val="95"/>
          <w:sz w:val="19"/>
        </w:rPr>
        <w:t>Crisis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Intervention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Suicide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Prevention.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2008;29(3</w:t>
      </w:r>
    </w:p>
    <w:p>
      <w:pPr>
        <w:pStyle w:val="BodyText"/>
        <w:spacing w:before="3"/>
        <w:ind w:left="461"/>
        <w:jc w:val="left"/>
      </w:pPr>
      <w:r>
        <w:rPr>
          <w:color w:val="231F20"/>
          <w:w w:val="85"/>
        </w:rPr>
        <w:t>):159-</w:t>
      </w:r>
      <w:r>
        <w:rPr>
          <w:color w:val="231F20"/>
          <w:spacing w:val="-5"/>
          <w:w w:val="95"/>
        </w:rPr>
        <w:t>63.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5" w:after="0"/>
        <w:ind w:left="461" w:right="113" w:hanging="342"/>
        <w:jc w:val="both"/>
        <w:rPr>
          <w:sz w:val="19"/>
        </w:rPr>
      </w:pPr>
      <w:r>
        <w:rPr>
          <w:color w:val="231F20"/>
          <w:w w:val="95"/>
          <w:sz w:val="19"/>
        </w:rPr>
        <w:t>Mirza I, Jenkins R. Risk Factors, Prevalence, And Treat ment Of Anxiety And Depressive Disorders In Pakistan: Systematic Review. Bmj. 2004;328(7443):794.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4" w:lineRule="auto" w:before="3" w:after="0"/>
        <w:ind w:left="461" w:right="114" w:hanging="342"/>
        <w:jc w:val="both"/>
        <w:rPr>
          <w:sz w:val="19"/>
        </w:rPr>
      </w:pPr>
      <w:r>
        <w:rPr>
          <w:color w:val="231F20"/>
          <w:w w:val="95"/>
          <w:sz w:val="19"/>
        </w:rPr>
        <w:t>Identifying Signs Of Stress In Your Children And Teens. </w:t>
      </w:r>
      <w:r>
        <w:rPr>
          <w:color w:val="231F20"/>
          <w:sz w:val="19"/>
        </w:rPr>
        <w:t>American Psychological Association. 2013</w:t>
      </w:r>
    </w:p>
    <w:p>
      <w:pPr>
        <w:spacing w:after="0" w:line="244" w:lineRule="auto"/>
        <w:jc w:val="both"/>
        <w:rPr>
          <w:sz w:val="19"/>
        </w:rPr>
        <w:sectPr>
          <w:pgSz w:w="11880" w:h="15840"/>
          <w:pgMar w:top="800" w:bottom="280" w:left="600" w:right="600"/>
          <w:cols w:num="2" w:equalWidth="0">
            <w:col w:w="5113" w:space="381"/>
            <w:col w:w="5186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931904" id="docshapegroup25" coordorigin="-10,-10" coordsize="11900,15860">
            <v:line style="position:absolute" from="11126,14982" to="0,14982" stroked="true" strokeweight=".75pt" strokecolor="#1d1d1b">
              <v:stroke dashstyle="solid"/>
            </v:line>
            <v:rect style="position:absolute;left:8773;top:-1;width:587;height:379" id="docshape26" filled="true" fillcolor="#95c11f" stroked="false">
              <v:fill opacity="26214f" type="solid"/>
            </v:rect>
            <v:rect style="position:absolute;left:9359;top:-1;width:587;height:379" id="docshape27" filled="true" fillcolor="#95c11f" stroked="false">
              <v:fill opacity="45875f" type="solid"/>
            </v:rect>
            <v:rect style="position:absolute;left:9946;top:-1;width:587;height:379" id="docshape28" filled="true" fillcolor="#95c11f" stroked="false">
              <v:fill opacity="19660f" type="solid"/>
            </v:rect>
            <v:rect style="position:absolute;left:10532;top:-1;width:587;height:379" id="docshape29" filled="true" fillcolor="#95c11f" stroked="false">
              <v:fill opacity="32768f" type="solid"/>
            </v:rect>
            <v:rect style="position:absolute;left:11501;top:12311;width:379;height:587" id="docshape30" filled="true" fillcolor="#95c11f" stroked="false">
              <v:fill opacity="26214f" type="solid"/>
            </v:rect>
            <v:rect style="position:absolute;left:11501;top:12898;width:379;height:587" id="docshape31" filled="true" fillcolor="#95c11f" stroked="false">
              <v:fill opacity="45875f" type="solid"/>
            </v:rect>
            <v:rect style="position:absolute;left:11501;top:13484;width:379;height:587" id="docshape32" filled="true" fillcolor="#95c11f" stroked="false">
              <v:fill opacity="19660f" type="solid"/>
            </v:rect>
            <v:rect style="position:absolute;left:11501;top:14071;width:379;height:587" id="docshape33" filled="true" fillcolor="#95c11f" stroked="false">
              <v:fill opacity="32768f" type="solid"/>
            </v:rect>
            <v:rect style="position:absolute;left:0;top:0;width:11880;height:15840" id="docshape34" filled="false" stroked="true" strokeweight="1pt" strokecolor="#1d1d1b">
              <v:stroke dashstyle="solid"/>
            </v:rect>
            <v:shape style="position:absolute;left:0;top:14974;width:2;height:15" id="docshape35" coordorigin="0,14974" coordsize="0,15" path="m0,14974l0,14989,0,14974xe" filled="true" fillcolor="#1d1d1b" stroked="false">
              <v:path arrowok="t"/>
              <v:fill type="solid"/>
            </v:shape>
            <v:line style="position:absolute" from="0,0" to="0,15840" stroked="true" strokeweight="1pt" strokecolor="#1d1d1b">
              <v:stroke dashstyle="solid"/>
            </v:line>
            <w10:wrap type="none"/>
          </v:group>
        </w:pict>
      </w:r>
    </w:p>
    <w:p>
      <w:pPr>
        <w:pStyle w:val="BodyText"/>
        <w:jc w:val="left"/>
        <w:rPr>
          <w:sz w:val="20"/>
        </w:rPr>
      </w:pPr>
    </w:p>
    <w:p>
      <w:pPr>
        <w:tabs>
          <w:tab w:pos="7979" w:val="left" w:leader="none"/>
        </w:tabs>
        <w:spacing w:before="0"/>
        <w:ind w:left="120" w:right="0" w:firstLine="0"/>
        <w:jc w:val="left"/>
        <w:rPr>
          <w:i/>
          <w:sz w:val="12"/>
        </w:rPr>
      </w:pP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23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</w:p>
    <w:sectPr>
      <w:type w:val="continuous"/>
      <w:pgSz w:w="11880" w:h="15840"/>
      <w:pgMar w:top="4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4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0"/>
        <w:sz w:val="19"/>
        <w:szCs w:val="19"/>
      </w:rPr>
    </w:lvl>
    <w:lvl w:ilvl="1">
      <w:start w:val="0"/>
      <w:numFmt w:val="bullet"/>
      <w:lvlText w:val="•"/>
      <w:lvlJc w:val="left"/>
      <w:pPr>
        <w:ind w:left="925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90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5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21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6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1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6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2" w:hanging="34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3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82"/>
      <w:ind w:right="119"/>
    </w:pPr>
    <w:rPr>
      <w:rFonts w:ascii="Trebuchet MS" w:hAnsi="Trebuchet MS" w:eastAsia="Trebuchet MS" w:cs="Trebuchet MS"/>
      <w:sz w:val="34"/>
      <w:szCs w:val="34"/>
    </w:rPr>
  </w:style>
  <w:style w:styleId="ListParagraph" w:type="paragraph">
    <w:name w:val="List Paragraph"/>
    <w:basedOn w:val="Normal"/>
    <w:uiPriority w:val="1"/>
    <w:qFormat/>
    <w:pPr>
      <w:spacing w:before="2"/>
      <w:ind w:left="461" w:right="40" w:hanging="34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41"/>
      <w:ind w:left="5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hyperlink" Target="mailto:khan.faheem@outlook.com" TargetMode="Externa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B2F9C-12F6-4D5F-8B6B-125B5A21BE7F}"/>
</file>

<file path=customXml/itemProps2.xml><?xml version="1.0" encoding="utf-8"?>
<ds:datastoreItem xmlns:ds="http://schemas.openxmlformats.org/officeDocument/2006/customXml" ds:itemID="{705E881F-25C2-4AE5-8955-C09D7E741C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2022-07-28T16:44:33Z</dcterms:created>
  <dcterms:modified xsi:type="dcterms:W3CDTF">2022-07-28T16:44:33Z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Nitro PDF Professional</vt:lpwstr>
  </property>
  <property fmtid="{D5CDD505-2E9C-101B-9397-08002B2CF9AE}" pid="4" name="LastSaved">
    <vt:filetime>2022-07-28T00:00:00Z</vt:filetime>
  </property>
</Properties>
</file>