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 w:val="false"/>
        <w:spacing w:after="160"/>
        <w:jc w:val="left"/>
      </w:pPr>
      <w:r>
        <w:rPr>
          <w:rFonts w:ascii="DejaVu Sans" w:cs="DejaVu Sans" w:eastAsia="DejaVu Sans" w:hAnsi="DejaVu Sans"/>
          <w:rtl w:val="false"/>
        </w:rPr>
        <w:t xml:space="preserve">Shock — الصدمة</w:t>
      </w:r>
    </w:p>
    <w:p>
      <w:pPr>
        <w:bidi w:val="false"/>
        <w:spacing w:after="160"/>
        <w:jc w:val="left"/>
      </w:pPr>
      <w:r>
        <w:rPr>
          <w:rFonts w:ascii="DejaVu Sans" w:cs="DejaVu Sans" w:eastAsia="DejaVu Sans" w:hAnsi="DejaVu Sans"/>
          <w:sz w:val="18"/>
          <w:szCs w:val="18"/>
          <w:rtl w:val="false"/>
        </w:rPr>
        <w:t xml:space="preserve">TEST FIXTURE — synthetic structural document for automated tests. Not a medical reference.</w:t>
      </w:r>
    </w:p>
    <w:p>
      <w:pPr>
        <w:pStyle w:val="Heading2"/>
        <w:bidi w:val="false"/>
        <w:spacing w:after="160"/>
        <w:jc w:val="left"/>
      </w:pPr>
      <w:r>
        <w:rPr>
          <w:rFonts w:ascii="DejaVu Sans" w:cs="DejaVu Sans" w:eastAsia="DejaVu Sans" w:hAnsi="DejaVu Sans"/>
          <w:rtl w:val="false"/>
        </w:rPr>
        <w:t xml:space="preserve">Classification</w:t>
      </w:r>
    </w:p>
    <w:p>
      <w:pPr>
        <w:bidi w:val="false"/>
        <w:spacing w:after="160"/>
        <w:jc w:val="left"/>
      </w:pPr>
      <w:r>
        <w:rPr>
          <w:rFonts w:ascii="DejaVu Sans" w:cs="DejaVu Sans" w:eastAsia="DejaVu Sans" w:hAnsi="DejaVu Sans"/>
          <w:rtl w:val="false"/>
        </w:rPr>
        <w:t xml:space="preserve">Shock is classified as hypovolaemic, cardiogenic, distributive or obstructive.</w:t>
      </w:r>
    </w:p>
    <w:p>
      <w:pPr>
        <w:bidi/>
        <w:spacing w:after="160"/>
        <w:jc w:val="left"/>
      </w:pPr>
      <w:r>
        <w:rPr>
          <w:rFonts w:ascii="DejaVu Sans" w:cs="DejaVu Sans" w:eastAsia="DejaVu Sans" w:hAnsi="DejaVu Sans"/>
          <w:rtl/>
        </w:rPr>
        <w:t xml:space="preserve">تُصنف الصدمة إلى نقص الحجم، قلبية، توزيعية، أو انسدادية.</w:t>
      </w:r>
    </w:p>
    <w:p>
      <w:pPr>
        <w:pStyle w:val="Heading2"/>
        <w:bidi w:val="false"/>
        <w:spacing w:after="160"/>
        <w:jc w:val="left"/>
      </w:pPr>
      <w:r>
        <w:rPr>
          <w:rFonts w:ascii="DejaVu Sans" w:cs="DejaVu Sans" w:eastAsia="DejaVu Sans" w:hAnsi="DejaVu Sans"/>
          <w:rtl w:val="false"/>
        </w:rPr>
        <w:t xml:space="preserve">Initial assessment</w:t>
      </w:r>
    </w:p>
    <w:p>
      <w:pPr>
        <w:bidi w:val="false"/>
        <w:spacing w:after="160"/>
        <w:jc w:val="left"/>
      </w:pPr>
      <w:r>
        <w:rPr>
          <w:rFonts w:ascii="DejaVu Sans" w:cs="DejaVu Sans" w:eastAsia="DejaVu Sans" w:hAnsi="DejaVu Sans"/>
          <w:rtl w:val="false"/>
        </w:rPr>
        <w:t xml:space="preserve">Assess airway, breathing and circulation (ABC) first.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2026-10-09T15:58:24.714Z</dcterms:created>
  <dcterms:modified xsi:type="dcterms:W3CDTF">2026-10-09T15:58:24.714Z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