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160 bp增强子：生成模型与权重选择核验</w:t>
      </w:r>
    </w:p>
    <w:p>
      <w:r>
        <w:t>审阅日期：2026-10-08。依据PPT第8–15页及现存结果重分析，不包含新的训练、生成或FIMO扫描。</w:t>
      </w:r>
    </w:p>
    <w:p>
      <w:pPr>
        <w:pStyle w:val="Heading1"/>
      </w:pPr>
      <w:r>
        <w:t>建议与证据</w:t>
      </w:r>
    </w:p>
    <w:p>
      <w:r>
        <w:t>建议采用旧版final DDPM epoch1800作为生成质量主候选。在DDPM与DiT各40个现存checkpoint中，该批次6-mer PCC最高，为0.9724；相比当年选定的DiT epoch1050，6-mer PCC更高、GC分布WD与motif位置WD更低。该结论限于已存在的采样结果，不代表DDPM在全部指标和全部模型中最优。</w:t>
      </w:r>
    </w:p>
    <w:p>
      <w:r>
        <w:t>推荐权重：topic_all/topic2_Diffusion/DDPM/final/DDPM/params/epoch_1800_params.pkl。SHA256：431b3c843a23a041225cd5be770550b7478494ab830d68f6f5162d683d36d1de。</w:t>
      </w:r>
    </w:p>
    <w:p>
      <w:pPr>
        <w:pStyle w:val="Heading1"/>
      </w:pPr>
      <w:r>
        <w:t>候选批次的同口径比较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模型／epoch</w:t>
            </w:r>
          </w:p>
        </w:tc>
        <w:tc>
          <w:tcPr>
            <w:tcW w:type="dxa" w:w="2268"/>
          </w:tcPr>
          <w:p>
            <w:r>
              <w:t>6-mer PCC ↑</w:t>
            </w:r>
          </w:p>
        </w:tc>
        <w:tc>
          <w:tcPr>
            <w:tcW w:type="dxa" w:w="2268"/>
          </w:tcPr>
          <w:p>
            <w:r>
              <w:t>GC WD ↓</w:t>
            </w:r>
          </w:p>
        </w:tc>
        <w:tc>
          <w:tcPr>
            <w:tcW w:type="dxa" w:w="2268"/>
          </w:tcPr>
          <w:p>
            <w:r>
              <w:t>motif位置WD ↓</w:t>
            </w:r>
          </w:p>
        </w:tc>
      </w:tr>
      <w:tr>
        <w:tc>
          <w:tcPr>
            <w:tcW w:type="dxa" w:w="2268"/>
          </w:tcPr>
          <w:p>
            <w:r>
              <w:t>DDPM 900</w:t>
            </w:r>
          </w:p>
        </w:tc>
        <w:tc>
          <w:tcPr>
            <w:tcW w:type="dxa" w:w="2268"/>
          </w:tcPr>
          <w:p>
            <w:r>
              <w:t>0.9261</w:t>
            </w:r>
          </w:p>
        </w:tc>
        <w:tc>
          <w:tcPr>
            <w:tcW w:type="dxa" w:w="2268"/>
          </w:tcPr>
          <w:p>
            <w:r>
              <w:t>0.0260</w:t>
            </w:r>
          </w:p>
        </w:tc>
        <w:tc>
          <w:tcPr>
            <w:tcW w:type="dxa" w:w="2268"/>
          </w:tcPr>
          <w:p>
            <w:r>
              <w:t>0.4223</w:t>
            </w:r>
          </w:p>
        </w:tc>
      </w:tr>
      <w:tr>
        <w:tc>
          <w:tcPr>
            <w:tcW w:type="dxa" w:w="2268"/>
          </w:tcPr>
          <w:p>
            <w:r>
              <w:t>DDPM 1800</w:t>
            </w:r>
          </w:p>
        </w:tc>
        <w:tc>
          <w:tcPr>
            <w:tcW w:type="dxa" w:w="2268"/>
          </w:tcPr>
          <w:p>
            <w:r>
              <w:t>0.9724</w:t>
            </w:r>
          </w:p>
        </w:tc>
        <w:tc>
          <w:tcPr>
            <w:tcW w:type="dxa" w:w="2268"/>
          </w:tcPr>
          <w:p>
            <w:r>
              <w:t>0.0109</w:t>
            </w:r>
          </w:p>
        </w:tc>
        <w:tc>
          <w:tcPr>
            <w:tcW w:type="dxa" w:w="2268"/>
          </w:tcPr>
          <w:p>
            <w:r>
              <w:t>0.6666</w:t>
            </w:r>
          </w:p>
        </w:tc>
      </w:tr>
      <w:tr>
        <w:tc>
          <w:tcPr>
            <w:tcW w:type="dxa" w:w="2268"/>
          </w:tcPr>
          <w:p>
            <w:r>
              <w:t>DDPM 2000</w:t>
            </w:r>
          </w:p>
        </w:tc>
        <w:tc>
          <w:tcPr>
            <w:tcW w:type="dxa" w:w="2268"/>
          </w:tcPr>
          <w:p>
            <w:r>
              <w:t>0.9626</w:t>
            </w:r>
          </w:p>
        </w:tc>
        <w:tc>
          <w:tcPr>
            <w:tcW w:type="dxa" w:w="2268"/>
          </w:tcPr>
          <w:p>
            <w:r>
              <w:t>0.0046</w:t>
            </w:r>
          </w:p>
        </w:tc>
        <w:tc>
          <w:tcPr>
            <w:tcW w:type="dxa" w:w="2268"/>
          </w:tcPr>
          <w:p>
            <w:r>
              <w:t>1.8271</w:t>
            </w:r>
          </w:p>
        </w:tc>
      </w:tr>
      <w:tr>
        <w:tc>
          <w:tcPr>
            <w:tcW w:type="dxa" w:w="2268"/>
          </w:tcPr>
          <w:p>
            <w:r>
              <w:t>DiT 1050</w:t>
            </w:r>
          </w:p>
        </w:tc>
        <w:tc>
          <w:tcPr>
            <w:tcW w:type="dxa" w:w="2268"/>
          </w:tcPr>
          <w:p>
            <w:r>
              <w:t>0.9358</w:t>
            </w:r>
          </w:p>
        </w:tc>
        <w:tc>
          <w:tcPr>
            <w:tcW w:type="dxa" w:w="2268"/>
          </w:tcPr>
          <w:p>
            <w:r>
              <w:t>0.0389</w:t>
            </w:r>
          </w:p>
        </w:tc>
        <w:tc>
          <w:tcPr>
            <w:tcW w:type="dxa" w:w="2268"/>
          </w:tcPr>
          <w:p>
            <w:r>
              <w:t>0.7735</w:t>
            </w:r>
          </w:p>
        </w:tc>
      </w:tr>
    </w:tbl>
    <w:p>
      <w:r>
        <w:t>每个checkpoint1000条160bp序列。真实参照11984条，来源于NG训练数据，不是独立测试集。不同checkpoint不是独立训练重复，未作显著性断言。</w:t>
      </w:r>
    </w:p>
    <w:p>
      <w:r>
        <w:br w:type="page"/>
      </w:r>
    </w:p>
    <w:p>
      <w:pPr>
        <w:pStyle w:val="Heading1"/>
      </w:pPr>
      <w:r>
        <w:t>图1：模型家族筛选</w:t>
      </w:r>
    </w:p>
    <w:p>
      <w:r>
        <w:drawing>
          <wp:inline xmlns:a="http://schemas.openxmlformats.org/drawingml/2006/main" xmlns:pic="http://schemas.openxmlformats.org/drawingml/2006/picture">
            <wp:extent cx="5760000" cy="2610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odel_family_scree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个点是历史checkpoint。TF面板支持DDPM/DiT优于LDM的位置分布接近程度；JASPAR面板却显示LDM位置WD更低，必须联合解释。图中数字为中位数，箱体是checkpoint间分布，不是重复实验置信区间。该历史筛选批次与下一图分开分析。</w:t>
      </w:r>
    </w:p>
    <w:p>
      <w:r>
        <w:br w:type="page"/>
      </w:r>
    </w:p>
    <w:p>
      <w:pPr>
        <w:pStyle w:val="Heading1"/>
      </w:pPr>
      <w:r>
        <w:t>图2：具体checkpoint选择</w:t>
      </w:r>
    </w:p>
    <w:p>
      <w:r>
        <w:drawing>
          <wp:inline xmlns:a="http://schemas.openxmlformats.org/drawingml/2006/main" xmlns:pic="http://schemas.openxmlformats.org/drawingml/2006/picture">
            <wp:extent cx="5760000" cy="3493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heckpoint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上排展示完整DDPM/DiT扫描，下排比较历史候选与两个DDPM参照。DDPM1800的6-mer PCC在80个批次中最高，且优于历史DiT1050的三个所示指标；DDPM2000的GC分布WD更低，DDPM900的位置WD更低，展示选择中的权衡。</w:t>
      </w:r>
    </w:p>
    <w:p>
      <w:pPr>
        <w:pStyle w:val="Heading1"/>
      </w:pPr>
      <w:r>
        <w:t>论文结果建议表述</w:t>
      </w:r>
    </w:p>
    <w:p>
      <w:r>
        <w:t>为选择生成模型及其采样权重，我们对旧版DDPM和DiT各40个checkpoint的现存序列进行了统一长度与样本量的回顾性评价。在本轮80个采样批次中，DDPM epoch1800达到最高的6-mer频率相关性（PCC=0.9724）。与历史选择的DiT epoch1050相比，该批次同时表现出更低的GC分布Wasserstein距离（0.0109 vs. 0.0389）和JASPAR motif中心位置分布距离（0.6666 vs. 0.7735）。这些结果支持将DDPM epoch1800作为生成质量主候选，同时保留不同指标所指向的其他checkpoint。</w:t>
      </w:r>
    </w:p>
    <w:p>
      <w:pPr>
        <w:pStyle w:val="Heading1"/>
      </w:pPr>
      <w:r>
        <w:t>需要保留的边界</w:t>
      </w:r>
    </w:p>
    <w:p>
      <w:r>
        <w:t>PPT第14页写2000条，但原始FASTA及FIMO XML证实每批1000条；新图已更正。</w:t>
      </w:r>
    </w:p>
    <w:p>
      <w:r>
        <w:t>PPT重复序列截图没有批次来源，不能用于宣称DiT1050整体模式崩塌。</w:t>
      </w:r>
    </w:p>
    <w:p>
      <w:r>
        <w:t>10月1日引导补验实际使用epoch2000；不能将它改标为1800。若要求两节结果全程使用同一权重，仍需对应的引导对照。</w:t>
      </w:r>
    </w:p>
    <w:p>
      <w:r>
        <w:t>本轮不包含UViT的统一条件比较；其他批次的UViT结果不能据此认定较差。</w:t>
      </w:r>
    </w:p>
    <w:p>
      <w:r>
        <w:t>原始采样种子和不可变权重哈希缺失；当前哈希用于冻结现存文件。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