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160 bp增强子：生成模型与权重选择核验</w:t>
      </w:r>
    </w:p>
    <w:p>
      <w:r>
        <w:t>审阅日期：2026-10-08。依据PPT第8–15页及现存结果重分析，不包含新的训练、生成或FIMO扫描。</w:t>
      </w:r>
    </w:p>
    <w:p>
      <w:pPr>
        <w:pStyle w:val="Heading1"/>
      </w:pPr>
      <w:r>
        <w:t>修订结论与候选证据</w:t>
      </w:r>
    </w:p>
    <w:p>
      <w:r>
        <w:t>修订结论：此前遗漏UViT，并将6-mer最高的DDPM1800过早推荐为最终权重，现撤回这一口径。DDPM1800仅是6-mer组成指标上的候选；旧版final DDPM的最低WD在epoch900，DiT也有更低的WD，2024批次的最低WD属于UViT-v2 config4 epoch1800。最终模型和权重尚未确定。</w:t>
      </w:r>
    </w:p>
    <w:p>
      <w:r>
        <w:t>DDPM1800候选权重（尚未最终选定）：topic_all/topic2_Diffusion/DDPM/final/DDPM/params/epoch_1800_params.pkl。SHA256：431b3c843a23a041225cd5be770550b7478494ab830d68f6f5162d683d36d1de。</w:t>
      </w:r>
    </w:p>
    <w:p>
      <w:pPr>
        <w:pStyle w:val="Heading1"/>
      </w:pPr>
      <w:r>
        <w:t>候选批次的同口径比较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t>模型／epoch</w:t>
            </w:r>
          </w:p>
        </w:tc>
        <w:tc>
          <w:tcPr>
            <w:tcW w:type="dxa" w:w="2268"/>
          </w:tcPr>
          <w:p>
            <w:r>
              <w:t>6-mer PCC ↑</w:t>
            </w:r>
          </w:p>
        </w:tc>
        <w:tc>
          <w:tcPr>
            <w:tcW w:type="dxa" w:w="2268"/>
          </w:tcPr>
          <w:p>
            <w:r>
              <w:t>GC WD ↓</w:t>
            </w:r>
          </w:p>
        </w:tc>
        <w:tc>
          <w:tcPr>
            <w:tcW w:type="dxa" w:w="2268"/>
          </w:tcPr>
          <w:p>
            <w:r>
              <w:t>motif位置WD ↓</w:t>
            </w:r>
          </w:p>
        </w:tc>
      </w:tr>
      <w:tr>
        <w:tc>
          <w:tcPr>
            <w:tcW w:type="dxa" w:w="2268"/>
          </w:tcPr>
          <w:p>
            <w:r>
              <w:t>DDPM 900</w:t>
            </w:r>
          </w:p>
        </w:tc>
        <w:tc>
          <w:tcPr>
            <w:tcW w:type="dxa" w:w="2268"/>
          </w:tcPr>
          <w:p>
            <w:r>
              <w:t>0.9261</w:t>
            </w:r>
          </w:p>
        </w:tc>
        <w:tc>
          <w:tcPr>
            <w:tcW w:type="dxa" w:w="2268"/>
          </w:tcPr>
          <w:p>
            <w:r>
              <w:t>0.0260</w:t>
            </w:r>
          </w:p>
        </w:tc>
        <w:tc>
          <w:tcPr>
            <w:tcW w:type="dxa" w:w="2268"/>
          </w:tcPr>
          <w:p>
            <w:r>
              <w:t>0.4223</w:t>
            </w:r>
          </w:p>
        </w:tc>
      </w:tr>
      <w:tr>
        <w:tc>
          <w:tcPr>
            <w:tcW w:type="dxa" w:w="2268"/>
          </w:tcPr>
          <w:p>
            <w:r>
              <w:t>DDPM 1800</w:t>
            </w:r>
          </w:p>
        </w:tc>
        <w:tc>
          <w:tcPr>
            <w:tcW w:type="dxa" w:w="2268"/>
          </w:tcPr>
          <w:p>
            <w:r>
              <w:t>0.9724</w:t>
            </w:r>
          </w:p>
        </w:tc>
        <w:tc>
          <w:tcPr>
            <w:tcW w:type="dxa" w:w="2268"/>
          </w:tcPr>
          <w:p>
            <w:r>
              <w:t>0.0109</w:t>
            </w:r>
          </w:p>
        </w:tc>
        <w:tc>
          <w:tcPr>
            <w:tcW w:type="dxa" w:w="2268"/>
          </w:tcPr>
          <w:p>
            <w:r>
              <w:t>0.6666</w:t>
            </w:r>
          </w:p>
        </w:tc>
      </w:tr>
      <w:tr>
        <w:tc>
          <w:tcPr>
            <w:tcW w:type="dxa" w:w="2268"/>
          </w:tcPr>
          <w:p>
            <w:r>
              <w:t>DDPM 2000</w:t>
            </w:r>
          </w:p>
        </w:tc>
        <w:tc>
          <w:tcPr>
            <w:tcW w:type="dxa" w:w="2268"/>
          </w:tcPr>
          <w:p>
            <w:r>
              <w:t>0.9626</w:t>
            </w:r>
          </w:p>
        </w:tc>
        <w:tc>
          <w:tcPr>
            <w:tcW w:type="dxa" w:w="2268"/>
          </w:tcPr>
          <w:p>
            <w:r>
              <w:t>0.0046</w:t>
            </w:r>
          </w:p>
        </w:tc>
        <w:tc>
          <w:tcPr>
            <w:tcW w:type="dxa" w:w="2268"/>
          </w:tcPr>
          <w:p>
            <w:r>
              <w:t>1.8271</w:t>
            </w:r>
          </w:p>
        </w:tc>
      </w:tr>
      <w:tr>
        <w:tc>
          <w:tcPr>
            <w:tcW w:type="dxa" w:w="2268"/>
          </w:tcPr>
          <w:p>
            <w:r>
              <w:t>DiT 1050</w:t>
            </w:r>
          </w:p>
        </w:tc>
        <w:tc>
          <w:tcPr>
            <w:tcW w:type="dxa" w:w="2268"/>
          </w:tcPr>
          <w:p>
            <w:r>
              <w:t>0.9358</w:t>
            </w:r>
          </w:p>
        </w:tc>
        <w:tc>
          <w:tcPr>
            <w:tcW w:type="dxa" w:w="2268"/>
          </w:tcPr>
          <w:p>
            <w:r>
              <w:t>0.0389</w:t>
            </w:r>
          </w:p>
        </w:tc>
        <w:tc>
          <w:tcPr>
            <w:tcW w:type="dxa" w:w="2268"/>
          </w:tcPr>
          <w:p>
            <w:r>
              <w:t>0.7735</w:t>
            </w:r>
          </w:p>
        </w:tc>
      </w:tr>
    </w:tbl>
    <w:p>
      <w:r>
        <w:t>每个checkpoint1000条160bp序列。真实参照11984条，来源于NG训练数据，不是独立测试集。不同checkpoint不是独立训练重复，未作显著性断言。</w:t>
      </w:r>
    </w:p>
    <w:p>
      <w:r>
        <w:br w:type="page"/>
      </w:r>
    </w:p>
    <w:p>
      <w:pPr>
        <w:pStyle w:val="Heading1"/>
      </w:pPr>
      <w:r>
        <w:t>图1：模型家族筛选</w:t>
      </w:r>
    </w:p>
    <w:p>
      <w:r>
        <w:drawing>
          <wp:inline xmlns:a="http://schemas.openxmlformats.org/drawingml/2006/main" xmlns:pic="http://schemas.openxmlformats.org/drawingml/2006/picture">
            <wp:extent cx="5760000" cy="2610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model_family_screen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0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每个点是历史checkpoint。TF面板支持DDPM/DiT优于LDM的位置分布接近程度；JASPAR面板却显示LDM位置WD更低，必须联合解释。图中数字为中位数，箱体是checkpoint间分布，不是重复实验置信区间。该历史筛选批次与下一图分开分析。</w:t>
      </w:r>
    </w:p>
    <w:p>
      <w:r>
        <w:br w:type="page"/>
      </w:r>
    </w:p>
    <w:p>
      <w:pPr>
        <w:pStyle w:val="Heading1"/>
      </w:pPr>
      <w:r>
        <w:t>图2：具体checkpoint选择</w:t>
      </w:r>
    </w:p>
    <w:p>
      <w:r>
        <w:drawing>
          <wp:inline xmlns:a="http://schemas.openxmlformats.org/drawingml/2006/main" xmlns:pic="http://schemas.openxmlformats.org/drawingml/2006/picture">
            <wp:extent cx="5760000" cy="34932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heckpoint_se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3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上排展示完整DDPM/DiT扫描，下排比较历史候选与两个DDPM参照。DDPM1800的6-mer PCC在80个批次中最高，且优于历史DiT1050的三个所示指标；DDPM2000的GC分布WD更低，DDPM900的位置WD更低，展示选择中的权衡。</w:t>
      </w:r>
    </w:p>
    <w:p>
      <w:pPr>
        <w:pStyle w:val="Heading1"/>
      </w:pPr>
      <w:r>
        <w:t>可采用的候选比较表述（不能作为最终选型结论）</w:t>
      </w:r>
    </w:p>
    <w:p>
      <w:r>
        <w:t>为选择生成模型及其采样权重，我们对旧版DDPM和DiT各40个checkpoint的现存序列进行了统一长度与样本量的回顾性评价。在本轮80个采样批次中，DDPM epoch1800达到最高的6-mer频率相关性（PCC=0.9724）。与历史选择的DiT epoch1050相比，该批次同时表现出更低的GC分布Wasserstein距离（0.0109 vs. 0.0389）和JASPAR motif中心位置分布距离（0.6666 vs. 0.7735）。这些结果支持保留DDPM epoch1800作为6-mer组成接近度候选，但不证明其WD最小或优于UViT；主指标及质量门槛尚未冻结，最终模型与权重未确定。</w:t>
      </w:r>
    </w:p>
    <w:p>
      <w:pPr>
        <w:pStyle w:val="Heading1"/>
      </w:pPr>
      <w:r>
        <w:t>需要保留的边界</w:t>
      </w:r>
    </w:p>
    <w:p>
      <w:r>
        <w:t>PPT第14页写2000条，但原始FASTA及FIMO XML证实每批1000条；新图已更正。</w:t>
      </w:r>
    </w:p>
    <w:p>
      <w:r>
        <w:t>PPT重复序列截图没有批次来源，不能用于宣称DiT1050整体模式崩塌。</w:t>
      </w:r>
    </w:p>
    <w:p>
      <w:r>
        <w:t>10月1日引导补验实际使用epoch2000；不能将它改标为1800。若要求两节结果全程使用同一权重，仍需对应的引导对照。</w:t>
      </w:r>
    </w:p>
    <w:p>
      <w:r>
        <w:t>本轮不包含UViT的统一条件比较；其他批次的UViT结果不能据此认定较差。</w:t>
      </w:r>
    </w:p>
    <w:p>
      <w:r>
        <w:t>原始采样种子和不可变权重哈希缺失；当前哈希用于冻结现存文件。</w:t>
      </w:r>
    </w:p>
    <w:p>
      <w:r>
        <w:br w:type="page"/>
      </w:r>
    </w:p>
    <w:p>
      <w:pPr>
        <w:pStyle w:val="Heading1"/>
      </w:pPr>
      <w:r>
        <w:t>修订补图：加入UViT</w:t>
      </w:r>
    </w:p>
    <w:p>
      <w:r>
        <w:drawing>
          <wp:inline xmlns:a="http://schemas.openxmlformats.org/drawingml/2006/main" xmlns:pic="http://schemas.openxmlformats.org/drawingml/2006/picture">
            <wp:extent cx="5760000" cy="24210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uvit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本图属于JASPAR2024、真实参照343383命中的历史批次，与前面旧版final的JASPAR2022数据分开。UViT-v2 config4 epoch1800的最低WD为0.1404，低于DDPM-M的0.2815。因此若以该批次的motif位置WD为主要指标，不能选择DDPM并称其最好。</w:t>
      </w:r>
    </w:p>
    <w:p>
      <w:r>
        <w:t>旧版final DDPM的最低位置WD在epoch900（0.4223），1800为0.6666。旧版DiT的最低位置WD在epoch100（0.2875），但该批次6-mer PCC仅0.0140、GC均值70.08%，说明单一位置WD不足以判断整体生成质量。也不能借此排除其他DiT批次。</w:t>
      </w:r>
    </w:p>
    <w:p>
      <w:r>
        <w:t>历史四模型表中，DiT的JASPAR WD中位数0.8423低于DDPM的1.0500。此结果已保留，不以TF面板上的相反排序覆盖。最终选择需要在所有模型的同一评价协议下，明确主指标和最低质量条件。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8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36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