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42875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Confidential</w:t>
        <w:drawing>
          <wp:inline distT="0" distB="0" distL="0" distR="0">
            <wp:extent cx="13335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Internal correspondence</w:t>
      </w:r>
    </w:p>
    <w:p>
      <w:r>
        <w:t xml:space="preserve">Dear {{NAME}},</w:t>
      </w:r>
    </w:p>
    <w:p>
      <w:r>
        <w:t xml:space="preserve">This letter checks that pictures which are NOT image fields pass through generation untouched: the logo above sits in its own run, and the small dot beside the word Confidential shares a run with text after post-processing.</w:t>
      </w:r>
    </w:p>
    <w:p>
      <w:r>
        <w:t xml:space="preserve">Kind regards,</w:t>
      </w:r>
    </w:p>
    <w:p>
      <w:r>
        <w:t xml:space="preserve">Riga Training Centre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6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</w:pPr>
    <w:rPr>
      <w:rFonts w:ascii="Times New Roman" w:cs="Times New Roman" w:eastAsia="Times New Roman" w:hAnsi="Times New Roman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6945be25feadc8a3eff18a0349cc760b835a013.png"/><Relationship Id="rId8" Type="http://schemas.openxmlformats.org/officeDocument/2006/relationships/image" Target="media/4c68be01d9e9c0089384bb52781b0407f540acf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2026-06-11T07:17:27.952Z</dcterms:created>
  <dcterms:modified xsi:type="dcterms:W3CDTF">2026-06-11T07:17:27.952Z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