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
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Native Office equation</w:t>
      </w:r>
    </w:p>
    <w:p>
      <w:r>
        <w:t>This document contains an OMML fraction and superscripts, not an equation screenshot.</w:t>
      </w:r>
    </w:p>
    <w:p>
      <w:r>
        <w:rPr>
          <w:b/>
        </w:rPr>
        <w:t>Bold body</w:t>
      </w:r>
      <w:r>
        <w:t xml:space="preserve"> and </w:t>
      </w:r>
      <w:r>
        <w:rPr>
          <w:i/>
        </w:rPr>
        <w:t>Italic body</w:t>
      </w:r>
    </w:p>
    <w:p>
      <m:oMathPara>
        <m:oMath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</m:t>
              </m:r>
            </m:num>
            <m:den>
              <m:r>
                <m:t>y</m:t>
              </m:r>
            </m:den>
          </m:f>
          <m:r>
            <m:t>=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r>
        <w:t>Unicode fixture: café é 日本語 😀 👩🏽‍💻 𠮷</w:t>
      </w:r>
    </w:p>
    <w:sectPr>
      <w:pgSz w:w="12240" w:h="15840"/>
      <w:pgMar w:top="1440" w:right="1440" w:bottom="1440" w:left="1440"/>
    </w:sectPr>
  </w:body>
</w:document>
</file>