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057F5" w14:textId="0F65E08A" w:rsidR="00C21F29" w:rsidRPr="00F61943" w:rsidRDefault="00C21F29" w:rsidP="00A949B5">
      <w:pPr>
        <w:spacing w:after="0" w:line="240" w:lineRule="auto"/>
        <w:jc w:val="center"/>
        <w:rPr>
          <w:b/>
          <w:sz w:val="28"/>
          <w:szCs w:val="28"/>
          <w:u w:val="single"/>
          <w:lang w:val="en-GB"/>
        </w:rPr>
      </w:pPr>
      <w:r w:rsidRPr="00F61943">
        <w:rPr>
          <w:b/>
          <w:sz w:val="28"/>
          <w:szCs w:val="28"/>
          <w:u w:val="single"/>
          <w:lang w:val="en-GB"/>
        </w:rPr>
        <w:t>List of Topics</w:t>
      </w:r>
    </w:p>
    <w:p w14:paraId="264B4C10" w14:textId="77777777" w:rsidR="00A949B5" w:rsidRPr="007429E1" w:rsidRDefault="008C51F4" w:rsidP="00A949B5">
      <w:pPr>
        <w:spacing w:after="0" w:line="240" w:lineRule="auto"/>
        <w:jc w:val="center"/>
        <w:rPr>
          <w:sz w:val="20"/>
          <w:u w:val="single"/>
          <w:lang w:val="en-GB"/>
        </w:rPr>
      </w:pPr>
      <w:r w:rsidRPr="007429E1">
        <w:rPr>
          <w:sz w:val="20"/>
          <w:u w:val="single"/>
          <w:lang w:val="en-GB"/>
        </w:rPr>
        <w:t xml:space="preserve">Choose the more </w:t>
      </w:r>
      <w:r w:rsidRPr="007429E1">
        <w:rPr>
          <w:i/>
          <w:sz w:val="20"/>
          <w:u w:val="single"/>
          <w:lang w:val="en-GB"/>
        </w:rPr>
        <w:t>substantive</w:t>
      </w:r>
      <w:r w:rsidRPr="007429E1">
        <w:rPr>
          <w:sz w:val="20"/>
          <w:u w:val="single"/>
          <w:lang w:val="en-GB"/>
        </w:rPr>
        <w:t xml:space="preserve"> topic (i</w:t>
      </w:r>
      <w:r w:rsidR="001A1903" w:rsidRPr="007429E1">
        <w:rPr>
          <w:sz w:val="20"/>
          <w:u w:val="single"/>
          <w:lang w:val="en-GB"/>
        </w:rPr>
        <w:t>.</w:t>
      </w:r>
      <w:r w:rsidRPr="007429E1">
        <w:rPr>
          <w:sz w:val="20"/>
          <w:u w:val="single"/>
          <w:lang w:val="en-GB"/>
        </w:rPr>
        <w:t>e</w:t>
      </w:r>
      <w:r w:rsidR="001A1903" w:rsidRPr="007429E1">
        <w:rPr>
          <w:sz w:val="20"/>
          <w:u w:val="single"/>
          <w:lang w:val="en-GB"/>
        </w:rPr>
        <w:t>.</w:t>
      </w:r>
      <w:r w:rsidRPr="007429E1">
        <w:rPr>
          <w:sz w:val="20"/>
          <w:u w:val="single"/>
          <w:lang w:val="en-GB"/>
        </w:rPr>
        <w:t xml:space="preserve"> inflation above election)</w:t>
      </w:r>
      <w:r w:rsidR="004F23C8" w:rsidRPr="007429E1">
        <w:rPr>
          <w:sz w:val="20"/>
          <w:u w:val="single"/>
          <w:lang w:val="en-GB"/>
        </w:rPr>
        <w:t xml:space="preserve"> when possible</w:t>
      </w:r>
    </w:p>
    <w:p w14:paraId="31B1D79B" w14:textId="77777777" w:rsidR="00966148" w:rsidRPr="007429E1" w:rsidRDefault="00966148" w:rsidP="00A949B5">
      <w:pPr>
        <w:spacing w:after="0" w:line="240" w:lineRule="auto"/>
        <w:jc w:val="center"/>
        <w:rPr>
          <w:sz w:val="20"/>
          <w:u w:val="single"/>
          <w:lang w:val="en-GB"/>
        </w:rPr>
      </w:pPr>
      <w:r w:rsidRPr="007429E1">
        <w:rPr>
          <w:sz w:val="20"/>
          <w:u w:val="single"/>
          <w:lang w:val="en-GB"/>
        </w:rPr>
        <w:t>Within topic categories: choose the more specific (e.g. safety umbrellas above government intervention</w:t>
      </w:r>
      <w:r w:rsidR="00F06CDE" w:rsidRPr="007429E1">
        <w:rPr>
          <w:sz w:val="20"/>
          <w:u w:val="single"/>
          <w:lang w:val="en-GB"/>
        </w:rPr>
        <w:t xml:space="preserve">). The more specific categories are place upfront (having the lower numbers). </w:t>
      </w:r>
    </w:p>
    <w:p w14:paraId="0EA92E54" w14:textId="77777777" w:rsidR="00966148" w:rsidRPr="007429E1" w:rsidRDefault="00966148" w:rsidP="00A949B5">
      <w:pPr>
        <w:spacing w:after="0" w:line="240" w:lineRule="auto"/>
        <w:jc w:val="center"/>
        <w:rPr>
          <w:i/>
          <w:sz w:val="20"/>
          <w:lang w:val="en-GB"/>
        </w:rPr>
      </w:pPr>
    </w:p>
    <w:tbl>
      <w:tblPr>
        <w:tblW w:w="10423" w:type="dxa"/>
        <w:tblInd w:w="98" w:type="dxa"/>
        <w:tblLook w:val="0000" w:firstRow="0" w:lastRow="0" w:firstColumn="0" w:lastColumn="0" w:noHBand="0" w:noVBand="0"/>
      </w:tblPr>
      <w:tblGrid>
        <w:gridCol w:w="2420"/>
        <w:gridCol w:w="8003"/>
      </w:tblGrid>
      <w:tr w:rsidR="007429E1" w:rsidRPr="007429E1" w14:paraId="1AFDB685" w14:textId="77777777" w:rsidTr="0070086A">
        <w:trPr>
          <w:trHeight w:val="56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0B62F7E7" w14:textId="77777777" w:rsidR="000F6452" w:rsidRPr="007429E1" w:rsidRDefault="000F645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TOPIC01 Economy</w:t>
            </w:r>
          </w:p>
          <w:p w14:paraId="6ECD12E9" w14:textId="77777777" w:rsidR="000F6452" w:rsidRPr="007429E1" w:rsidRDefault="000F645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4C5B651D" w14:textId="77777777" w:rsidR="00954220" w:rsidRPr="007429E1" w:rsidRDefault="00017664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rFonts w:cs="Helvetica"/>
                <w:sz w:val="20"/>
                <w:szCs w:val="18"/>
              </w:rPr>
              <w:t>The E</w:t>
            </w:r>
            <w:r w:rsidR="00954220" w:rsidRPr="007429E1">
              <w:rPr>
                <w:rFonts w:cs="Helvetica"/>
                <w:sz w:val="20"/>
                <w:szCs w:val="18"/>
              </w:rPr>
              <w:t>uro (e.g. currency rate, inflation, stability)</w:t>
            </w:r>
          </w:p>
          <w:p w14:paraId="6942D5BC" w14:textId="77777777" w:rsidR="00954220" w:rsidRPr="007429E1" w:rsidRDefault="00017664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Effect of Euro on the e</w:t>
            </w:r>
            <w:r w:rsidR="00954220" w:rsidRPr="007429E1">
              <w:rPr>
                <w:sz w:val="20"/>
                <w:lang w:val="en-GB"/>
              </w:rPr>
              <w:t>conomy</w:t>
            </w:r>
          </w:p>
          <w:p w14:paraId="440E8316" w14:textId="77777777" w:rsidR="00954220" w:rsidRPr="007429E1" w:rsidRDefault="00954220" w:rsidP="00C10964">
            <w:pPr>
              <w:numPr>
                <w:ilvl w:val="0"/>
                <w:numId w:val="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Eurozone exit</w:t>
            </w:r>
          </w:p>
          <w:p w14:paraId="7BC7AB25" w14:textId="77777777" w:rsidR="00924D5F" w:rsidRPr="007429E1" w:rsidRDefault="00924D5F" w:rsidP="00C10964">
            <w:pPr>
              <w:numPr>
                <w:ilvl w:val="0"/>
                <w:numId w:val="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Other currency related topic</w:t>
            </w:r>
          </w:p>
          <w:p w14:paraId="35FDA793" w14:textId="77777777" w:rsidR="00954220" w:rsidRPr="007429E1" w:rsidRDefault="00954220" w:rsidP="00954220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5F127310" w14:textId="77777777" w:rsidR="00295110" w:rsidRPr="007429E1" w:rsidRDefault="000F6452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Inflation</w:t>
            </w:r>
            <w:r w:rsidR="00295110" w:rsidRPr="007429E1">
              <w:rPr>
                <w:sz w:val="20"/>
                <w:lang w:val="en-GB"/>
              </w:rPr>
              <w:t xml:space="preserve"> </w:t>
            </w:r>
            <w:r w:rsidR="0067746B" w:rsidRPr="007429E1">
              <w:rPr>
                <w:sz w:val="20"/>
                <w:lang w:val="en-GB"/>
              </w:rPr>
              <w:t>(policy)</w:t>
            </w:r>
          </w:p>
          <w:p w14:paraId="61D523A6" w14:textId="77777777" w:rsidR="00295110" w:rsidRPr="007429E1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Interest rate</w:t>
            </w:r>
            <w:r w:rsidR="0067746B" w:rsidRPr="007429E1">
              <w:rPr>
                <w:sz w:val="20"/>
                <w:lang w:val="en-GB"/>
              </w:rPr>
              <w:t xml:space="preserve"> (policy)</w:t>
            </w:r>
          </w:p>
          <w:p w14:paraId="48C5744A" w14:textId="77777777" w:rsidR="00295110" w:rsidRPr="007429E1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Taxes</w:t>
            </w:r>
            <w:r w:rsidR="0067746B" w:rsidRPr="007429E1">
              <w:rPr>
                <w:sz w:val="20"/>
                <w:lang w:val="en-GB"/>
              </w:rPr>
              <w:t xml:space="preserve"> (policy)</w:t>
            </w:r>
          </w:p>
          <w:p w14:paraId="5A0B24AE" w14:textId="77777777" w:rsidR="00295110" w:rsidRPr="007429E1" w:rsidRDefault="00295110" w:rsidP="00295110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788B1354" w14:textId="77777777" w:rsidR="00295110" w:rsidRPr="007429E1" w:rsidDel="000517F7" w:rsidRDefault="00966148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Financing the EU: </w:t>
            </w:r>
            <w:r w:rsidR="00295110" w:rsidRPr="007429E1">
              <w:rPr>
                <w:sz w:val="20"/>
                <w:lang w:val="en-GB"/>
              </w:rPr>
              <w:t>National contributions (from member states)</w:t>
            </w:r>
          </w:p>
          <w:p w14:paraId="0A7181D8" w14:textId="77777777" w:rsidR="00295110" w:rsidRPr="007429E1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sz w:val="20"/>
              </w:rPr>
              <w:t xml:space="preserve"> budget</w:t>
            </w:r>
            <w:r w:rsidR="00966148" w:rsidRPr="007429E1">
              <w:rPr>
                <w:sz w:val="20"/>
              </w:rPr>
              <w:t xml:space="preserve"> / finances / </w:t>
            </w:r>
            <w:r w:rsidRPr="007429E1">
              <w:rPr>
                <w:sz w:val="20"/>
              </w:rPr>
              <w:t>(incl</w:t>
            </w:r>
            <w:r w:rsidR="00A86BCD">
              <w:rPr>
                <w:sz w:val="20"/>
              </w:rPr>
              <w:t>.</w:t>
            </w:r>
            <w:r w:rsidRPr="007429E1">
              <w:rPr>
                <w:sz w:val="20"/>
              </w:rPr>
              <w:t xml:space="preserve"> 3% rule, semester system)</w:t>
            </w:r>
          </w:p>
          <w:p w14:paraId="3F8EE68E" w14:textId="77777777" w:rsidR="006714AA" w:rsidRPr="007429E1" w:rsidDel="000517F7" w:rsidRDefault="006714AA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sz w:val="20"/>
              </w:rPr>
              <w:t xml:space="preserve"> debts (incl</w:t>
            </w:r>
            <w:r w:rsidR="00A86BCD">
              <w:rPr>
                <w:sz w:val="20"/>
              </w:rPr>
              <w:t>.</w:t>
            </w:r>
            <w:r w:rsidRPr="007429E1">
              <w:rPr>
                <w:sz w:val="20"/>
              </w:rPr>
              <w:t xml:space="preserve"> 3% rule, semester system)</w:t>
            </w:r>
          </w:p>
          <w:p w14:paraId="682F9A11" w14:textId="77777777" w:rsidR="006714AA" w:rsidRPr="007429E1" w:rsidDel="000517F7" w:rsidRDefault="006714AA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State budget</w:t>
            </w:r>
            <w:r w:rsidR="00017664">
              <w:rPr>
                <w:sz w:val="20"/>
                <w:lang w:val="en-GB"/>
              </w:rPr>
              <w:t xml:space="preserve"> </w:t>
            </w:r>
            <w:r w:rsidRPr="007429E1">
              <w:rPr>
                <w:sz w:val="20"/>
                <w:lang w:val="en-GB"/>
              </w:rPr>
              <w:t>/</w:t>
            </w:r>
            <w:r w:rsidR="00017664">
              <w:rPr>
                <w:sz w:val="20"/>
                <w:lang w:val="en-GB"/>
              </w:rPr>
              <w:t xml:space="preserve"> s</w:t>
            </w:r>
            <w:r w:rsidRPr="007429E1">
              <w:rPr>
                <w:sz w:val="20"/>
                <w:lang w:val="en-GB"/>
              </w:rPr>
              <w:t>tate finances / (non EU)</w:t>
            </w:r>
          </w:p>
          <w:p w14:paraId="05367F22" w14:textId="77777777" w:rsidR="00AB7180" w:rsidRPr="007429E1" w:rsidRDefault="004E5DCE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State </w:t>
            </w:r>
            <w:r w:rsidR="00966148" w:rsidRPr="007429E1">
              <w:rPr>
                <w:sz w:val="20"/>
                <w:lang w:val="en-GB"/>
              </w:rPr>
              <w:t>debts (</w:t>
            </w:r>
            <w:r w:rsidR="00295110" w:rsidRPr="007429E1">
              <w:rPr>
                <w:sz w:val="20"/>
                <w:lang w:val="en-GB"/>
              </w:rPr>
              <w:t>non EU</w:t>
            </w:r>
            <w:r w:rsidR="00D05BB5" w:rsidRPr="007429E1">
              <w:rPr>
                <w:sz w:val="20"/>
                <w:lang w:val="en-GB"/>
              </w:rPr>
              <w:t>)</w:t>
            </w:r>
          </w:p>
          <w:p w14:paraId="16B7DF9F" w14:textId="77777777" w:rsidR="00CD0F7C" w:rsidRPr="007429E1" w:rsidRDefault="00CD0F7C" w:rsidP="00CD0F7C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270A86F1" w14:textId="77777777" w:rsidR="00295110" w:rsidRPr="007429E1" w:rsidDel="000517F7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sz w:val="20"/>
              </w:rPr>
              <w:t>EU economi</w:t>
            </w:r>
            <w:r w:rsidR="00017664">
              <w:rPr>
                <w:sz w:val="20"/>
              </w:rPr>
              <w:t>c policy: Stimulus package and s</w:t>
            </w:r>
            <w:r w:rsidRPr="007429E1">
              <w:rPr>
                <w:sz w:val="20"/>
              </w:rPr>
              <w:t xml:space="preserve">afety umbrellas (bilateral credits, buying of state bonds, </w:t>
            </w:r>
            <w:r w:rsidR="00017664">
              <w:rPr>
                <w:sz w:val="20"/>
              </w:rPr>
              <w:t xml:space="preserve">Eurobonds, </w:t>
            </w:r>
            <w:r w:rsidRPr="007429E1">
              <w:rPr>
                <w:sz w:val="20"/>
              </w:rPr>
              <w:t>EFSM, EFSF, ESM, SKS)</w:t>
            </w:r>
          </w:p>
          <w:p w14:paraId="59E79D85" w14:textId="77777777" w:rsidR="00295110" w:rsidRPr="007429E1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Bank and financial sector regulation </w:t>
            </w:r>
          </w:p>
          <w:p w14:paraId="2592EC95" w14:textId="77777777" w:rsidR="00EB69F6" w:rsidRPr="007429E1" w:rsidRDefault="00EB69F6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Banking Union</w:t>
            </w:r>
          </w:p>
          <w:p w14:paraId="108ACDDF" w14:textId="77777777" w:rsidR="00295110" w:rsidRPr="007429E1" w:rsidDel="000517F7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 Structural Fund (EU funds for underdeveloped regions/areas)</w:t>
            </w:r>
          </w:p>
          <w:p w14:paraId="3808B143" w14:textId="77777777" w:rsidR="00295110" w:rsidRPr="007429E1" w:rsidRDefault="00295110" w:rsidP="00C10964">
            <w:pPr>
              <w:numPr>
                <w:ilvl w:val="0"/>
                <w:numId w:val="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rFonts w:cs="Helvetica"/>
                <w:sz w:val="20"/>
                <w:szCs w:val="18"/>
              </w:rPr>
              <w:t xml:space="preserve"> competition policy (incl. investigations into state aid, mergers, take-overs, fixed prices, carving up of markets)</w:t>
            </w:r>
          </w:p>
          <w:p w14:paraId="40853B98" w14:textId="77777777" w:rsidR="00966148" w:rsidRPr="007429E1" w:rsidRDefault="00966148" w:rsidP="00C10964">
            <w:pPr>
              <w:numPr>
                <w:ilvl w:val="0"/>
                <w:numId w:val="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Competition policy non-EU (incl. investigations into state aid, mergers, take-overs, fixed prices, carving up of markets)</w:t>
            </w:r>
          </w:p>
          <w:p w14:paraId="524C1168" w14:textId="77777777" w:rsidR="00966148" w:rsidRPr="007429E1" w:rsidRDefault="00966148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Government Ownership, nat</w:t>
            </w:r>
            <w:r w:rsidR="00CD0F7C" w:rsidRPr="007429E1">
              <w:rPr>
                <w:sz w:val="20"/>
                <w:lang w:val="en-GB"/>
              </w:rPr>
              <w:t>ionalisation in general (land, b</w:t>
            </w:r>
            <w:r w:rsidRPr="007429E1">
              <w:rPr>
                <w:sz w:val="20"/>
                <w:lang w:val="en-GB"/>
              </w:rPr>
              <w:t>anks, etc</w:t>
            </w:r>
            <w:r w:rsidR="00A86BCD">
              <w:rPr>
                <w:sz w:val="20"/>
                <w:lang w:val="en-GB"/>
              </w:rPr>
              <w:t>.</w:t>
            </w:r>
            <w:r w:rsidRPr="007429E1">
              <w:rPr>
                <w:sz w:val="20"/>
                <w:lang w:val="en-GB"/>
              </w:rPr>
              <w:t>)</w:t>
            </w:r>
          </w:p>
          <w:p w14:paraId="4B449ECB" w14:textId="77777777" w:rsidR="00966148" w:rsidRPr="007429E1" w:rsidRDefault="00966148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Privatisation  (of government owned business or industry)</w:t>
            </w:r>
          </w:p>
          <w:p w14:paraId="228CADAF" w14:textId="77777777" w:rsidR="00966148" w:rsidRPr="007429E1" w:rsidRDefault="00966148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Protectionism (e</w:t>
            </w:r>
            <w:r w:rsidR="0067746B" w:rsidRPr="007429E1">
              <w:rPr>
                <w:sz w:val="20"/>
                <w:lang w:val="en-GB"/>
              </w:rPr>
              <w:t>.</w:t>
            </w:r>
            <w:r w:rsidRPr="007429E1">
              <w:rPr>
                <w:sz w:val="20"/>
                <w:lang w:val="en-GB"/>
              </w:rPr>
              <w:t>g</w:t>
            </w:r>
            <w:r w:rsidR="0067746B" w:rsidRPr="007429E1">
              <w:rPr>
                <w:sz w:val="20"/>
                <w:lang w:val="en-GB"/>
              </w:rPr>
              <w:t>.</w:t>
            </w:r>
            <w:r w:rsidRPr="007429E1">
              <w:rPr>
                <w:sz w:val="20"/>
                <w:lang w:val="en-GB"/>
              </w:rPr>
              <w:t xml:space="preserve"> methods to protect national markets, economic growth)</w:t>
            </w:r>
          </w:p>
          <w:p w14:paraId="09EFE78C" w14:textId="77777777" w:rsidR="0067746B" w:rsidRPr="007429E1" w:rsidRDefault="0067746B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Government intervention/control over the economy (prices, wages, rents)</w:t>
            </w:r>
          </w:p>
          <w:p w14:paraId="53929896" w14:textId="77777777" w:rsidR="0067746B" w:rsidRPr="007429E1" w:rsidRDefault="0067746B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Economic Planning (of long-term economic planning, e.g. Greece) </w:t>
            </w:r>
          </w:p>
          <w:p w14:paraId="39F48B35" w14:textId="77777777" w:rsidR="00954220" w:rsidRPr="007429E1" w:rsidRDefault="00954220" w:rsidP="00954220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758D4C7D" w14:textId="77777777" w:rsidR="00954220" w:rsidRPr="007429E1" w:rsidRDefault="00954220" w:rsidP="00C10964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Free movement</w:t>
            </w:r>
            <w:r w:rsidR="00CC7468" w:rsidRPr="007429E1">
              <w:rPr>
                <w:sz w:val="20"/>
                <w:lang w:val="en-GB"/>
              </w:rPr>
              <w:t xml:space="preserve"> of</w:t>
            </w:r>
            <w:r w:rsidRPr="007429E1">
              <w:rPr>
                <w:sz w:val="20"/>
                <w:lang w:val="en-GB"/>
              </w:rPr>
              <w:t xml:space="preserve"> people</w:t>
            </w:r>
            <w:r w:rsidR="00CC7468" w:rsidRPr="007429E1">
              <w:rPr>
                <w:sz w:val="20"/>
                <w:lang w:val="en-GB"/>
              </w:rPr>
              <w:t xml:space="preserve"> within the EU (common market: including the Schengen agreement)</w:t>
            </w:r>
          </w:p>
          <w:p w14:paraId="48BC4841" w14:textId="77777777" w:rsidR="00954220" w:rsidRPr="007429E1" w:rsidRDefault="00954220" w:rsidP="00C10964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Free movement</w:t>
            </w:r>
            <w:r w:rsidR="00CC7468" w:rsidRPr="007429E1">
              <w:rPr>
                <w:sz w:val="20"/>
                <w:lang w:val="en-GB"/>
              </w:rPr>
              <w:t xml:space="preserve"> of</w:t>
            </w:r>
            <w:r w:rsidRPr="007429E1">
              <w:rPr>
                <w:sz w:val="20"/>
                <w:lang w:val="en-GB"/>
              </w:rPr>
              <w:t xml:space="preserve"> goods, capital and services</w:t>
            </w:r>
            <w:r w:rsidR="00CC7468" w:rsidRPr="007429E1">
              <w:rPr>
                <w:sz w:val="20"/>
                <w:lang w:val="en-GB"/>
              </w:rPr>
              <w:t xml:space="preserve"> within the EU</w:t>
            </w:r>
            <w:r w:rsidRPr="007429E1">
              <w:rPr>
                <w:sz w:val="20"/>
                <w:lang w:val="en-GB"/>
              </w:rPr>
              <w:t xml:space="preserve"> (common market)</w:t>
            </w:r>
          </w:p>
          <w:p w14:paraId="7A2CAE5E" w14:textId="77777777" w:rsidR="00954220" w:rsidRPr="007429E1" w:rsidRDefault="00954220" w:rsidP="00C10964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Helvetica"/>
                <w:sz w:val="20"/>
                <w:szCs w:val="18"/>
              </w:rPr>
            </w:pPr>
            <w:r w:rsidRPr="007429E1">
              <w:rPr>
                <w:rStyle w:val="il"/>
                <w:rFonts w:asciiTheme="minorHAnsi" w:hAnsiTheme="minorHAnsi" w:cs="Helvetica"/>
                <w:sz w:val="20"/>
                <w:szCs w:val="18"/>
              </w:rPr>
              <w:t>EU</w:t>
            </w:r>
            <w:r w:rsidRPr="007429E1">
              <w:rPr>
                <w:rFonts w:asciiTheme="minorHAnsi" w:hAnsiTheme="minorHAnsi" w:cs="Helvetica"/>
                <w:sz w:val="20"/>
                <w:szCs w:val="18"/>
              </w:rPr>
              <w:t xml:space="preserve"> trade policy (e.g. </w:t>
            </w:r>
            <w:r w:rsidRPr="007429E1">
              <w:rPr>
                <w:rStyle w:val="il"/>
                <w:rFonts w:asciiTheme="minorHAnsi" w:hAnsiTheme="minorHAnsi" w:cs="Helvetica"/>
                <w:sz w:val="20"/>
                <w:szCs w:val="18"/>
              </w:rPr>
              <w:t>EU</w:t>
            </w:r>
            <w:r w:rsidRPr="007429E1">
              <w:rPr>
                <w:rFonts w:asciiTheme="minorHAnsi" w:hAnsiTheme="minorHAnsi" w:cs="Helvetica"/>
                <w:sz w:val="20"/>
                <w:szCs w:val="18"/>
              </w:rPr>
              <w:t xml:space="preserve"> tariffs and import quotas towards non-member states)</w:t>
            </w:r>
          </w:p>
          <w:p w14:paraId="1F2A344D" w14:textId="77777777" w:rsidR="00CC7468" w:rsidRPr="007429E1" w:rsidRDefault="00CC7468" w:rsidP="00C10964">
            <w:pPr>
              <w:pStyle w:val="Standard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Helvetica"/>
                <w:sz w:val="20"/>
                <w:szCs w:val="18"/>
              </w:rPr>
            </w:pPr>
            <w:r w:rsidRPr="007429E1">
              <w:rPr>
                <w:rFonts w:asciiTheme="minorHAnsi" w:hAnsiTheme="minorHAnsi" w:cs="Helvetica"/>
                <w:sz w:val="20"/>
                <w:szCs w:val="18"/>
              </w:rPr>
              <w:t>Trade policy non-EU</w:t>
            </w:r>
          </w:p>
          <w:p w14:paraId="31253408" w14:textId="77777777" w:rsidR="00966148" w:rsidRPr="007429E1" w:rsidRDefault="00966148" w:rsidP="0067746B">
            <w:pPr>
              <w:spacing w:after="0" w:line="240" w:lineRule="auto"/>
              <w:rPr>
                <w:rFonts w:cs="Helvetica"/>
                <w:sz w:val="20"/>
                <w:szCs w:val="18"/>
              </w:rPr>
            </w:pPr>
          </w:p>
          <w:p w14:paraId="7B49EA60" w14:textId="77777777" w:rsidR="00CD0F7C" w:rsidRPr="007429E1" w:rsidRDefault="00CD0F7C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7429E1">
              <w:rPr>
                <w:sz w:val="20"/>
                <w:lang w:val="en-GB"/>
              </w:rPr>
              <w:t xml:space="preserve">Effects of financial crisis on domestic/ EU/ global economy (e.g. competitiveness, demand and supply, consumption, business climate) </w:t>
            </w:r>
          </w:p>
          <w:p w14:paraId="5DB14C0D" w14:textId="77777777" w:rsidR="00CD0F7C" w:rsidRPr="007429E1" w:rsidRDefault="00CD0F7C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</w:rPr>
            </w:pPr>
            <w:r w:rsidRPr="007429E1">
              <w:rPr>
                <w:sz w:val="20"/>
              </w:rPr>
              <w:t xml:space="preserve">State of the </w:t>
            </w: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sz w:val="20"/>
              </w:rPr>
              <w:t xml:space="preserve"> economy, current situation and outlook, growth, shrinkage</w:t>
            </w:r>
          </w:p>
          <w:p w14:paraId="75BF6D34" w14:textId="77777777" w:rsidR="0067746B" w:rsidRPr="007429E1" w:rsidRDefault="0067746B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Stock market and its developments (shares, bonds, AEX, DAX, Dow Jones etc.)</w:t>
            </w:r>
          </w:p>
          <w:p w14:paraId="4BCD65F7" w14:textId="77777777" w:rsidR="0067746B" w:rsidRPr="007429E1" w:rsidRDefault="0067746B" w:rsidP="00C10964">
            <w:pPr>
              <w:numPr>
                <w:ilvl w:val="0"/>
                <w:numId w:val="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Business (companies, banks, industry, mergers, manufacturing, bankruptcy)</w:t>
            </w:r>
          </w:p>
          <w:p w14:paraId="21CD9B29" w14:textId="77777777" w:rsidR="003D7A73" w:rsidRPr="007429E1" w:rsidRDefault="003D7A73" w:rsidP="003D7A73">
            <w:pPr>
              <w:spacing w:after="0" w:line="240" w:lineRule="auto"/>
              <w:ind w:left="1080"/>
              <w:rPr>
                <w:rFonts w:cs="Helvetica"/>
                <w:sz w:val="20"/>
                <w:szCs w:val="18"/>
              </w:rPr>
            </w:pPr>
          </w:p>
          <w:p w14:paraId="67C632FB" w14:textId="77777777" w:rsidR="00A949B5" w:rsidRPr="007429E1" w:rsidRDefault="000724BB" w:rsidP="00C10964">
            <w:pPr>
              <w:numPr>
                <w:ilvl w:val="0"/>
                <w:numId w:val="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O</w:t>
            </w:r>
            <w:r w:rsidR="004E27DA" w:rsidRPr="007429E1">
              <w:rPr>
                <w:rFonts w:cs="Helvetica"/>
                <w:sz w:val="20"/>
                <w:szCs w:val="18"/>
              </w:rPr>
              <w:t>ther</w:t>
            </w:r>
            <w:r w:rsidRPr="007429E1">
              <w:rPr>
                <w:rFonts w:cs="Helvetica"/>
                <w:sz w:val="20"/>
                <w:szCs w:val="18"/>
              </w:rPr>
              <w:t xml:space="preserve"> economic topics</w:t>
            </w:r>
          </w:p>
          <w:p w14:paraId="399EC524" w14:textId="77777777" w:rsidR="003A75E4" w:rsidRPr="007429E1" w:rsidRDefault="003A75E4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465240C8" w14:textId="77777777" w:rsidTr="0070086A">
        <w:trPr>
          <w:trHeight w:val="60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124FC7E3" w14:textId="77777777" w:rsidR="000F6452" w:rsidRPr="007429E1" w:rsidRDefault="008A7BB2" w:rsidP="00A86BCD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TOPIC02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Social and </w:t>
            </w:r>
            <w:r w:rsidR="000724BB" w:rsidRPr="007429E1">
              <w:rPr>
                <w:b/>
                <w:bCs/>
                <w:sz w:val="20"/>
                <w:lang w:eastAsia="en-US"/>
              </w:rPr>
              <w:t>labor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market polic</w:t>
            </w:r>
            <w:r w:rsidR="00A86BCD">
              <w:rPr>
                <w:b/>
                <w:bCs/>
                <w:sz w:val="20"/>
                <w:lang w:eastAsia="en-US"/>
              </w:rPr>
              <w:t>y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19B41274" w14:textId="77777777" w:rsidR="00CC7468" w:rsidRPr="007429E1" w:rsidRDefault="00AE6016" w:rsidP="00C1096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 </w:t>
            </w:r>
            <w:r w:rsidR="00CC7468" w:rsidRPr="007429E1">
              <w:rPr>
                <w:sz w:val="20"/>
                <w:lang w:val="en-GB"/>
              </w:rPr>
              <w:t xml:space="preserve">employment </w:t>
            </w:r>
            <w:r w:rsidR="00501AA9">
              <w:rPr>
                <w:sz w:val="20"/>
                <w:lang w:val="en-GB"/>
              </w:rPr>
              <w:t>policy</w:t>
            </w:r>
          </w:p>
          <w:p w14:paraId="2C34AE74" w14:textId="77777777" w:rsidR="00AE6016" w:rsidRPr="007429E1" w:rsidRDefault="00017664" w:rsidP="00C1096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  <w:r w:rsidR="00AE6016" w:rsidRPr="007429E1">
              <w:rPr>
                <w:sz w:val="20"/>
                <w:lang w:val="en-GB"/>
              </w:rPr>
              <w:t xml:space="preserve">mployment </w:t>
            </w:r>
            <w:r w:rsidR="00501AA9">
              <w:rPr>
                <w:sz w:val="20"/>
                <w:lang w:val="en-GB"/>
              </w:rPr>
              <w:t>policy</w:t>
            </w:r>
            <w:r w:rsidR="00924D5F" w:rsidRPr="007429E1">
              <w:rPr>
                <w:sz w:val="20"/>
                <w:lang w:val="en-GB"/>
              </w:rPr>
              <w:t xml:space="preserve"> </w:t>
            </w:r>
            <w:r w:rsidR="00AE6016" w:rsidRPr="007429E1">
              <w:rPr>
                <w:sz w:val="20"/>
                <w:lang w:val="en-GB"/>
              </w:rPr>
              <w:t>(non-EU)</w:t>
            </w:r>
          </w:p>
          <w:p w14:paraId="7C156876" w14:textId="77777777" w:rsidR="00CC7468" w:rsidRPr="007429E1" w:rsidRDefault="00CC7468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Labour market regulations (e.g. working hours, wage </w:t>
            </w:r>
            <w:r w:rsidR="00501AA9">
              <w:rPr>
                <w:sz w:val="20"/>
                <w:lang w:val="en-GB"/>
              </w:rPr>
              <w:t>policy</w:t>
            </w:r>
            <w:r w:rsidRPr="007429E1">
              <w:rPr>
                <w:sz w:val="20"/>
                <w:lang w:val="en-GB"/>
              </w:rPr>
              <w:t>; unemployment insurance, unemployment regulation)</w:t>
            </w:r>
          </w:p>
          <w:p w14:paraId="5C556C47" w14:textId="77777777" w:rsidR="00CE3697" w:rsidRPr="007429E1" w:rsidRDefault="00017664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Health c</w:t>
            </w:r>
            <w:r w:rsidR="00CE3697" w:rsidRPr="007429E1">
              <w:rPr>
                <w:sz w:val="20"/>
                <w:lang w:val="en-GB"/>
              </w:rPr>
              <w:t>are</w:t>
            </w:r>
            <w:r w:rsidR="00CC7468" w:rsidRPr="007429E1">
              <w:rPr>
                <w:sz w:val="20"/>
                <w:lang w:val="en-GB"/>
              </w:rPr>
              <w:t xml:space="preserve"> (</w:t>
            </w:r>
            <w:r w:rsidR="00501AA9">
              <w:rPr>
                <w:sz w:val="20"/>
                <w:lang w:val="en-GB"/>
              </w:rPr>
              <w:t>policy</w:t>
            </w:r>
            <w:r w:rsidR="00CC7468" w:rsidRPr="007429E1">
              <w:rPr>
                <w:sz w:val="20"/>
                <w:lang w:val="en-GB"/>
              </w:rPr>
              <w:t>)</w:t>
            </w:r>
          </w:p>
          <w:p w14:paraId="5427D1E8" w14:textId="77777777" w:rsidR="008D32A9" w:rsidRPr="007429E1" w:rsidRDefault="00570120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Retire</w:t>
            </w:r>
            <w:r w:rsidR="00017664">
              <w:rPr>
                <w:sz w:val="20"/>
                <w:lang w:val="en-GB"/>
              </w:rPr>
              <w:t>ment and p</w:t>
            </w:r>
            <w:r w:rsidR="004E66F6" w:rsidRPr="007429E1">
              <w:rPr>
                <w:sz w:val="20"/>
                <w:lang w:val="en-GB"/>
              </w:rPr>
              <w:t>ensions</w:t>
            </w:r>
            <w:r w:rsidR="00CC7468" w:rsidRPr="007429E1">
              <w:rPr>
                <w:sz w:val="20"/>
                <w:lang w:val="en-GB"/>
              </w:rPr>
              <w:t xml:space="preserve"> (</w:t>
            </w:r>
            <w:r w:rsidR="00501AA9">
              <w:rPr>
                <w:sz w:val="20"/>
                <w:lang w:val="en-GB"/>
              </w:rPr>
              <w:t>policy</w:t>
            </w:r>
            <w:r w:rsidR="00CC7468" w:rsidRPr="007429E1">
              <w:rPr>
                <w:sz w:val="20"/>
                <w:lang w:val="en-GB"/>
              </w:rPr>
              <w:t>)</w:t>
            </w:r>
          </w:p>
          <w:p w14:paraId="16ACA3A0" w14:textId="77777777" w:rsidR="008D32A9" w:rsidRPr="007429E1" w:rsidRDefault="00017664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Social h</w:t>
            </w:r>
            <w:r w:rsidR="004E66F6" w:rsidRPr="007429E1">
              <w:rPr>
                <w:sz w:val="20"/>
                <w:lang w:val="en-GB"/>
              </w:rPr>
              <w:t>ousing</w:t>
            </w:r>
            <w:r w:rsidR="005D5A21" w:rsidRPr="007429E1">
              <w:rPr>
                <w:sz w:val="20"/>
                <w:lang w:val="en-GB"/>
              </w:rPr>
              <w:t xml:space="preserve"> (including poverty, social assistance)</w:t>
            </w:r>
            <w:r w:rsidR="00CC7468" w:rsidRPr="007429E1">
              <w:rPr>
                <w:sz w:val="20"/>
                <w:lang w:val="en-GB"/>
              </w:rPr>
              <w:t xml:space="preserve"> (</w:t>
            </w:r>
            <w:r w:rsidR="00501AA9">
              <w:rPr>
                <w:sz w:val="20"/>
                <w:lang w:val="en-GB"/>
              </w:rPr>
              <w:t>policy</w:t>
            </w:r>
            <w:r w:rsidR="00CC7468" w:rsidRPr="007429E1">
              <w:rPr>
                <w:sz w:val="20"/>
                <w:lang w:val="en-GB"/>
              </w:rPr>
              <w:t>)</w:t>
            </w:r>
          </w:p>
          <w:p w14:paraId="780DEBA4" w14:textId="77777777" w:rsidR="001A1903" w:rsidRPr="007429E1" w:rsidRDefault="001A1903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Youth </w:t>
            </w:r>
            <w:r w:rsidR="00CC7468" w:rsidRPr="007429E1">
              <w:rPr>
                <w:sz w:val="20"/>
                <w:lang w:val="en-GB"/>
              </w:rPr>
              <w:t>(</w:t>
            </w:r>
            <w:r w:rsidR="00501AA9">
              <w:rPr>
                <w:sz w:val="20"/>
                <w:lang w:val="en-GB"/>
              </w:rPr>
              <w:t>policy</w:t>
            </w:r>
            <w:r w:rsidR="00CC7468" w:rsidRPr="007429E1">
              <w:rPr>
                <w:sz w:val="20"/>
                <w:lang w:val="en-GB"/>
              </w:rPr>
              <w:t>)</w:t>
            </w:r>
          </w:p>
          <w:p w14:paraId="4915ED76" w14:textId="77777777" w:rsidR="008D32A9" w:rsidRPr="007429E1" w:rsidRDefault="001A1903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Family </w:t>
            </w:r>
            <w:r w:rsidR="00501AA9">
              <w:rPr>
                <w:sz w:val="20"/>
                <w:lang w:val="en-GB"/>
              </w:rPr>
              <w:t>policy</w:t>
            </w:r>
            <w:r w:rsidRPr="007429E1">
              <w:rPr>
                <w:sz w:val="20"/>
                <w:lang w:val="en-GB"/>
              </w:rPr>
              <w:t xml:space="preserve"> (</w:t>
            </w:r>
            <w:r w:rsidR="001356A6" w:rsidRPr="007429E1">
              <w:rPr>
                <w:sz w:val="20"/>
                <w:lang w:val="en-GB"/>
              </w:rPr>
              <w:t xml:space="preserve">e.g. </w:t>
            </w:r>
            <w:r w:rsidRPr="007429E1">
              <w:rPr>
                <w:sz w:val="20"/>
                <w:lang w:val="en-GB"/>
              </w:rPr>
              <w:t>child care, parental leave)</w:t>
            </w:r>
          </w:p>
          <w:p w14:paraId="69439D82" w14:textId="77777777" w:rsidR="001356A6" w:rsidRPr="007429E1" w:rsidRDefault="001356A6" w:rsidP="001356A6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61FE75AB" w14:textId="77777777" w:rsidR="00155D66" w:rsidRPr="007429E1" w:rsidRDefault="00155D66" w:rsidP="00C10964">
            <w:pPr>
              <w:numPr>
                <w:ilvl w:val="0"/>
                <w:numId w:val="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rFonts w:cs="Helvetica"/>
                <w:sz w:val="20"/>
                <w:szCs w:val="18"/>
              </w:rPr>
              <w:t>Other</w:t>
            </w:r>
            <w:r w:rsidR="000724BB" w:rsidRPr="007429E1">
              <w:t xml:space="preserve"> s</w:t>
            </w:r>
            <w:r w:rsidR="000724BB" w:rsidRPr="007429E1">
              <w:rPr>
                <w:rFonts w:cs="Helvetica"/>
                <w:sz w:val="20"/>
                <w:szCs w:val="18"/>
              </w:rPr>
              <w:t xml:space="preserve">ocial and labor market topics </w:t>
            </w:r>
          </w:p>
          <w:p w14:paraId="79F4FB1B" w14:textId="77777777" w:rsidR="000F6452" w:rsidRPr="007429E1" w:rsidRDefault="000F6452" w:rsidP="00155D66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</w:tc>
      </w:tr>
      <w:tr w:rsidR="007429E1" w:rsidRPr="007429E1" w14:paraId="3E88935C" w14:textId="77777777" w:rsidTr="00890620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5C8C09CD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lastRenderedPageBreak/>
              <w:t>TOPIC03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Education and research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0360F2D0" w14:textId="77777777" w:rsidR="00D56410" w:rsidRPr="007429E1" w:rsidRDefault="00D56410" w:rsidP="00084358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rFonts w:cs="Helvetica"/>
                <w:sz w:val="20"/>
                <w:szCs w:val="18"/>
              </w:rPr>
              <w:t xml:space="preserve"> education policy</w:t>
            </w:r>
          </w:p>
          <w:p w14:paraId="394FDA46" w14:textId="77777777" w:rsidR="00D56410" w:rsidRPr="007429E1" w:rsidRDefault="00501AA9" w:rsidP="00084358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Education p</w:t>
            </w:r>
            <w:r w:rsidR="00D56410" w:rsidRPr="007429E1">
              <w:rPr>
                <w:sz w:val="20"/>
                <w:lang w:val="en-GB"/>
              </w:rPr>
              <w:t>olicy (non-EU)</w:t>
            </w:r>
          </w:p>
          <w:p w14:paraId="4775788F" w14:textId="77777777" w:rsidR="00D56410" w:rsidRPr="007429E1" w:rsidRDefault="00D56410" w:rsidP="00084358">
            <w:pPr>
              <w:pStyle w:val="Listenabsatz"/>
              <w:numPr>
                <w:ilvl w:val="0"/>
                <w:numId w:val="21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</w:rPr>
              <w:t>S</w:t>
            </w:r>
            <w:r w:rsidRPr="007429E1">
              <w:rPr>
                <w:rFonts w:cs="Helvetica"/>
                <w:sz w:val="20"/>
                <w:szCs w:val="18"/>
              </w:rPr>
              <w:t>cience and research policy</w:t>
            </w:r>
          </w:p>
          <w:p w14:paraId="009EEA95" w14:textId="77777777" w:rsidR="00D56410" w:rsidRPr="007429E1" w:rsidRDefault="00D56410" w:rsidP="00D56410">
            <w:pPr>
              <w:pStyle w:val="Listenabsatz"/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6B9A076E" w14:textId="77777777" w:rsidR="000F6452" w:rsidRPr="00017664" w:rsidRDefault="00DE282F" w:rsidP="00084358">
            <w:pPr>
              <w:numPr>
                <w:ilvl w:val="0"/>
                <w:numId w:val="21"/>
              </w:num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rFonts w:cs="Helvetica"/>
                <w:sz w:val="20"/>
                <w:szCs w:val="18"/>
              </w:rPr>
              <w:t>Other</w:t>
            </w:r>
            <w:r w:rsidR="000724BB" w:rsidRPr="007429E1">
              <w:t xml:space="preserve"> </w:t>
            </w:r>
            <w:r w:rsidR="000724BB" w:rsidRPr="007429E1">
              <w:rPr>
                <w:sz w:val="20"/>
                <w:szCs w:val="20"/>
              </w:rPr>
              <w:t>e</w:t>
            </w:r>
            <w:r w:rsidR="000724BB" w:rsidRPr="007429E1">
              <w:rPr>
                <w:rFonts w:cs="Helvetica"/>
                <w:sz w:val="20"/>
                <w:szCs w:val="18"/>
              </w:rPr>
              <w:t>ducation and research topics</w:t>
            </w:r>
          </w:p>
          <w:p w14:paraId="0F1BF4BC" w14:textId="77777777" w:rsidR="00017664" w:rsidRPr="007429E1" w:rsidRDefault="00017664" w:rsidP="00017664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7B2E09CD" w14:textId="77777777" w:rsidTr="00890620">
        <w:trPr>
          <w:trHeight w:val="32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1889F9B4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TOPIC04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 Law and order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14:paraId="003D3A99" w14:textId="77777777" w:rsidR="002471FE" w:rsidRPr="007429E1" w:rsidRDefault="00017664" w:rsidP="00C10964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fr-CH"/>
              </w:rPr>
            </w:pPr>
            <w:r>
              <w:rPr>
                <w:sz w:val="20"/>
                <w:lang w:val="fr-CH"/>
              </w:rPr>
              <w:t>EU p</w:t>
            </w:r>
            <w:r w:rsidR="002471FE" w:rsidRPr="007429E1">
              <w:rPr>
                <w:sz w:val="20"/>
                <w:lang w:val="fr-CH"/>
              </w:rPr>
              <w:t>olice collaboration</w:t>
            </w:r>
          </w:p>
          <w:p w14:paraId="47FDA8A5" w14:textId="77777777" w:rsidR="002471FE" w:rsidRPr="007429E1" w:rsidRDefault="00CD0F7C" w:rsidP="00C10964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Crime prevention </w:t>
            </w:r>
            <w:r w:rsidR="00501AA9">
              <w:rPr>
                <w:sz w:val="20"/>
                <w:lang w:val="en-GB"/>
              </w:rPr>
              <w:t>policy</w:t>
            </w:r>
          </w:p>
          <w:p w14:paraId="693B8A19" w14:textId="77777777" w:rsidR="002471FE" w:rsidRPr="007429E1" w:rsidRDefault="002471FE" w:rsidP="00C10964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Fight against terrorism</w:t>
            </w:r>
          </w:p>
          <w:p w14:paraId="2C2DC63D" w14:textId="77777777" w:rsidR="002471FE" w:rsidRPr="007429E1" w:rsidRDefault="002471FE" w:rsidP="00C10964">
            <w:pPr>
              <w:numPr>
                <w:ilvl w:val="0"/>
                <w:numId w:val="3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Intelligence service</w:t>
            </w:r>
          </w:p>
          <w:p w14:paraId="731ACDE0" w14:textId="77777777" w:rsidR="002471FE" w:rsidRPr="007429E1" w:rsidRDefault="002471FE" w:rsidP="00C10964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Data and personal information security</w:t>
            </w:r>
          </w:p>
          <w:p w14:paraId="665901A9" w14:textId="77777777" w:rsidR="002471FE" w:rsidRPr="007429E1" w:rsidRDefault="002471FE" w:rsidP="00C10964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Courts, trials, court decisions</w:t>
            </w:r>
          </w:p>
          <w:p w14:paraId="7FA190D3" w14:textId="77777777" w:rsidR="002471FE" w:rsidRPr="007429E1" w:rsidRDefault="002471FE" w:rsidP="00C10964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Crime (robbery, mugging, killing)</w:t>
            </w:r>
          </w:p>
          <w:p w14:paraId="743DE616" w14:textId="77777777" w:rsidR="002471FE" w:rsidRPr="007429E1" w:rsidRDefault="002471FE" w:rsidP="002471FE">
            <w:pPr>
              <w:spacing w:after="0" w:line="240" w:lineRule="auto"/>
              <w:rPr>
                <w:sz w:val="20"/>
                <w:lang w:val="en-GB"/>
              </w:rPr>
            </w:pPr>
          </w:p>
          <w:p w14:paraId="05B0C884" w14:textId="77777777" w:rsidR="008C51F4" w:rsidRPr="007429E1" w:rsidRDefault="00DE282F" w:rsidP="00C10964">
            <w:pPr>
              <w:numPr>
                <w:ilvl w:val="0"/>
                <w:numId w:val="3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Other</w:t>
            </w:r>
            <w:r w:rsidR="000724BB" w:rsidRPr="007429E1">
              <w:rPr>
                <w:rFonts w:cs="Helvetica"/>
                <w:sz w:val="20"/>
                <w:szCs w:val="18"/>
              </w:rPr>
              <w:t xml:space="preserve"> law and order topics</w:t>
            </w:r>
          </w:p>
          <w:p w14:paraId="6A09206E" w14:textId="77777777" w:rsidR="000F6452" w:rsidRPr="007429E1" w:rsidRDefault="000F6452" w:rsidP="000724BB">
            <w:pPr>
              <w:spacing w:after="0" w:line="240" w:lineRule="auto"/>
              <w:ind w:left="1080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5AC3870E" w14:textId="77777777" w:rsidTr="0070086A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303B089E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TOPIC05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Immigration 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63C654B6" w14:textId="77777777" w:rsidR="00AF14E8" w:rsidRPr="007429E1" w:rsidRDefault="00B2189D" w:rsidP="00C10964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fr-CH"/>
              </w:rPr>
            </w:pPr>
            <w:r w:rsidRPr="007429E1">
              <w:rPr>
                <w:sz w:val="20"/>
                <w:szCs w:val="20"/>
                <w:lang w:val="fr-CH"/>
              </w:rPr>
              <w:t xml:space="preserve">EU </w:t>
            </w:r>
            <w:r w:rsidRPr="007429E1">
              <w:rPr>
                <w:sz w:val="20"/>
                <w:lang w:val="fr-CH"/>
              </w:rPr>
              <w:t>immigration policy</w:t>
            </w:r>
            <w:r w:rsidR="0085106B" w:rsidRPr="007429E1">
              <w:rPr>
                <w:sz w:val="20"/>
                <w:lang w:val="fr-CH"/>
              </w:rPr>
              <w:t xml:space="preserve"> -</w:t>
            </w:r>
            <w:r w:rsidR="00AF14E8" w:rsidRPr="007429E1">
              <w:rPr>
                <w:sz w:val="20"/>
                <w:lang w:val="fr-CH"/>
              </w:rPr>
              <w:t xml:space="preserve"> regulating immigration from outside the EU (e.g. refugees, asylum, EU border protection)</w:t>
            </w:r>
          </w:p>
          <w:p w14:paraId="4AACB69D" w14:textId="77777777" w:rsidR="00B2189D" w:rsidRPr="007429E1" w:rsidRDefault="00AF14E8" w:rsidP="00C10964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fr-CH"/>
              </w:rPr>
            </w:pPr>
            <w:r w:rsidRPr="007429E1">
              <w:rPr>
                <w:sz w:val="20"/>
                <w:lang w:val="fr-CH"/>
              </w:rPr>
              <w:t>Immigration policy (non-EU)</w:t>
            </w:r>
            <w:r w:rsidR="0085106B" w:rsidRPr="007429E1">
              <w:rPr>
                <w:sz w:val="20"/>
                <w:lang w:val="fr-CH"/>
              </w:rPr>
              <w:t xml:space="preserve"> -</w:t>
            </w:r>
            <w:r w:rsidRPr="007429E1">
              <w:rPr>
                <w:sz w:val="20"/>
                <w:lang w:val="fr-CH"/>
              </w:rPr>
              <w:t xml:space="preserve"> regulating immigration from outside the EU </w:t>
            </w:r>
          </w:p>
          <w:p w14:paraId="5EE67F79" w14:textId="77777777" w:rsidR="00AF14E8" w:rsidRPr="007429E1" w:rsidRDefault="00017664" w:rsidP="00C10964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Migration / i</w:t>
            </w:r>
            <w:r w:rsidR="003118A2" w:rsidRPr="007429E1">
              <w:rPr>
                <w:sz w:val="20"/>
                <w:lang w:val="en-GB"/>
              </w:rPr>
              <w:t>mmigration</w:t>
            </w:r>
            <w:r w:rsidR="0085106B" w:rsidRPr="007429E1">
              <w:rPr>
                <w:sz w:val="20"/>
                <w:lang w:val="en-GB"/>
              </w:rPr>
              <w:t xml:space="preserve"> </w:t>
            </w:r>
            <w:r w:rsidR="00501AA9">
              <w:rPr>
                <w:sz w:val="20"/>
                <w:lang w:val="en-GB"/>
              </w:rPr>
              <w:t>policy</w:t>
            </w:r>
            <w:r w:rsidR="0085106B" w:rsidRPr="007429E1">
              <w:rPr>
                <w:sz w:val="20"/>
                <w:lang w:val="en-GB"/>
              </w:rPr>
              <w:t xml:space="preserve"> – regulating migration</w:t>
            </w:r>
            <w:r w:rsidR="003118A2" w:rsidRPr="007429E1">
              <w:rPr>
                <w:sz w:val="20"/>
                <w:lang w:val="en-GB"/>
              </w:rPr>
              <w:t xml:space="preserve"> within the EU (e.g. </w:t>
            </w:r>
            <w:r w:rsidR="00EB69F6" w:rsidRPr="007429E1">
              <w:rPr>
                <w:sz w:val="20"/>
                <w:lang w:val="en-GB"/>
              </w:rPr>
              <w:t xml:space="preserve">labour migration </w:t>
            </w:r>
            <w:r w:rsidR="003118A2" w:rsidRPr="007429E1">
              <w:rPr>
                <w:sz w:val="20"/>
                <w:lang w:val="en-GB"/>
              </w:rPr>
              <w:t>from Eastern European countries or Southern European countries</w:t>
            </w:r>
            <w:r w:rsidR="00CD0F7C" w:rsidRPr="007429E1">
              <w:rPr>
                <w:sz w:val="20"/>
                <w:lang w:val="en-GB"/>
              </w:rPr>
              <w:t xml:space="preserve"> to the Northern member states</w:t>
            </w:r>
            <w:r w:rsidR="003118A2" w:rsidRPr="007429E1">
              <w:rPr>
                <w:sz w:val="20"/>
                <w:lang w:val="en-GB"/>
              </w:rPr>
              <w:t>)</w:t>
            </w:r>
          </w:p>
          <w:p w14:paraId="4BB52803" w14:textId="77777777" w:rsidR="0023203B" w:rsidRPr="007429E1" w:rsidRDefault="0023203B" w:rsidP="00C10964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Immigrant integration</w:t>
            </w:r>
          </w:p>
          <w:p w14:paraId="7FCCD9DF" w14:textId="77777777" w:rsidR="0023203B" w:rsidRPr="007429E1" w:rsidRDefault="0023203B" w:rsidP="00C10964">
            <w:pPr>
              <w:numPr>
                <w:ilvl w:val="0"/>
                <w:numId w:val="4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Multiculturalism (cultural diversity, cultural plurality)</w:t>
            </w:r>
          </w:p>
          <w:p w14:paraId="70CF3798" w14:textId="77777777" w:rsidR="0023203B" w:rsidRPr="007429E1" w:rsidRDefault="0023203B" w:rsidP="00C10964">
            <w:pPr>
              <w:numPr>
                <w:ilvl w:val="0"/>
                <w:numId w:val="4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Anti-Islam</w:t>
            </w:r>
          </w:p>
          <w:p w14:paraId="5894BE86" w14:textId="77777777" w:rsidR="0023203B" w:rsidRPr="007429E1" w:rsidRDefault="0023203B" w:rsidP="0023203B">
            <w:pPr>
              <w:spacing w:after="0" w:line="240" w:lineRule="auto"/>
              <w:ind w:left="1080"/>
              <w:rPr>
                <w:rFonts w:cs="Helvetica"/>
                <w:sz w:val="20"/>
                <w:szCs w:val="18"/>
              </w:rPr>
            </w:pPr>
          </w:p>
          <w:p w14:paraId="5D5E01B4" w14:textId="77777777" w:rsidR="0023203B" w:rsidRPr="007429E1" w:rsidRDefault="0023203B" w:rsidP="00C10964">
            <w:pPr>
              <w:numPr>
                <w:ilvl w:val="0"/>
                <w:numId w:val="4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Other immigration topics</w:t>
            </w:r>
          </w:p>
          <w:p w14:paraId="7A744D39" w14:textId="77777777" w:rsidR="000F6452" w:rsidRPr="007429E1" w:rsidRDefault="000F6452" w:rsidP="0023203B">
            <w:pPr>
              <w:spacing w:after="0" w:line="240" w:lineRule="auto"/>
              <w:ind w:left="360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5CE6905A" w14:textId="77777777" w:rsidTr="0070086A">
        <w:trPr>
          <w:trHeight w:val="56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1A210DF6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TOPIC06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International Affairs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01216319" w14:textId="77777777" w:rsidR="00CD0F7C" w:rsidRPr="007429E1" w:rsidRDefault="00CD0F7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 foreign affairs regarding Crimean Crisis</w:t>
            </w:r>
          </w:p>
          <w:p w14:paraId="78E3698E" w14:textId="77777777" w:rsidR="00B6370C" w:rsidRPr="007429E1" w:rsidRDefault="00B6370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Foreign affairs regarding Crimean Crisis (non-EU)</w:t>
            </w:r>
          </w:p>
          <w:p w14:paraId="4755649F" w14:textId="77777777" w:rsidR="00CD0F7C" w:rsidRPr="007429E1" w:rsidRDefault="00CD0F7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 foreign affairs general (e.g. EU-China, EU-Russia, EU-US rel</w:t>
            </w:r>
            <w:r w:rsidR="00B6370C" w:rsidRPr="007429E1">
              <w:rPr>
                <w:sz w:val="20"/>
                <w:lang w:val="en-GB"/>
              </w:rPr>
              <w:t>ations, European neighbourhood policy)</w:t>
            </w:r>
          </w:p>
          <w:p w14:paraId="32020CB1" w14:textId="77777777" w:rsidR="00B6370C" w:rsidRPr="007429E1" w:rsidRDefault="00B6370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Foreign affairs general (non-EU; e.g. relations Germany-US, UK’s role in the UN</w:t>
            </w:r>
            <w:r w:rsidR="004019CB" w:rsidRPr="007429E1">
              <w:rPr>
                <w:sz w:val="20"/>
                <w:lang w:val="en-GB"/>
              </w:rPr>
              <w:t>; relations between states or (international) political organizations</w:t>
            </w:r>
            <w:r w:rsidRPr="007429E1">
              <w:rPr>
                <w:sz w:val="20"/>
                <w:lang w:val="en-GB"/>
              </w:rPr>
              <w:t>)</w:t>
            </w:r>
          </w:p>
          <w:p w14:paraId="13ADAF7B" w14:textId="77777777" w:rsidR="00B6370C" w:rsidRPr="007429E1" w:rsidRDefault="00B6370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 defence / peace-keeping</w:t>
            </w:r>
            <w:r w:rsidR="00D77EBB" w:rsidRPr="007429E1">
              <w:rPr>
                <w:sz w:val="20"/>
                <w:lang w:val="en-GB"/>
              </w:rPr>
              <w:t xml:space="preserve"> / EU security</w:t>
            </w:r>
          </w:p>
          <w:p w14:paraId="0931B89C" w14:textId="77777777" w:rsidR="00B6370C" w:rsidRPr="007429E1" w:rsidRDefault="00B6370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Defence / peace-keeping</w:t>
            </w:r>
            <w:r w:rsidR="00D77EBB" w:rsidRPr="007429E1">
              <w:rPr>
                <w:sz w:val="20"/>
                <w:lang w:val="en-GB"/>
              </w:rPr>
              <w:t xml:space="preserve"> / national security </w:t>
            </w:r>
            <w:r w:rsidRPr="007429E1">
              <w:rPr>
                <w:sz w:val="20"/>
                <w:lang w:val="en-GB"/>
              </w:rPr>
              <w:t xml:space="preserve"> (non-EU; e.g. France sending troops to peace-keeping mission in Africa)</w:t>
            </w:r>
          </w:p>
          <w:p w14:paraId="5383F19E" w14:textId="77777777" w:rsidR="00B6370C" w:rsidRPr="007429E1" w:rsidRDefault="00B6370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Armed forces (modernization, structure, expenditure, military strength)</w:t>
            </w:r>
          </w:p>
          <w:p w14:paraId="07D9160A" w14:textId="77777777" w:rsidR="00B6370C" w:rsidRPr="007429E1" w:rsidRDefault="00B6370C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Military </w:t>
            </w:r>
            <w:proofErr w:type="spellStart"/>
            <w:r w:rsidRPr="007429E1">
              <w:rPr>
                <w:sz w:val="20"/>
                <w:lang w:val="en-GB"/>
              </w:rPr>
              <w:t>cooperations</w:t>
            </w:r>
            <w:proofErr w:type="spellEnd"/>
            <w:r w:rsidRPr="007429E1">
              <w:rPr>
                <w:sz w:val="20"/>
                <w:lang w:val="en-GB"/>
              </w:rPr>
              <w:t xml:space="preserve"> / treaties / obligations (e.g. membership, obligations</w:t>
            </w:r>
            <w:r w:rsidR="00EB69F6" w:rsidRPr="007429E1">
              <w:rPr>
                <w:sz w:val="20"/>
                <w:lang w:val="en-GB"/>
              </w:rPr>
              <w:t>, NATO</w:t>
            </w:r>
            <w:r w:rsidRPr="007429E1">
              <w:rPr>
                <w:sz w:val="20"/>
                <w:lang w:val="en-GB"/>
              </w:rPr>
              <w:t>)</w:t>
            </w:r>
          </w:p>
          <w:p w14:paraId="2E2F36BB" w14:textId="77777777" w:rsidR="00B6370C" w:rsidRPr="007429E1" w:rsidRDefault="00B6370C" w:rsidP="00B6370C">
            <w:pPr>
              <w:spacing w:after="0" w:line="240" w:lineRule="auto"/>
              <w:rPr>
                <w:sz w:val="20"/>
                <w:lang w:val="en-GB"/>
              </w:rPr>
            </w:pPr>
          </w:p>
          <w:p w14:paraId="64536724" w14:textId="77777777" w:rsidR="00B6370C" w:rsidRPr="007429E1" w:rsidRDefault="00017664" w:rsidP="00C1096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  <w:r w:rsidR="00B6370C" w:rsidRPr="007429E1">
              <w:rPr>
                <w:sz w:val="20"/>
                <w:lang w:val="en-GB"/>
              </w:rPr>
              <w:t>ther international affairs topic</w:t>
            </w:r>
          </w:p>
          <w:p w14:paraId="6EA8CDA8" w14:textId="77777777" w:rsidR="000F6452" w:rsidRPr="007429E1" w:rsidRDefault="000F6452" w:rsidP="00B6370C">
            <w:pPr>
              <w:spacing w:after="0" w:line="240" w:lineRule="auto"/>
              <w:ind w:left="720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3091A2B0" w14:textId="77777777" w:rsidTr="0070086A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143CC34F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TOPIC07</w:t>
            </w:r>
            <w:r w:rsidR="00EE5B7D" w:rsidRPr="007429E1">
              <w:rPr>
                <w:b/>
                <w:bCs/>
                <w:sz w:val="20"/>
                <w:lang w:eastAsia="en-US"/>
              </w:rPr>
              <w:t xml:space="preserve"> Culture </w:t>
            </w:r>
            <w:r w:rsidR="00BA43DF" w:rsidRPr="007429E1">
              <w:rPr>
                <w:b/>
                <w:bCs/>
                <w:sz w:val="20"/>
                <w:lang w:eastAsia="en-US"/>
              </w:rPr>
              <w:t>and Other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7A1D75C7" w14:textId="77777777" w:rsidR="00B74D3F" w:rsidRPr="007429E1" w:rsidRDefault="00B74D3F" w:rsidP="00C1096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 cultural and media / communication </w:t>
            </w:r>
            <w:r w:rsidR="00B25936" w:rsidRPr="007429E1">
              <w:rPr>
                <w:sz w:val="20"/>
                <w:lang w:val="en-GB"/>
              </w:rPr>
              <w:t>(</w:t>
            </w:r>
            <w:r w:rsidRPr="007429E1">
              <w:rPr>
                <w:sz w:val="20"/>
                <w:lang w:val="en-GB"/>
              </w:rPr>
              <w:t>policy</w:t>
            </w:r>
            <w:r w:rsidR="00B25936" w:rsidRPr="007429E1">
              <w:rPr>
                <w:sz w:val="20"/>
                <w:lang w:val="en-GB"/>
              </w:rPr>
              <w:t>)</w:t>
            </w:r>
            <w:r w:rsidRPr="007429E1">
              <w:rPr>
                <w:sz w:val="20"/>
                <w:lang w:val="en-GB"/>
              </w:rPr>
              <w:t xml:space="preserve"> </w:t>
            </w:r>
            <w:r w:rsidR="007668EB" w:rsidRPr="007429E1">
              <w:rPr>
                <w:rFonts w:cs="Times New Roman"/>
                <w:sz w:val="20"/>
                <w:lang w:val="en-GB"/>
              </w:rPr>
              <w:t>(arts, films/movies, theatre, music, media)</w:t>
            </w:r>
          </w:p>
          <w:p w14:paraId="573C4974" w14:textId="77777777" w:rsidR="00B74D3F" w:rsidRPr="007429E1" w:rsidRDefault="00B74D3F" w:rsidP="00C1096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Cultural and media / communication </w:t>
            </w:r>
            <w:r w:rsidR="00B25936" w:rsidRPr="007429E1">
              <w:rPr>
                <w:sz w:val="20"/>
                <w:lang w:val="en-GB"/>
              </w:rPr>
              <w:t>(</w:t>
            </w:r>
            <w:r w:rsidRPr="007429E1">
              <w:rPr>
                <w:sz w:val="20"/>
                <w:lang w:val="en-GB"/>
              </w:rPr>
              <w:t>policy</w:t>
            </w:r>
            <w:r w:rsidR="00B25936" w:rsidRPr="007429E1">
              <w:rPr>
                <w:sz w:val="20"/>
                <w:lang w:val="en-GB"/>
              </w:rPr>
              <w:t>)</w:t>
            </w:r>
            <w:r w:rsidRPr="007429E1">
              <w:rPr>
                <w:sz w:val="20"/>
                <w:lang w:val="en-GB"/>
              </w:rPr>
              <w:t xml:space="preserve"> </w:t>
            </w:r>
            <w:r w:rsidR="00037457" w:rsidRPr="007429E1">
              <w:rPr>
                <w:sz w:val="20"/>
                <w:lang w:val="en-GB"/>
              </w:rPr>
              <w:t>(non-EU)</w:t>
            </w:r>
            <w:r w:rsidR="007668EB" w:rsidRPr="007429E1">
              <w:rPr>
                <w:sz w:val="20"/>
                <w:lang w:val="en-GB"/>
              </w:rPr>
              <w:t xml:space="preserve"> (e.g. subsidies for theatre’s, movies, music etc.; the export of own culture, language etc.)</w:t>
            </w:r>
          </w:p>
          <w:p w14:paraId="3EDAD237" w14:textId="77777777" w:rsidR="00037457" w:rsidRPr="007429E1" w:rsidRDefault="00037457" w:rsidP="00C10964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Human interest (soft news: about prominent persons, celebrities, anniversaries, weddings, animals, strange/funny events, etc.)</w:t>
            </w:r>
          </w:p>
          <w:p w14:paraId="6BBF511C" w14:textId="77777777" w:rsidR="00037457" w:rsidRPr="007429E1" w:rsidRDefault="00037457" w:rsidP="00C10964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Religion </w:t>
            </w:r>
          </w:p>
          <w:p w14:paraId="259783CD" w14:textId="77777777" w:rsidR="00037457" w:rsidRPr="007429E1" w:rsidRDefault="00017664" w:rsidP="00C10964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Sports weather report/ f</w:t>
            </w:r>
            <w:r w:rsidR="00037457" w:rsidRPr="007429E1">
              <w:rPr>
                <w:sz w:val="20"/>
                <w:lang w:val="en-GB"/>
              </w:rPr>
              <w:t>orecast</w:t>
            </w:r>
          </w:p>
          <w:p w14:paraId="40A82737" w14:textId="77777777" w:rsidR="00037457" w:rsidRPr="007429E1" w:rsidRDefault="00037457" w:rsidP="00C10964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(Natural) disasters (earthquakes, floods)</w:t>
            </w:r>
          </w:p>
          <w:p w14:paraId="0DF5375C" w14:textId="77777777" w:rsidR="00037457" w:rsidRPr="007429E1" w:rsidRDefault="00037457" w:rsidP="00C10964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Accidents</w:t>
            </w:r>
          </w:p>
          <w:p w14:paraId="135977C0" w14:textId="77777777" w:rsidR="00037457" w:rsidRPr="007429E1" w:rsidRDefault="00037457" w:rsidP="00037457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6A53C47C" w14:textId="77777777" w:rsidR="00037457" w:rsidRPr="007429E1" w:rsidRDefault="00037457" w:rsidP="00C10964">
            <w:pPr>
              <w:numPr>
                <w:ilvl w:val="0"/>
                <w:numId w:val="6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rFonts w:cs="Helvetica"/>
                <w:sz w:val="20"/>
                <w:szCs w:val="18"/>
              </w:rPr>
              <w:t>Other culture and soft news topics</w:t>
            </w:r>
          </w:p>
          <w:p w14:paraId="2AA5AAAE" w14:textId="77777777" w:rsidR="000F6452" w:rsidRPr="007429E1" w:rsidRDefault="000F6452" w:rsidP="00037457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0A1EF9C6" w14:textId="77777777" w:rsidTr="0070086A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5E1B0CBB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TOPIC08</w:t>
            </w:r>
            <w:r w:rsidR="00EE5B7D" w:rsidRPr="007429E1">
              <w:rPr>
                <w:b/>
                <w:bCs/>
                <w:sz w:val="20"/>
                <w:lang w:eastAsia="en-US"/>
              </w:rPr>
              <w:t xml:space="preserve"> Environment and Energy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4EC4571F" w14:textId="77777777" w:rsidR="00A648DF" w:rsidRPr="007429E1" w:rsidRDefault="00A648DF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Style w:val="il"/>
                <w:rFonts w:cs="Helvetica"/>
                <w:sz w:val="20"/>
                <w:szCs w:val="18"/>
                <w:lang w:val="fr-CH"/>
              </w:rPr>
            </w:pPr>
            <w:r w:rsidRPr="007429E1">
              <w:rPr>
                <w:rStyle w:val="il"/>
                <w:rFonts w:cs="Helvetica"/>
                <w:sz w:val="20"/>
                <w:szCs w:val="18"/>
                <w:lang w:val="fr-CH"/>
              </w:rPr>
              <w:t>Climate policy</w:t>
            </w:r>
          </w:p>
          <w:p w14:paraId="5D4F1D65" w14:textId="77777777" w:rsidR="00A648DF" w:rsidRPr="007429E1" w:rsidRDefault="00B25936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cs="Helvetica"/>
                <w:sz w:val="20"/>
                <w:szCs w:val="18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  <w:lang w:val="en-GB"/>
              </w:rPr>
              <w:t xml:space="preserve">EU </w:t>
            </w:r>
            <w:r w:rsidR="00A648DF" w:rsidRPr="007429E1">
              <w:rPr>
                <w:rStyle w:val="il"/>
                <w:rFonts w:cs="Helvetica"/>
                <w:sz w:val="20"/>
                <w:szCs w:val="18"/>
                <w:lang w:val="en-GB"/>
              </w:rPr>
              <w:t xml:space="preserve">Energy policy – supply safety </w:t>
            </w:r>
            <w:r w:rsidR="00A648DF" w:rsidRPr="007429E1">
              <w:rPr>
                <w:rFonts w:cs="Helvetica"/>
                <w:sz w:val="20"/>
                <w:szCs w:val="18"/>
              </w:rPr>
              <w:t xml:space="preserve">(e.g. securing energy supply, </w:t>
            </w:r>
            <w:r w:rsidR="00A648DF"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="00A648DF" w:rsidRPr="007429E1">
              <w:rPr>
                <w:rFonts w:cs="Helvetica"/>
                <w:sz w:val="20"/>
                <w:szCs w:val="18"/>
              </w:rPr>
              <w:t xml:space="preserve"> contracts with Gazprom and other suppliers)</w:t>
            </w:r>
          </w:p>
          <w:p w14:paraId="3F27A36D" w14:textId="77777777" w:rsidR="00B25936" w:rsidRPr="007429E1" w:rsidRDefault="00B25936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Style w:val="il"/>
                <w:rFonts w:cs="Helvetica"/>
                <w:sz w:val="20"/>
                <w:szCs w:val="18"/>
                <w:lang w:val="en-GB"/>
              </w:rPr>
            </w:pPr>
            <w:r w:rsidRPr="007429E1">
              <w:rPr>
                <w:rFonts w:cs="Helvetica"/>
                <w:sz w:val="20"/>
                <w:szCs w:val="18"/>
              </w:rPr>
              <w:t>Energy policy – supply safety (non-EU)</w:t>
            </w:r>
          </w:p>
          <w:p w14:paraId="6EB57079" w14:textId="77777777" w:rsidR="00A648DF" w:rsidRPr="007429E1" w:rsidRDefault="00A648DF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Style w:val="il"/>
                <w:rFonts w:cs="Helvetica"/>
                <w:sz w:val="20"/>
                <w:szCs w:val="18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  <w:lang w:val="en-GB"/>
              </w:rPr>
              <w:t>Energy policy – renewable energies (e.g. wind, solar, water)</w:t>
            </w:r>
          </w:p>
          <w:p w14:paraId="41A8D708" w14:textId="77777777" w:rsidR="00A648DF" w:rsidRPr="007429E1" w:rsidRDefault="00A648DF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Style w:val="il"/>
                <w:rFonts w:cs="Helvetica"/>
                <w:sz w:val="20"/>
                <w:szCs w:val="18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  <w:lang w:val="en-GB"/>
              </w:rPr>
              <w:t>Energy policy – fossil energies (e.g. fracking)</w:t>
            </w:r>
          </w:p>
          <w:p w14:paraId="054E182A" w14:textId="77777777" w:rsidR="00A648DF" w:rsidRPr="007429E1" w:rsidRDefault="00A648DF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Style w:val="il"/>
                <w:rFonts w:cs="Helvetica"/>
                <w:sz w:val="20"/>
                <w:szCs w:val="18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  <w:lang w:val="en-GB"/>
              </w:rPr>
              <w:t>Energy policy – nuclear energy</w:t>
            </w:r>
          </w:p>
          <w:p w14:paraId="2001B6F6" w14:textId="77777777" w:rsidR="00CB5C19" w:rsidRPr="007429E1" w:rsidRDefault="00CB5C19" w:rsidP="00CB5C19">
            <w:pPr>
              <w:pStyle w:val="Listenabsatz"/>
              <w:spacing w:after="0" w:line="240" w:lineRule="auto"/>
              <w:ind w:left="1080"/>
              <w:rPr>
                <w:rStyle w:val="il"/>
                <w:rFonts w:cs="Helvetica"/>
                <w:sz w:val="20"/>
                <w:szCs w:val="20"/>
                <w:lang w:val="en-GB"/>
              </w:rPr>
            </w:pPr>
          </w:p>
          <w:p w14:paraId="7CD4BB94" w14:textId="77777777" w:rsidR="00DE282F" w:rsidRPr="007429E1" w:rsidRDefault="00DE282F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cs="Helvetica"/>
                <w:sz w:val="20"/>
                <w:szCs w:val="20"/>
              </w:rPr>
            </w:pPr>
            <w:r w:rsidRPr="007429E1">
              <w:rPr>
                <w:rFonts w:cs="Helvetica"/>
                <w:sz w:val="20"/>
                <w:szCs w:val="20"/>
              </w:rPr>
              <w:t>Other</w:t>
            </w:r>
            <w:r w:rsidR="002A2099" w:rsidRPr="007429E1">
              <w:rPr>
                <w:rFonts w:cs="Helvetica"/>
                <w:sz w:val="20"/>
                <w:szCs w:val="20"/>
              </w:rPr>
              <w:t xml:space="preserve"> EU</w:t>
            </w:r>
            <w:r w:rsidR="000724BB" w:rsidRPr="007429E1">
              <w:rPr>
                <w:sz w:val="20"/>
                <w:szCs w:val="20"/>
              </w:rPr>
              <w:t xml:space="preserve"> e</w:t>
            </w:r>
            <w:r w:rsidR="000724BB" w:rsidRPr="007429E1">
              <w:rPr>
                <w:rFonts w:cs="Helvetica"/>
                <w:sz w:val="20"/>
                <w:szCs w:val="20"/>
              </w:rPr>
              <w:t>nvironmental and energy topics</w:t>
            </w:r>
          </w:p>
          <w:p w14:paraId="082D1029" w14:textId="77777777" w:rsidR="002A2099" w:rsidRPr="007429E1" w:rsidRDefault="002A2099" w:rsidP="002A2099">
            <w:pPr>
              <w:pStyle w:val="Listenabsatz"/>
              <w:rPr>
                <w:rFonts w:cs="Helvetica"/>
                <w:sz w:val="20"/>
                <w:szCs w:val="20"/>
              </w:rPr>
            </w:pPr>
          </w:p>
          <w:p w14:paraId="43D19DE1" w14:textId="77777777" w:rsidR="002A2099" w:rsidRPr="007429E1" w:rsidRDefault="002A2099" w:rsidP="00C1096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cs="Helvetica"/>
                <w:sz w:val="20"/>
                <w:szCs w:val="20"/>
              </w:rPr>
            </w:pPr>
            <w:r w:rsidRPr="007429E1">
              <w:rPr>
                <w:rFonts w:cs="Helvetica"/>
                <w:sz w:val="20"/>
                <w:szCs w:val="20"/>
              </w:rPr>
              <w:t>Other non-EU environmental and energy topics</w:t>
            </w:r>
          </w:p>
          <w:p w14:paraId="5BA2A84A" w14:textId="77777777" w:rsidR="000F6452" w:rsidRPr="007429E1" w:rsidRDefault="000F645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2314CA19" w14:textId="77777777" w:rsidTr="00B8438D">
        <w:trPr>
          <w:trHeight w:val="32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160E111" w14:textId="77777777" w:rsidR="000F6452" w:rsidRPr="007429E1" w:rsidRDefault="008A7BB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lastRenderedPageBreak/>
              <w:t>TOPIC09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Infrastructure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A73598" w14:textId="77777777" w:rsidR="00B8438D" w:rsidRPr="007429E1" w:rsidRDefault="00B8438D" w:rsidP="00C1096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 transportation policy</w:t>
            </w:r>
          </w:p>
          <w:p w14:paraId="15C0020E" w14:textId="77777777" w:rsidR="00B8438D" w:rsidRPr="007429E1" w:rsidRDefault="00B8438D" w:rsidP="00C1096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Transportation policy (non-EU)</w:t>
            </w:r>
          </w:p>
          <w:p w14:paraId="021B93E7" w14:textId="77777777" w:rsidR="00B8438D" w:rsidRPr="007429E1" w:rsidRDefault="00B8438D" w:rsidP="00C1096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ICT policy (e.g. communication infrastructure)</w:t>
            </w:r>
          </w:p>
          <w:p w14:paraId="7705BCF6" w14:textId="77777777" w:rsidR="00B8438D" w:rsidRPr="007429E1" w:rsidRDefault="00B8438D" w:rsidP="00C1096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Energy grid</w:t>
            </w:r>
          </w:p>
          <w:p w14:paraId="322F247A" w14:textId="77777777" w:rsidR="00BC33BF" w:rsidRPr="007429E1" w:rsidRDefault="00BC33BF" w:rsidP="00BC33BF">
            <w:pPr>
              <w:pStyle w:val="Listenabsatz"/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55973782" w14:textId="77777777" w:rsidR="00B8438D" w:rsidRPr="007429E1" w:rsidRDefault="00BC33BF" w:rsidP="00C10964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Other technology and infrastructure topics</w:t>
            </w:r>
          </w:p>
          <w:p w14:paraId="2539523E" w14:textId="77777777" w:rsidR="000F6452" w:rsidRPr="007429E1" w:rsidRDefault="000F6452" w:rsidP="00BC33BF">
            <w:pPr>
              <w:spacing w:after="0" w:line="240" w:lineRule="auto"/>
              <w:ind w:left="720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2AEAFDB1" w14:textId="77777777" w:rsidTr="00B8438D">
        <w:trPr>
          <w:trHeight w:val="56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F99F60C" w14:textId="77777777" w:rsidR="000F6452" w:rsidRPr="007429E1" w:rsidRDefault="00BC33BF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TOPIC10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Agriculture</w:t>
            </w:r>
            <w:r w:rsidRPr="007429E1">
              <w:rPr>
                <w:b/>
                <w:bCs/>
                <w:sz w:val="20"/>
                <w:lang w:eastAsia="en-US"/>
              </w:rPr>
              <w:t xml:space="preserve"> and Food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08129D1" w14:textId="77777777" w:rsidR="00BC33BF" w:rsidRPr="007429E1" w:rsidRDefault="00BC33BF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cs="Helvetica"/>
                <w:sz w:val="20"/>
                <w:szCs w:val="18"/>
              </w:rPr>
            </w:pPr>
            <w:r w:rsidRPr="007429E1">
              <w:rPr>
                <w:sz w:val="20"/>
                <w:lang w:val="en-GB"/>
              </w:rPr>
              <w:t xml:space="preserve">EU agricultural policy </w:t>
            </w:r>
            <w:r w:rsidRPr="007429E1">
              <w:rPr>
                <w:rFonts w:cs="Helvetica"/>
                <w:sz w:val="20"/>
                <w:szCs w:val="18"/>
              </w:rPr>
              <w:t>(e.g. subsidies for farmers, food safety, genetically modified food)</w:t>
            </w:r>
          </w:p>
          <w:p w14:paraId="762DE959" w14:textId="77777777" w:rsidR="00BC33BF" w:rsidRPr="007429E1" w:rsidRDefault="00BC33BF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Agricultural </w:t>
            </w:r>
            <w:r w:rsidR="00501AA9">
              <w:rPr>
                <w:sz w:val="20"/>
                <w:lang w:val="en-GB"/>
              </w:rPr>
              <w:t>policy</w:t>
            </w:r>
            <w:r w:rsidRPr="007429E1">
              <w:rPr>
                <w:sz w:val="20"/>
                <w:lang w:val="en-GB"/>
              </w:rPr>
              <w:t xml:space="preserve"> </w:t>
            </w:r>
            <w:r w:rsidR="00FE7EAF" w:rsidRPr="007429E1">
              <w:rPr>
                <w:sz w:val="20"/>
                <w:lang w:val="en-GB"/>
              </w:rPr>
              <w:t>(</w:t>
            </w:r>
            <w:r w:rsidRPr="007429E1">
              <w:rPr>
                <w:sz w:val="20"/>
                <w:lang w:val="en-GB"/>
              </w:rPr>
              <w:t>non-EU</w:t>
            </w:r>
            <w:r w:rsidR="00FE7EAF" w:rsidRPr="007429E1">
              <w:rPr>
                <w:sz w:val="20"/>
                <w:lang w:val="en-GB"/>
              </w:rPr>
              <w:t>)</w:t>
            </w:r>
          </w:p>
          <w:p w14:paraId="5A5E04E6" w14:textId="77777777" w:rsidR="00BC33BF" w:rsidRPr="007429E1" w:rsidRDefault="00BC33BF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 maritime affairs and fishery </w:t>
            </w:r>
            <w:r w:rsidR="00501AA9">
              <w:rPr>
                <w:sz w:val="20"/>
                <w:lang w:val="en-GB"/>
              </w:rPr>
              <w:t>policy</w:t>
            </w:r>
          </w:p>
          <w:p w14:paraId="63EEE3D0" w14:textId="77777777" w:rsidR="00BC33BF" w:rsidRPr="007429E1" w:rsidRDefault="00BC33BF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Maritime affairs and fishery </w:t>
            </w:r>
            <w:r w:rsidR="00501AA9">
              <w:rPr>
                <w:sz w:val="20"/>
                <w:lang w:val="en-GB"/>
              </w:rPr>
              <w:t>policy</w:t>
            </w:r>
            <w:r w:rsidRPr="007429E1">
              <w:rPr>
                <w:sz w:val="20"/>
                <w:lang w:val="en-GB"/>
              </w:rPr>
              <w:t xml:space="preserve"> (non-EU)</w:t>
            </w:r>
          </w:p>
          <w:p w14:paraId="5EA690DB" w14:textId="77777777" w:rsidR="00443B9E" w:rsidRPr="007429E1" w:rsidRDefault="00BC33BF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Food safety</w:t>
            </w:r>
            <w:r w:rsidR="00443B9E" w:rsidRPr="007429E1">
              <w:rPr>
                <w:sz w:val="20"/>
                <w:lang w:val="en-GB"/>
              </w:rPr>
              <w:t xml:space="preserve"> </w:t>
            </w:r>
          </w:p>
          <w:p w14:paraId="371009C9" w14:textId="77777777" w:rsidR="00BC33BF" w:rsidRPr="007429E1" w:rsidRDefault="00443B9E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F</w:t>
            </w:r>
            <w:r w:rsidR="00BC33BF" w:rsidRPr="007429E1">
              <w:rPr>
                <w:sz w:val="20"/>
                <w:lang w:val="en-GB"/>
              </w:rPr>
              <w:t>ood and public health</w:t>
            </w:r>
          </w:p>
          <w:p w14:paraId="7D5430E4" w14:textId="77777777" w:rsidR="00BC33BF" w:rsidRPr="007429E1" w:rsidRDefault="00BC33BF" w:rsidP="00BC33BF">
            <w:pPr>
              <w:pStyle w:val="Listenabsatz"/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21E4A8F8" w14:textId="77777777" w:rsidR="00BC33BF" w:rsidRPr="007429E1" w:rsidRDefault="00BC33BF" w:rsidP="00C10964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Other agriculture and food topics</w:t>
            </w:r>
          </w:p>
          <w:p w14:paraId="5C32FB99" w14:textId="77777777" w:rsidR="000F6452" w:rsidRPr="007429E1" w:rsidRDefault="000F6452" w:rsidP="00FE7EAF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7DF5A7C5" w14:textId="77777777" w:rsidTr="0070086A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413325D" w14:textId="77777777" w:rsidR="000F6452" w:rsidRPr="007429E1" w:rsidRDefault="00FE7EAF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TOPIC11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Consumer protection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F7FE311" w14:textId="77777777" w:rsidR="00EE5B7D" w:rsidRDefault="00A949B5" w:rsidP="00C10964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7429E1">
              <w:rPr>
                <w:rStyle w:val="il"/>
                <w:rFonts w:asciiTheme="minorHAnsi" w:hAnsiTheme="minorHAnsi" w:cstheme="minorHAnsi"/>
                <w:sz w:val="20"/>
                <w:szCs w:val="18"/>
              </w:rPr>
              <w:t>EU</w:t>
            </w:r>
            <w:r w:rsidRPr="007429E1">
              <w:rPr>
                <w:rFonts w:asciiTheme="minorHAnsi" w:hAnsiTheme="minorHAnsi" w:cstheme="minorHAnsi"/>
                <w:sz w:val="20"/>
                <w:szCs w:val="18"/>
              </w:rPr>
              <w:t xml:space="preserve"> consumer protection policy</w:t>
            </w:r>
          </w:p>
          <w:p w14:paraId="2836CF61" w14:textId="77777777" w:rsidR="00017664" w:rsidRPr="007429E1" w:rsidRDefault="00017664" w:rsidP="00017664">
            <w:pPr>
              <w:pStyle w:val="StandardWeb"/>
              <w:spacing w:before="0" w:beforeAutospacing="0" w:after="0" w:afterAutospacing="0"/>
              <w:ind w:left="1080"/>
              <w:rPr>
                <w:rFonts w:asciiTheme="minorHAnsi" w:hAnsiTheme="minorHAnsi" w:cstheme="minorHAnsi"/>
                <w:sz w:val="20"/>
                <w:szCs w:val="18"/>
              </w:rPr>
            </w:pPr>
          </w:p>
          <w:p w14:paraId="59BE8BA9" w14:textId="77777777" w:rsidR="00A949B5" w:rsidRPr="007429E1" w:rsidRDefault="00DE282F" w:rsidP="00C10964">
            <w:pPr>
              <w:pStyle w:val="Standard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7429E1">
              <w:rPr>
                <w:rFonts w:asciiTheme="minorHAnsi" w:hAnsiTheme="minorHAnsi" w:cstheme="minorHAnsi"/>
                <w:sz w:val="20"/>
                <w:szCs w:val="18"/>
              </w:rPr>
              <w:t>Other</w:t>
            </w:r>
            <w:r w:rsidR="00970EDF" w:rsidRPr="007429E1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 consumer protection</w:t>
            </w:r>
            <w:r w:rsidR="00970EDF" w:rsidRPr="007429E1">
              <w:rPr>
                <w:rFonts w:asciiTheme="minorHAnsi" w:hAnsiTheme="minorHAnsi" w:cstheme="minorHAnsi"/>
              </w:rPr>
              <w:t xml:space="preserve"> </w:t>
            </w:r>
            <w:r w:rsidR="00970EDF" w:rsidRPr="007429E1">
              <w:rPr>
                <w:rFonts w:asciiTheme="minorHAnsi" w:hAnsiTheme="minorHAnsi" w:cstheme="minorHAnsi"/>
                <w:bCs/>
                <w:sz w:val="20"/>
                <w:lang w:eastAsia="en-US"/>
              </w:rPr>
              <w:t>topics</w:t>
            </w:r>
          </w:p>
          <w:p w14:paraId="7E00C0E9" w14:textId="77777777" w:rsidR="000F6452" w:rsidRPr="007429E1" w:rsidRDefault="000F6452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60459656" w14:textId="77777777" w:rsidTr="0070086A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323DF5" w14:textId="77777777" w:rsidR="002B338B" w:rsidRPr="007429E1" w:rsidRDefault="002B338B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TOPIC12 Citizens’ rights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7FB08E" w14:textId="77777777" w:rsidR="008B5107" w:rsidRPr="007429E1" w:rsidRDefault="008B5107" w:rsidP="00C10964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Female rights </w:t>
            </w:r>
            <w:r w:rsidR="00443B9E" w:rsidRPr="007429E1">
              <w:rPr>
                <w:sz w:val="20"/>
                <w:lang w:val="en-GB"/>
              </w:rPr>
              <w:t>and equality</w:t>
            </w:r>
          </w:p>
          <w:p w14:paraId="0BA4F52E" w14:textId="77777777" w:rsidR="008B5107" w:rsidRPr="007429E1" w:rsidRDefault="008B5107" w:rsidP="00C1096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Abortion</w:t>
            </w:r>
          </w:p>
          <w:p w14:paraId="525EA506" w14:textId="77777777" w:rsidR="0083303B" w:rsidRPr="007429E1" w:rsidRDefault="008B5107" w:rsidP="00C10964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Immigrant rights</w:t>
            </w:r>
          </w:p>
          <w:p w14:paraId="13EDC3AE" w14:textId="77777777" w:rsidR="008B5107" w:rsidRPr="007429E1" w:rsidRDefault="008B5107" w:rsidP="00C10964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Minority rights (e.g. handicapped, gay marriage, children, elderly)</w:t>
            </w:r>
          </w:p>
          <w:p w14:paraId="23789E4A" w14:textId="77777777" w:rsidR="008B5107" w:rsidRPr="007429E1" w:rsidRDefault="008B5107" w:rsidP="00C10964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Private property and copyright rights</w:t>
            </w:r>
          </w:p>
          <w:p w14:paraId="655D3993" w14:textId="77777777" w:rsidR="008B5107" w:rsidRPr="007429E1" w:rsidRDefault="008B5107" w:rsidP="008B5107">
            <w:pPr>
              <w:spacing w:after="0" w:line="240" w:lineRule="auto"/>
              <w:rPr>
                <w:sz w:val="20"/>
                <w:lang w:val="en-GB"/>
              </w:rPr>
            </w:pPr>
          </w:p>
          <w:p w14:paraId="44769B30" w14:textId="77777777" w:rsidR="008B5107" w:rsidRPr="007429E1" w:rsidRDefault="008B5107" w:rsidP="00C10964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Other citizens’ rights topics (e.g</w:t>
            </w:r>
            <w:r w:rsidR="00A86BCD">
              <w:rPr>
                <w:sz w:val="20"/>
                <w:lang w:val="en-GB"/>
              </w:rPr>
              <w:t>.</w:t>
            </w:r>
            <w:r w:rsidRPr="007429E1">
              <w:rPr>
                <w:sz w:val="20"/>
                <w:lang w:val="en-GB"/>
              </w:rPr>
              <w:t xml:space="preserve"> Human rights in general, civil liberties, equality before law)</w:t>
            </w:r>
          </w:p>
          <w:p w14:paraId="152C51AA" w14:textId="77777777" w:rsidR="0083303B" w:rsidRPr="007429E1" w:rsidRDefault="0083303B" w:rsidP="0083303B">
            <w:pPr>
              <w:pStyle w:val="StandardWeb"/>
              <w:spacing w:before="0" w:beforeAutospacing="0" w:after="0" w:afterAutospacing="0"/>
              <w:rPr>
                <w:rStyle w:val="il"/>
                <w:rFonts w:asciiTheme="minorHAnsi" w:hAnsiTheme="minorHAnsi" w:cstheme="minorHAnsi"/>
                <w:sz w:val="20"/>
                <w:szCs w:val="18"/>
              </w:rPr>
            </w:pPr>
          </w:p>
        </w:tc>
      </w:tr>
      <w:tr w:rsidR="007429E1" w:rsidRPr="007429E1" w14:paraId="494DE807" w14:textId="77777777" w:rsidTr="0070086A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68A54831" w14:textId="77777777" w:rsidR="000F6452" w:rsidRPr="007429E1" w:rsidRDefault="00992DED" w:rsidP="005B50BC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TOPIC13</w:t>
            </w:r>
            <w:r w:rsidR="000F6452" w:rsidRPr="007429E1">
              <w:rPr>
                <w:b/>
                <w:bCs/>
                <w:sz w:val="20"/>
                <w:lang w:eastAsia="en-US"/>
              </w:rPr>
              <w:t xml:space="preserve"> Constitutional questions</w:t>
            </w:r>
            <w:r w:rsidR="0059435D" w:rsidRPr="007429E1">
              <w:rPr>
                <w:b/>
                <w:bCs/>
                <w:sz w:val="20"/>
                <w:lang w:eastAsia="en-US"/>
              </w:rPr>
              <w:t xml:space="preserve"> </w:t>
            </w:r>
            <w:r w:rsidR="004932B8" w:rsidRPr="007429E1">
              <w:rPr>
                <w:b/>
                <w:bCs/>
                <w:sz w:val="20"/>
                <w:lang w:eastAsia="en-US"/>
              </w:rPr>
              <w:t>and functioning of EU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27CF6FAC" w14:textId="77777777" w:rsidR="00B83B5E" w:rsidRPr="00084358" w:rsidRDefault="00B83B5E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 xml:space="preserve">Division of power </w:t>
            </w:r>
            <w:r w:rsidRPr="00084358">
              <w:rPr>
                <w:i/>
                <w:sz w:val="20"/>
                <w:lang w:val="en-GB"/>
              </w:rPr>
              <w:t>between political institutions</w:t>
            </w:r>
            <w:r w:rsidRPr="00084358">
              <w:rPr>
                <w:sz w:val="20"/>
                <w:lang w:val="en-GB"/>
              </w:rPr>
              <w:t xml:space="preserve"> (e.g. between Parliament and Government,</w:t>
            </w:r>
            <w:r w:rsidR="0054737D" w:rsidRPr="00084358">
              <w:rPr>
                <w:sz w:val="20"/>
                <w:lang w:val="en-GB"/>
              </w:rPr>
              <w:t xml:space="preserve"> between the Council and the European Parliament,</w:t>
            </w:r>
            <w:r w:rsidRPr="00084358">
              <w:rPr>
                <w:sz w:val="20"/>
                <w:lang w:val="en-GB"/>
              </w:rPr>
              <w:t xml:space="preserve"> separation of church and state)</w:t>
            </w:r>
          </w:p>
          <w:p w14:paraId="5BFBD43A" w14:textId="77777777" w:rsidR="00B83B5E" w:rsidRPr="00084358" w:rsidRDefault="00B83B5E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 xml:space="preserve">Division of power </w:t>
            </w:r>
            <w:r w:rsidRPr="00084358">
              <w:rPr>
                <w:i/>
                <w:sz w:val="20"/>
                <w:lang w:val="en-GB"/>
              </w:rPr>
              <w:t>between political levels</w:t>
            </w:r>
            <w:r w:rsidRPr="00084358">
              <w:rPr>
                <w:sz w:val="20"/>
                <w:lang w:val="en-GB"/>
              </w:rPr>
              <w:t xml:space="preserve"> (e.g. </w:t>
            </w:r>
            <w:r w:rsidR="0054737D" w:rsidRPr="00084358">
              <w:rPr>
                <w:sz w:val="20"/>
                <w:lang w:val="en-GB"/>
              </w:rPr>
              <w:t>delegation and transference of decision-making power between</w:t>
            </w:r>
            <w:r w:rsidRPr="00084358">
              <w:rPr>
                <w:sz w:val="20"/>
                <w:lang w:val="en-GB"/>
              </w:rPr>
              <w:t xml:space="preserve"> Brussels and the national level; between regional and nationa</w:t>
            </w:r>
            <w:r w:rsidR="0054737D" w:rsidRPr="00084358">
              <w:rPr>
                <w:sz w:val="20"/>
                <w:lang w:val="en-GB"/>
              </w:rPr>
              <w:t>l levels; federalism,</w:t>
            </w:r>
            <w:r w:rsidR="00FD346A" w:rsidRPr="00084358">
              <w:rPr>
                <w:sz w:val="20"/>
                <w:lang w:val="en-GB"/>
              </w:rPr>
              <w:t xml:space="preserve"> regional </w:t>
            </w:r>
            <w:r w:rsidR="0054737D" w:rsidRPr="00084358">
              <w:rPr>
                <w:sz w:val="20"/>
                <w:lang w:val="en-GB"/>
              </w:rPr>
              <w:t>autonomy</w:t>
            </w:r>
            <w:r w:rsidR="004932B8" w:rsidRPr="00084358">
              <w:rPr>
                <w:sz w:val="20"/>
                <w:lang w:val="en-GB"/>
              </w:rPr>
              <w:t xml:space="preserve"> AND devolution</w:t>
            </w:r>
            <w:r w:rsidR="0054737D" w:rsidRPr="00084358">
              <w:rPr>
                <w:sz w:val="20"/>
                <w:lang w:val="en-GB"/>
              </w:rPr>
              <w:t>; subsidiarity</w:t>
            </w:r>
            <w:r w:rsidR="002143F2" w:rsidRPr="00084358">
              <w:rPr>
                <w:sz w:val="20"/>
                <w:lang w:val="en-GB"/>
              </w:rPr>
              <w:t>)</w:t>
            </w:r>
          </w:p>
          <w:p w14:paraId="67099E7E" w14:textId="77777777" w:rsidR="00E45FB9" w:rsidRPr="00084358" w:rsidRDefault="00E45FB9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084358">
              <w:rPr>
                <w:rFonts w:cs="Helvetica"/>
                <w:sz w:val="20"/>
                <w:szCs w:val="18"/>
              </w:rPr>
              <w:t xml:space="preserve">’s </w:t>
            </w:r>
            <w:r w:rsidRPr="00084358">
              <w:rPr>
                <w:rFonts w:cs="Helvetica"/>
                <w:i/>
                <w:sz w:val="20"/>
                <w:szCs w:val="18"/>
              </w:rPr>
              <w:t>democratic deficit</w:t>
            </w:r>
            <w:r w:rsidRPr="00084358">
              <w:rPr>
                <w:rFonts w:cs="Helvetica"/>
                <w:sz w:val="20"/>
                <w:szCs w:val="18"/>
              </w:rPr>
              <w:t xml:space="preserve"> (e.g. distance or ‘gap’ between the </w:t>
            </w:r>
            <w:r w:rsidRPr="00084358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084358">
              <w:rPr>
                <w:rFonts w:cs="Helvetica"/>
                <w:sz w:val="20"/>
                <w:szCs w:val="18"/>
              </w:rPr>
              <w:t xml:space="preserve"> and its citizens or the responsiveness of the </w:t>
            </w:r>
            <w:r w:rsidRPr="00084358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084358">
              <w:rPr>
                <w:rFonts w:cs="Helvetica"/>
                <w:sz w:val="20"/>
                <w:szCs w:val="18"/>
              </w:rPr>
              <w:t xml:space="preserve"> towards its citizens, citizens feeling not represented or understood by the </w:t>
            </w:r>
            <w:r w:rsidRPr="00084358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084358">
              <w:rPr>
                <w:rFonts w:cs="Helvetica"/>
                <w:sz w:val="20"/>
                <w:szCs w:val="18"/>
              </w:rPr>
              <w:t>)</w:t>
            </w:r>
          </w:p>
          <w:p w14:paraId="7712376A" w14:textId="77777777" w:rsidR="00E45FB9" w:rsidRPr="00084358" w:rsidRDefault="00E45FB9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 xml:space="preserve">Division of power </w:t>
            </w:r>
            <w:r w:rsidRPr="00084358">
              <w:rPr>
                <w:i/>
                <w:sz w:val="20"/>
                <w:lang w:val="en-GB"/>
              </w:rPr>
              <w:t>between the people and the political system</w:t>
            </w:r>
            <w:r w:rsidRPr="00084358">
              <w:rPr>
                <w:sz w:val="20"/>
                <w:lang w:val="en-GB"/>
              </w:rPr>
              <w:t xml:space="preserve"> (e.g. democracy, referendums</w:t>
            </w:r>
            <w:r w:rsidR="00FD346A" w:rsidRPr="00084358">
              <w:rPr>
                <w:sz w:val="20"/>
                <w:lang w:val="en-GB"/>
              </w:rPr>
              <w:t>, sovereignty of the people</w:t>
            </w:r>
            <w:r w:rsidRPr="00084358">
              <w:rPr>
                <w:sz w:val="20"/>
                <w:lang w:val="en-GB"/>
              </w:rPr>
              <w:t>); non-EU</w:t>
            </w:r>
          </w:p>
          <w:p w14:paraId="10E4D014" w14:textId="77777777" w:rsidR="00B83B5E" w:rsidRPr="00084358" w:rsidRDefault="0054737D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 xml:space="preserve">Other </w:t>
            </w:r>
            <w:r w:rsidRPr="00084358">
              <w:rPr>
                <w:i/>
                <w:sz w:val="20"/>
                <w:lang w:val="en-GB"/>
              </w:rPr>
              <w:t>rules of decision-making</w:t>
            </w:r>
            <w:r w:rsidRPr="00084358">
              <w:rPr>
                <w:sz w:val="20"/>
                <w:lang w:val="en-GB"/>
              </w:rPr>
              <w:t xml:space="preserve"> (e.g. qualified majority voting,</w:t>
            </w:r>
            <w:r w:rsidR="004932B8" w:rsidRPr="00084358">
              <w:rPr>
                <w:sz w:val="20"/>
                <w:lang w:val="en-GB"/>
              </w:rPr>
              <w:t xml:space="preserve"> EU treaties</w:t>
            </w:r>
            <w:proofErr w:type="gramStart"/>
            <w:r w:rsidR="004932B8" w:rsidRPr="00084358">
              <w:rPr>
                <w:sz w:val="20"/>
                <w:lang w:val="en-GB"/>
              </w:rPr>
              <w:t xml:space="preserve">, </w:t>
            </w:r>
            <w:r w:rsidRPr="00084358">
              <w:rPr>
                <w:sz w:val="20"/>
                <w:lang w:val="en-GB"/>
              </w:rPr>
              <w:t xml:space="preserve"> right</w:t>
            </w:r>
            <w:proofErr w:type="gramEnd"/>
            <w:r w:rsidRPr="00084358">
              <w:rPr>
                <w:sz w:val="20"/>
                <w:lang w:val="en-GB"/>
              </w:rPr>
              <w:t xml:space="preserve"> to veto</w:t>
            </w:r>
            <w:r w:rsidR="00FD346A" w:rsidRPr="00084358">
              <w:rPr>
                <w:sz w:val="20"/>
                <w:lang w:val="en-GB"/>
              </w:rPr>
              <w:t>, other treaty reforms</w:t>
            </w:r>
            <w:r w:rsidRPr="00084358">
              <w:rPr>
                <w:sz w:val="20"/>
                <w:lang w:val="en-GB"/>
              </w:rPr>
              <w:t>)</w:t>
            </w:r>
          </w:p>
          <w:p w14:paraId="350F3867" w14:textId="77777777" w:rsidR="00B83B5E" w:rsidRPr="00084358" w:rsidRDefault="00B83B5E" w:rsidP="00B83B5E">
            <w:pPr>
              <w:spacing w:after="0" w:line="240" w:lineRule="auto"/>
              <w:ind w:left="360"/>
              <w:rPr>
                <w:sz w:val="20"/>
                <w:lang w:val="en-GB"/>
              </w:rPr>
            </w:pPr>
          </w:p>
          <w:p w14:paraId="23F3968B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Competences of the European Parliament (power, legislative procedures)</w:t>
            </w:r>
          </w:p>
          <w:p w14:paraId="52E32524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Competences of the European Commission (Powers of the European Commission)</w:t>
            </w:r>
          </w:p>
          <w:p w14:paraId="6F14BD54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Competences of the European Council/Council of Ministers (Powers of the European Council/Council of Ministers)</w:t>
            </w:r>
          </w:p>
          <w:p w14:paraId="09B024E6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Competences of the European Court of Justice (references to the powers of the European Court of Justice)</w:t>
            </w:r>
          </w:p>
          <w:p w14:paraId="458435E4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European Central Bank functioning and power</w:t>
            </w:r>
          </w:p>
          <w:p w14:paraId="7C14375A" w14:textId="77777777" w:rsidR="005A51F8" w:rsidRPr="00084358" w:rsidRDefault="00882B9B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rStyle w:val="il"/>
                <w:rFonts w:cs="Helvetica"/>
                <w:sz w:val="20"/>
                <w:szCs w:val="18"/>
              </w:rPr>
              <w:t xml:space="preserve">Power and position of the </w:t>
            </w:r>
            <w:r w:rsidR="005A51F8" w:rsidRPr="00084358">
              <w:rPr>
                <w:rStyle w:val="il"/>
                <w:rFonts w:cs="Helvetica"/>
                <w:sz w:val="20"/>
                <w:szCs w:val="18"/>
              </w:rPr>
              <w:t>EU</w:t>
            </w:r>
            <w:r w:rsidR="005A51F8" w:rsidRPr="00084358">
              <w:rPr>
                <w:rFonts w:cs="Helvetica"/>
                <w:sz w:val="20"/>
                <w:szCs w:val="18"/>
              </w:rPr>
              <w:t xml:space="preserve"> presidency of member state</w:t>
            </w:r>
          </w:p>
          <w:p w14:paraId="2E9C7B7F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Power and position European Cou</w:t>
            </w:r>
            <w:r w:rsidR="00501AA9" w:rsidRPr="00084358">
              <w:rPr>
                <w:sz w:val="20"/>
                <w:lang w:val="en-GB"/>
              </w:rPr>
              <w:t>ncil President/Presidency (Romp</w:t>
            </w:r>
            <w:r w:rsidRPr="00084358">
              <w:rPr>
                <w:sz w:val="20"/>
                <w:lang w:val="en-GB"/>
              </w:rPr>
              <w:t>uy position)</w:t>
            </w:r>
          </w:p>
          <w:p w14:paraId="443A7E18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Power and position European Commiss</w:t>
            </w:r>
            <w:r w:rsidR="00501AA9" w:rsidRPr="00084358">
              <w:rPr>
                <w:sz w:val="20"/>
                <w:lang w:val="en-GB"/>
              </w:rPr>
              <w:t>ion President/Presidency (</w:t>
            </w:r>
            <w:proofErr w:type="spellStart"/>
            <w:r w:rsidR="00501AA9" w:rsidRPr="00084358">
              <w:rPr>
                <w:sz w:val="20"/>
                <w:lang w:val="en-GB"/>
              </w:rPr>
              <w:t>Barro</w:t>
            </w:r>
            <w:r w:rsidRPr="00084358">
              <w:rPr>
                <w:sz w:val="20"/>
                <w:lang w:val="en-GB"/>
              </w:rPr>
              <w:t>so</w:t>
            </w:r>
            <w:proofErr w:type="spellEnd"/>
            <w:r w:rsidRPr="00084358">
              <w:rPr>
                <w:sz w:val="20"/>
                <w:lang w:val="en-GB"/>
              </w:rPr>
              <w:t xml:space="preserve"> position)</w:t>
            </w:r>
          </w:p>
          <w:p w14:paraId="13043916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>Power and position external affairs (Ashton position)</w:t>
            </w:r>
          </w:p>
          <w:p w14:paraId="240EB6B8" w14:textId="77777777" w:rsidR="005A51F8" w:rsidRPr="00084358" w:rsidRDefault="005A51F8" w:rsidP="00C10964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lang w:val="en-GB"/>
              </w:rPr>
            </w:pPr>
            <w:r w:rsidRPr="00084358">
              <w:rPr>
                <w:sz w:val="20"/>
                <w:lang w:val="en-GB"/>
              </w:rPr>
              <w:t xml:space="preserve">Power and position </w:t>
            </w:r>
            <w:proofErr w:type="spellStart"/>
            <w:r w:rsidRPr="00084358">
              <w:rPr>
                <w:sz w:val="20"/>
                <w:lang w:val="en-GB"/>
              </w:rPr>
              <w:t>Eurogroup</w:t>
            </w:r>
            <w:proofErr w:type="spellEnd"/>
            <w:r w:rsidRPr="00084358">
              <w:rPr>
                <w:sz w:val="20"/>
                <w:lang w:val="en-GB"/>
              </w:rPr>
              <w:t xml:space="preserve"> leader (</w:t>
            </w:r>
            <w:proofErr w:type="spellStart"/>
            <w:r w:rsidRPr="00084358">
              <w:rPr>
                <w:sz w:val="20"/>
                <w:lang w:val="en-GB"/>
              </w:rPr>
              <w:t>Dijsselbloem</w:t>
            </w:r>
            <w:proofErr w:type="spellEnd"/>
            <w:r w:rsidRPr="00084358">
              <w:rPr>
                <w:sz w:val="20"/>
                <w:lang w:val="en-GB"/>
              </w:rPr>
              <w:t>)</w:t>
            </w:r>
          </w:p>
          <w:p w14:paraId="63846D62" w14:textId="77777777" w:rsidR="00882B9B" w:rsidRPr="00084358" w:rsidRDefault="00882B9B" w:rsidP="00882B9B">
            <w:pPr>
              <w:spacing w:after="0" w:line="240" w:lineRule="auto"/>
              <w:ind w:left="360"/>
              <w:rPr>
                <w:sz w:val="20"/>
                <w:lang w:val="en-GB"/>
              </w:rPr>
            </w:pPr>
          </w:p>
          <w:p w14:paraId="6A653FCF" w14:textId="77777777" w:rsidR="005A51F8" w:rsidRPr="00084358" w:rsidRDefault="005A51F8" w:rsidP="00C109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rPr>
                <w:bCs/>
                <w:sz w:val="20"/>
                <w:lang w:eastAsia="en-US"/>
              </w:rPr>
            </w:pPr>
            <w:r w:rsidRPr="00084358">
              <w:rPr>
                <w:sz w:val="20"/>
                <w:lang w:val="en-GB"/>
              </w:rPr>
              <w:t>Other EU polity</w:t>
            </w:r>
            <w:r w:rsidR="00882B9B" w:rsidRPr="00084358">
              <w:rPr>
                <w:sz w:val="20"/>
                <w:lang w:val="en-GB"/>
              </w:rPr>
              <w:t xml:space="preserve"> / constitutional</w:t>
            </w:r>
            <w:r w:rsidRPr="00084358">
              <w:rPr>
                <w:sz w:val="20"/>
                <w:lang w:val="en-GB"/>
              </w:rPr>
              <w:t xml:space="preserve"> </w:t>
            </w:r>
            <w:r w:rsidR="00B82EC5" w:rsidRPr="00084358">
              <w:rPr>
                <w:sz w:val="20"/>
                <w:lang w:val="en-GB"/>
              </w:rPr>
              <w:t>topic</w:t>
            </w:r>
          </w:p>
        </w:tc>
      </w:tr>
      <w:tr w:rsidR="007429E1" w:rsidRPr="007429E1" w14:paraId="4DC9A754" w14:textId="77777777" w:rsidTr="00A71216">
        <w:trPr>
          <w:trHeight w:val="58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CB29BC" w14:textId="77777777" w:rsidR="0059435D" w:rsidRPr="007429E1" w:rsidRDefault="003A59A1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lastRenderedPageBreak/>
              <w:t>TOPIC14</w:t>
            </w:r>
            <w:r w:rsidR="0059435D" w:rsidRPr="007429E1">
              <w:rPr>
                <w:b/>
                <w:bCs/>
                <w:sz w:val="20"/>
                <w:lang w:eastAsia="en-US"/>
              </w:rPr>
              <w:t xml:space="preserve"> Territorial questions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290CFF4B" w14:textId="77777777" w:rsidR="00C32843" w:rsidRPr="00084358" w:rsidRDefault="00C32843" w:rsidP="00C10964">
            <w:pPr>
              <w:pStyle w:val="Standard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084358">
              <w:rPr>
                <w:rFonts w:asciiTheme="minorHAnsi" w:hAnsiTheme="minorHAnsi" w:cstheme="minorHAnsi"/>
                <w:sz w:val="20"/>
                <w:szCs w:val="18"/>
              </w:rPr>
              <w:t xml:space="preserve">EU-Membership (existing) (e.g. British referendum on EU membership) </w:t>
            </w:r>
          </w:p>
          <w:p w14:paraId="72AAAC98" w14:textId="77777777" w:rsidR="0059435D" w:rsidRPr="00084358" w:rsidRDefault="0059435D" w:rsidP="00C10964">
            <w:pPr>
              <w:pStyle w:val="Standard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084358">
              <w:rPr>
                <w:rFonts w:asciiTheme="minorHAnsi" w:hAnsiTheme="minorHAnsi" w:cstheme="minorHAnsi"/>
                <w:sz w:val="20"/>
                <w:szCs w:val="18"/>
              </w:rPr>
              <w:t xml:space="preserve">Enlargement (negotiations, criteria, pros and cons) of </w:t>
            </w:r>
            <w:r w:rsidRPr="00084358">
              <w:rPr>
                <w:rStyle w:val="il"/>
                <w:rFonts w:asciiTheme="minorHAnsi" w:hAnsiTheme="minorHAnsi" w:cstheme="minorHAnsi"/>
                <w:sz w:val="20"/>
                <w:szCs w:val="18"/>
              </w:rPr>
              <w:t>EU</w:t>
            </w:r>
          </w:p>
          <w:p w14:paraId="18AC46F2" w14:textId="77777777" w:rsidR="0059435D" w:rsidRPr="00084358" w:rsidRDefault="0059435D" w:rsidP="00C10964">
            <w:pPr>
              <w:pStyle w:val="Standard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>Potential EU membership Turkey</w:t>
            </w:r>
          </w:p>
          <w:p w14:paraId="242A71FB" w14:textId="77777777" w:rsidR="0059435D" w:rsidRPr="00084358" w:rsidRDefault="0059435D" w:rsidP="00C10964">
            <w:pPr>
              <w:pStyle w:val="Standard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Potential EU membership other (e.g. </w:t>
            </w:r>
            <w:r w:rsidR="00C32843"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enlargement </w:t>
            </w:r>
            <w:proofErr w:type="gramStart"/>
            <w:r w:rsidR="00C32843"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>of  EU</w:t>
            </w:r>
            <w:proofErr w:type="gramEnd"/>
            <w:r w:rsidR="00C32843"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 with </w:t>
            </w:r>
            <w:r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Croatia, </w:t>
            </w:r>
            <w:r w:rsidRPr="00084358" w:rsidDel="0002501D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 </w:t>
            </w:r>
            <w:r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>Iceland, Macedonia, Bosnia-</w:t>
            </w:r>
            <w:r w:rsidR="00A86BCD"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>Herzegovina</w:t>
            </w:r>
            <w:r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, </w:t>
            </w:r>
            <w:r w:rsidR="00C32843" w:rsidRPr="00084358">
              <w:rPr>
                <w:rFonts w:asciiTheme="minorHAnsi" w:hAnsiTheme="minorHAnsi" w:cstheme="minorHAnsi"/>
                <w:bCs/>
                <w:sz w:val="20"/>
                <w:lang w:eastAsia="en-US"/>
              </w:rPr>
              <w:t xml:space="preserve">Montenegro, Serbia, Kosovo) </w:t>
            </w:r>
          </w:p>
          <w:p w14:paraId="0B636947" w14:textId="77777777" w:rsidR="00A71216" w:rsidRPr="00084358" w:rsidDel="0002501D" w:rsidRDefault="00A71216" w:rsidP="00A71216">
            <w:pPr>
              <w:pStyle w:val="StandardWeb"/>
              <w:spacing w:before="0" w:beforeAutospacing="0" w:after="0" w:afterAutospacing="0"/>
              <w:ind w:left="1080"/>
              <w:rPr>
                <w:rFonts w:asciiTheme="minorHAnsi" w:hAnsiTheme="minorHAnsi" w:cstheme="minorHAnsi"/>
                <w:sz w:val="20"/>
                <w:szCs w:val="18"/>
              </w:rPr>
            </w:pPr>
          </w:p>
          <w:p w14:paraId="7FCA7A04" w14:textId="77777777" w:rsidR="00A71216" w:rsidRPr="00084358" w:rsidRDefault="00A71216" w:rsidP="00C10964">
            <w:pPr>
              <w:pStyle w:val="StandardWeb"/>
              <w:numPr>
                <w:ilvl w:val="0"/>
                <w:numId w:val="16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084358">
              <w:rPr>
                <w:rFonts w:asciiTheme="minorHAnsi" w:hAnsiTheme="minorHAnsi" w:cstheme="minorHAnsi"/>
                <w:sz w:val="20"/>
                <w:szCs w:val="18"/>
              </w:rPr>
              <w:t>Other territorial questions topics</w:t>
            </w:r>
          </w:p>
          <w:p w14:paraId="15B7F89F" w14:textId="77777777" w:rsidR="0059435D" w:rsidRPr="00084358" w:rsidRDefault="0059435D" w:rsidP="00A71216">
            <w:pPr>
              <w:pStyle w:val="StandardWeb"/>
              <w:spacing w:before="0" w:beforeAutospacing="0" w:after="0" w:afterAutospacing="0"/>
              <w:ind w:left="1080"/>
              <w:rPr>
                <w:sz w:val="20"/>
                <w:lang w:val="en-GB"/>
              </w:rPr>
            </w:pPr>
          </w:p>
        </w:tc>
      </w:tr>
      <w:tr w:rsidR="007429E1" w:rsidRPr="007429E1" w14:paraId="7E9953F3" w14:textId="77777777" w:rsidTr="00A71216">
        <w:trPr>
          <w:trHeight w:val="56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C252ADD" w14:textId="77777777" w:rsidR="0059435D" w:rsidRPr="007429E1" w:rsidRDefault="003A59A1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TOPIC15</w:t>
            </w:r>
            <w:r w:rsidR="0059435D" w:rsidRPr="007429E1">
              <w:rPr>
                <w:b/>
                <w:bCs/>
                <w:sz w:val="20"/>
                <w:lang w:eastAsia="en-US"/>
              </w:rPr>
              <w:t xml:space="preserve"> Administration and bureaucracy (corruption)</w:t>
            </w:r>
          </w:p>
        </w:tc>
        <w:tc>
          <w:tcPr>
            <w:tcW w:w="80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8EA48F6" w14:textId="77777777" w:rsidR="0059435D" w:rsidRPr="007429E1" w:rsidRDefault="00C32843" w:rsidP="00C10964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rPr>
                <w:bCs/>
                <w:sz w:val="20"/>
                <w:lang w:eastAsia="en-US"/>
              </w:rPr>
            </w:pPr>
            <w:r w:rsidRPr="007429E1">
              <w:rPr>
                <w:bCs/>
                <w:sz w:val="20"/>
                <w:lang w:eastAsia="en-US"/>
              </w:rPr>
              <w:t>Executive and a</w:t>
            </w:r>
            <w:r w:rsidR="0059435D" w:rsidRPr="007429E1">
              <w:rPr>
                <w:bCs/>
                <w:sz w:val="20"/>
                <w:lang w:eastAsia="en-US"/>
              </w:rPr>
              <w:t>dministrative efficiency</w:t>
            </w:r>
          </w:p>
          <w:p w14:paraId="5EFDD5B0" w14:textId="77777777" w:rsidR="004921A2" w:rsidRPr="007429E1" w:rsidRDefault="004921A2" w:rsidP="00C10964">
            <w:pPr>
              <w:numPr>
                <w:ilvl w:val="0"/>
                <w:numId w:val="18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 political corruption, fraud, scandals EU-level politicians or institutions, including regulations and</w:t>
            </w:r>
            <w:r w:rsidR="00017664">
              <w:rPr>
                <w:sz w:val="20"/>
                <w:lang w:val="en-GB"/>
              </w:rPr>
              <w:t xml:space="preserve"> anti-corruption measures (not a</w:t>
            </w:r>
            <w:r w:rsidRPr="007429E1">
              <w:rPr>
                <w:sz w:val="20"/>
                <w:lang w:val="en-GB"/>
              </w:rPr>
              <w:t>buse of EU funds by member states)</w:t>
            </w:r>
          </w:p>
          <w:p w14:paraId="4AFBB65A" w14:textId="77777777" w:rsidR="004921A2" w:rsidRPr="007429E1" w:rsidRDefault="004921A2" w:rsidP="00C10964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rPr>
                <w:bCs/>
                <w:sz w:val="20"/>
                <w:lang w:val="en-GB" w:eastAsia="en-US"/>
              </w:rPr>
            </w:pPr>
            <w:r w:rsidRPr="007429E1">
              <w:rPr>
                <w:bCs/>
                <w:sz w:val="20"/>
                <w:lang w:val="en-GB" w:eastAsia="en-US"/>
              </w:rPr>
              <w:t xml:space="preserve">Political corruption non-EU: </w:t>
            </w:r>
            <w:r w:rsidR="00017664">
              <w:rPr>
                <w:bCs/>
                <w:sz w:val="20"/>
                <w:lang w:val="en-GB" w:eastAsia="en-US"/>
              </w:rPr>
              <w:t>F</w:t>
            </w:r>
            <w:r w:rsidRPr="007429E1">
              <w:rPr>
                <w:bCs/>
                <w:sz w:val="20"/>
                <w:lang w:val="en-GB" w:eastAsia="en-US"/>
              </w:rPr>
              <w:t xml:space="preserve">raud, scandals of non-EU (e.g. national, supranational) politicians or institutions, </w:t>
            </w:r>
            <w:r w:rsidRPr="007429E1">
              <w:rPr>
                <w:sz w:val="20"/>
                <w:lang w:val="en-GB"/>
              </w:rPr>
              <w:t>including regulations and anti-corruption measures</w:t>
            </w:r>
          </w:p>
          <w:p w14:paraId="358F6660" w14:textId="77777777" w:rsidR="00992DED" w:rsidRPr="007429E1" w:rsidRDefault="00992DED" w:rsidP="004921A2">
            <w:pPr>
              <w:spacing w:after="0" w:line="240" w:lineRule="auto"/>
              <w:ind w:left="1080"/>
              <w:rPr>
                <w:sz w:val="20"/>
                <w:lang w:val="en-GB"/>
              </w:rPr>
            </w:pPr>
          </w:p>
          <w:p w14:paraId="595735E2" w14:textId="77777777" w:rsidR="0059435D" w:rsidRPr="007429E1" w:rsidRDefault="0059435D" w:rsidP="00C10964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rPr>
                <w:bCs/>
                <w:sz w:val="20"/>
                <w:lang w:eastAsia="en-US"/>
              </w:rPr>
            </w:pPr>
            <w:r w:rsidRPr="007429E1">
              <w:rPr>
                <w:rFonts w:cs="Helvetica"/>
                <w:sz w:val="20"/>
                <w:szCs w:val="18"/>
              </w:rPr>
              <w:t>Other</w:t>
            </w:r>
            <w:r w:rsidR="00970EDF" w:rsidRPr="007429E1">
              <w:rPr>
                <w:rFonts w:cs="Helvetica"/>
                <w:sz w:val="20"/>
                <w:szCs w:val="18"/>
              </w:rPr>
              <w:t xml:space="preserve"> administration and bureaucracy topics</w:t>
            </w:r>
          </w:p>
          <w:p w14:paraId="01BB041C" w14:textId="77777777" w:rsidR="0059435D" w:rsidRPr="007429E1" w:rsidRDefault="0059435D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74E21104" w14:textId="77777777" w:rsidTr="00A71216">
        <w:trPr>
          <w:trHeight w:val="580"/>
        </w:trPr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B3690CE" w14:textId="77777777" w:rsidR="0059435D" w:rsidRPr="007429E1" w:rsidRDefault="003A59A1" w:rsidP="004921A2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r w:rsidRPr="007429E1">
              <w:rPr>
                <w:b/>
                <w:bCs/>
                <w:sz w:val="20"/>
                <w:lang w:eastAsia="en-US"/>
              </w:rPr>
              <w:t>TOPIC16</w:t>
            </w:r>
            <w:r w:rsidR="0059435D" w:rsidRPr="007429E1">
              <w:rPr>
                <w:b/>
                <w:bCs/>
                <w:sz w:val="20"/>
                <w:lang w:eastAsia="en-US"/>
              </w:rPr>
              <w:t xml:space="preserve"> Election</w:t>
            </w:r>
            <w:r w:rsidR="0059435D" w:rsidRPr="007429E1">
              <w:rPr>
                <w:b/>
                <w:bCs/>
                <w:i/>
                <w:iCs/>
                <w:sz w:val="20"/>
                <w:lang w:eastAsia="en-US"/>
              </w:rPr>
              <w:t>s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75E2599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European Elections: </w:t>
            </w:r>
            <w:r w:rsidR="00017664">
              <w:rPr>
                <w:sz w:val="20"/>
                <w:lang w:val="en-GB"/>
              </w:rPr>
              <w:t>C</w:t>
            </w:r>
            <w:r w:rsidRPr="007429E1">
              <w:rPr>
                <w:sz w:val="20"/>
                <w:lang w:val="en-GB"/>
              </w:rPr>
              <w:t>andidates, politicians, parties; their images and strategic positions, personality, candidate MEP’s personal character, background, leadership qualities</w:t>
            </w:r>
          </w:p>
          <w:p w14:paraId="51D53499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European Elections: Electioneering, campaigning (strategy, style, finance, fundraising, events, media appearances, endorsements, targeting of electoral groups, political marketing, publicity, advertising) </w:t>
            </w:r>
          </w:p>
          <w:p w14:paraId="7B4FBF80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Media coverage of the campaign</w:t>
            </w:r>
          </w:p>
          <w:p w14:paraId="3D727D3F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European elections: Voters, public opinion, polls, (anticipated) electoral success</w:t>
            </w:r>
          </w:p>
          <w:p w14:paraId="6C3BBB84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European Election: Voter turnout (e.g. expectations) </w:t>
            </w:r>
          </w:p>
          <w:p w14:paraId="4A95AACB" w14:textId="77777777" w:rsidR="0059435D" w:rsidRPr="007429E1" w:rsidRDefault="00017664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European Elections: L</w:t>
            </w:r>
            <w:r w:rsidR="0059435D" w:rsidRPr="007429E1">
              <w:rPr>
                <w:sz w:val="20"/>
                <w:lang w:val="en-GB"/>
              </w:rPr>
              <w:t>ist of party positions on issues (a “manifesto story“)</w:t>
            </w:r>
          </w:p>
          <w:p w14:paraId="6AC600B0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European Elections: Voting procedures (e.g. electronic voting machines, foreign votes</w:t>
            </w:r>
          </w:p>
          <w:p w14:paraId="49156310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European Elections: Election laws, rules, regulations</w:t>
            </w:r>
          </w:p>
          <w:p w14:paraId="548631DB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European Elections: (Formal, public) debates (as an event) between parties, politicians </w:t>
            </w:r>
          </w:p>
          <w:p w14:paraId="3B337E9E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Political consequences of EP election outcome (e.g. for national-level politicians, parties, power in the)</w:t>
            </w:r>
          </w:p>
          <w:p w14:paraId="418D47FE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rFonts w:cs="Helvetica"/>
                <w:sz w:val="20"/>
                <w:szCs w:val="18"/>
              </w:rPr>
              <w:t xml:space="preserve"> policy profile of national political parties (e.g. party manifesto on </w:t>
            </w: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rFonts w:cs="Helvetica"/>
                <w:sz w:val="20"/>
                <w:szCs w:val="18"/>
              </w:rPr>
              <w:t xml:space="preserve"> integration issues) (only in context of </w:t>
            </w:r>
            <w:r w:rsidRPr="007429E1">
              <w:rPr>
                <w:rStyle w:val="il"/>
                <w:rFonts w:cs="Helvetica"/>
                <w:sz w:val="20"/>
                <w:szCs w:val="18"/>
              </w:rPr>
              <w:t>EU</w:t>
            </w:r>
            <w:r w:rsidRPr="007429E1">
              <w:rPr>
                <w:rFonts w:cs="Helvetica"/>
                <w:sz w:val="20"/>
                <w:szCs w:val="18"/>
              </w:rPr>
              <w:t xml:space="preserve"> elections)</w:t>
            </w:r>
          </w:p>
          <w:p w14:paraId="640FB7E2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rFonts w:cs="Helvetica"/>
                <w:sz w:val="20"/>
                <w:szCs w:val="18"/>
              </w:rPr>
              <w:t>Political party groups/alliances in European Parliament (e.g. political party group profile, internal affairs, conflict, organization, internal elections)</w:t>
            </w:r>
          </w:p>
          <w:p w14:paraId="4A0E466C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Vote advice for European Elections</w:t>
            </w:r>
          </w:p>
          <w:p w14:paraId="20B0779A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Other EP election-related topics</w:t>
            </w:r>
          </w:p>
          <w:p w14:paraId="2CE904AC" w14:textId="77777777" w:rsidR="0059435D" w:rsidRPr="007429E1" w:rsidRDefault="0059435D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  <w:p w14:paraId="0264F708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Other National, regional, local elections in EU Countries</w:t>
            </w:r>
          </w:p>
          <w:p w14:paraId="76659863" w14:textId="77777777" w:rsidR="0059435D" w:rsidRPr="007429E1" w:rsidRDefault="0059435D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 xml:space="preserve">Other National elections in non-EU Countries </w:t>
            </w:r>
          </w:p>
          <w:p w14:paraId="32940DCC" w14:textId="77777777" w:rsidR="0059435D" w:rsidRPr="007429E1" w:rsidRDefault="0059435D" w:rsidP="00A949B5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</w:p>
        </w:tc>
      </w:tr>
      <w:tr w:rsidR="007429E1" w:rsidRPr="007429E1" w14:paraId="36737669" w14:textId="77777777" w:rsidTr="00A71216">
        <w:trPr>
          <w:trHeight w:val="580"/>
        </w:trPr>
        <w:tc>
          <w:tcPr>
            <w:tcW w:w="2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FB3B25A" w14:textId="77777777" w:rsidR="006D5E34" w:rsidRPr="007429E1" w:rsidRDefault="006D5E34" w:rsidP="004921A2">
            <w:pPr>
              <w:spacing w:after="0" w:line="240" w:lineRule="auto"/>
              <w:rPr>
                <w:b/>
                <w:bCs/>
                <w:sz w:val="20"/>
                <w:lang w:eastAsia="en-US"/>
              </w:rPr>
            </w:pPr>
            <w:bookmarkStart w:id="0" w:name="_GoBack"/>
            <w:bookmarkEnd w:id="0"/>
          </w:p>
        </w:tc>
        <w:tc>
          <w:tcPr>
            <w:tcW w:w="80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BCDEFC0" w14:textId="77777777" w:rsidR="006D5E34" w:rsidRPr="007429E1" w:rsidRDefault="006D5E34" w:rsidP="00C10964">
            <w:pPr>
              <w:numPr>
                <w:ilvl w:val="0"/>
                <w:numId w:val="20"/>
              </w:numPr>
              <w:spacing w:after="0" w:line="240" w:lineRule="auto"/>
              <w:rPr>
                <w:sz w:val="20"/>
                <w:lang w:val="en-GB"/>
              </w:rPr>
            </w:pPr>
            <w:r w:rsidRPr="007429E1">
              <w:rPr>
                <w:sz w:val="20"/>
                <w:lang w:val="en-GB"/>
              </w:rPr>
              <w:t>Other topics</w:t>
            </w:r>
          </w:p>
        </w:tc>
      </w:tr>
    </w:tbl>
    <w:p w14:paraId="069275EF" w14:textId="77777777" w:rsidR="0015666D" w:rsidRPr="007429E1" w:rsidRDefault="0015666D" w:rsidP="00C01687">
      <w:pPr>
        <w:spacing w:after="0" w:line="240" w:lineRule="auto"/>
        <w:rPr>
          <w:sz w:val="20"/>
        </w:rPr>
      </w:pPr>
    </w:p>
    <w:p w14:paraId="3BC318DB" w14:textId="77777777" w:rsidR="00EB69F6" w:rsidRPr="007429E1" w:rsidRDefault="00EB69F6" w:rsidP="00C01687">
      <w:pPr>
        <w:spacing w:after="0" w:line="240" w:lineRule="auto"/>
        <w:rPr>
          <w:sz w:val="20"/>
        </w:rPr>
      </w:pPr>
    </w:p>
    <w:p w14:paraId="469D6AE4" w14:textId="77777777" w:rsidR="00EB69F6" w:rsidRPr="007429E1" w:rsidRDefault="00EB69F6" w:rsidP="00C01687">
      <w:pPr>
        <w:spacing w:after="0" w:line="240" w:lineRule="auto"/>
        <w:rPr>
          <w:sz w:val="20"/>
        </w:rPr>
      </w:pPr>
    </w:p>
    <w:sectPr w:rsidR="00EB69F6" w:rsidRPr="007429E1" w:rsidSect="0070086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517"/>
    <w:multiLevelType w:val="hybridMultilevel"/>
    <w:tmpl w:val="38126690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6BA0"/>
    <w:multiLevelType w:val="hybridMultilevel"/>
    <w:tmpl w:val="1D0A7EA0"/>
    <w:lvl w:ilvl="0" w:tplc="38AC88A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A781E"/>
    <w:multiLevelType w:val="hybridMultilevel"/>
    <w:tmpl w:val="B7F48358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65E07"/>
    <w:multiLevelType w:val="hybridMultilevel"/>
    <w:tmpl w:val="F9A24F30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2344B"/>
    <w:multiLevelType w:val="hybridMultilevel"/>
    <w:tmpl w:val="CE58A968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71304"/>
    <w:multiLevelType w:val="hybridMultilevel"/>
    <w:tmpl w:val="6CF6B050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336FE"/>
    <w:multiLevelType w:val="multilevel"/>
    <w:tmpl w:val="38126690"/>
    <w:lvl w:ilvl="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A3E41"/>
    <w:multiLevelType w:val="multilevel"/>
    <w:tmpl w:val="8190D3A6"/>
    <w:lvl w:ilvl="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BD09D8"/>
    <w:multiLevelType w:val="hybridMultilevel"/>
    <w:tmpl w:val="B8D44DB0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70F44"/>
    <w:multiLevelType w:val="hybridMultilevel"/>
    <w:tmpl w:val="C3B4591E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348AB"/>
    <w:multiLevelType w:val="multilevel"/>
    <w:tmpl w:val="F5124560"/>
    <w:lvl w:ilvl="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232F4"/>
    <w:multiLevelType w:val="multilevel"/>
    <w:tmpl w:val="8B084E2C"/>
    <w:lvl w:ilvl="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321C5"/>
    <w:multiLevelType w:val="hybridMultilevel"/>
    <w:tmpl w:val="8B084E2C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F7181E"/>
    <w:multiLevelType w:val="hybridMultilevel"/>
    <w:tmpl w:val="F5124560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1B42EB"/>
    <w:multiLevelType w:val="multilevel"/>
    <w:tmpl w:val="0270F13C"/>
    <w:lvl w:ilvl="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04535"/>
    <w:multiLevelType w:val="hybridMultilevel"/>
    <w:tmpl w:val="7846ACB2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352F9"/>
    <w:multiLevelType w:val="multilevel"/>
    <w:tmpl w:val="0270F13C"/>
    <w:lvl w:ilvl="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271CC7"/>
    <w:multiLevelType w:val="hybridMultilevel"/>
    <w:tmpl w:val="71788558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44099"/>
    <w:multiLevelType w:val="hybridMultilevel"/>
    <w:tmpl w:val="0270F13C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24196"/>
    <w:multiLevelType w:val="hybridMultilevel"/>
    <w:tmpl w:val="725EF382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917FCE"/>
    <w:multiLevelType w:val="hybridMultilevel"/>
    <w:tmpl w:val="D080431C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515E27"/>
    <w:multiLevelType w:val="hybridMultilevel"/>
    <w:tmpl w:val="8190D3A6"/>
    <w:lvl w:ilvl="0" w:tplc="0206E4BC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18"/>
  </w:num>
  <w:num w:numId="11">
    <w:abstractNumId w:val="14"/>
  </w:num>
  <w:num w:numId="12">
    <w:abstractNumId w:val="15"/>
  </w:num>
  <w:num w:numId="13">
    <w:abstractNumId w:val="16"/>
  </w:num>
  <w:num w:numId="14">
    <w:abstractNumId w:val="12"/>
  </w:num>
  <w:num w:numId="15">
    <w:abstractNumId w:val="11"/>
  </w:num>
  <w:num w:numId="16">
    <w:abstractNumId w:val="21"/>
  </w:num>
  <w:num w:numId="17">
    <w:abstractNumId w:val="7"/>
  </w:num>
  <w:num w:numId="18">
    <w:abstractNumId w:val="0"/>
  </w:num>
  <w:num w:numId="19">
    <w:abstractNumId w:val="6"/>
  </w:num>
  <w:num w:numId="20">
    <w:abstractNumId w:val="17"/>
  </w:num>
  <w:num w:numId="21">
    <w:abstractNumId w:val="1"/>
  </w:num>
  <w:num w:numId="2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1B"/>
    <w:rsid w:val="00006294"/>
    <w:rsid w:val="00017664"/>
    <w:rsid w:val="00020B21"/>
    <w:rsid w:val="0002501D"/>
    <w:rsid w:val="000258C5"/>
    <w:rsid w:val="00026D35"/>
    <w:rsid w:val="00030E9F"/>
    <w:rsid w:val="00037457"/>
    <w:rsid w:val="000517F7"/>
    <w:rsid w:val="00054F48"/>
    <w:rsid w:val="0006109A"/>
    <w:rsid w:val="0007111B"/>
    <w:rsid w:val="000724BB"/>
    <w:rsid w:val="00077B1D"/>
    <w:rsid w:val="00084358"/>
    <w:rsid w:val="000A357C"/>
    <w:rsid w:val="000C148F"/>
    <w:rsid w:val="000C78E1"/>
    <w:rsid w:val="000F6452"/>
    <w:rsid w:val="000F7132"/>
    <w:rsid w:val="000F7EB3"/>
    <w:rsid w:val="00120DDF"/>
    <w:rsid w:val="001300F8"/>
    <w:rsid w:val="001356A6"/>
    <w:rsid w:val="00136B20"/>
    <w:rsid w:val="00137012"/>
    <w:rsid w:val="001445DA"/>
    <w:rsid w:val="00155D66"/>
    <w:rsid w:val="0015666D"/>
    <w:rsid w:val="00174537"/>
    <w:rsid w:val="00183E53"/>
    <w:rsid w:val="001973E7"/>
    <w:rsid w:val="001A1903"/>
    <w:rsid w:val="001E7091"/>
    <w:rsid w:val="001F4635"/>
    <w:rsid w:val="0021404C"/>
    <w:rsid w:val="002143F2"/>
    <w:rsid w:val="002248BC"/>
    <w:rsid w:val="00227C22"/>
    <w:rsid w:val="0023203B"/>
    <w:rsid w:val="002342B0"/>
    <w:rsid w:val="00235259"/>
    <w:rsid w:val="002471FE"/>
    <w:rsid w:val="00277A43"/>
    <w:rsid w:val="00286DDE"/>
    <w:rsid w:val="00287E97"/>
    <w:rsid w:val="0029471F"/>
    <w:rsid w:val="00295110"/>
    <w:rsid w:val="002A2099"/>
    <w:rsid w:val="002B338B"/>
    <w:rsid w:val="002C7D1B"/>
    <w:rsid w:val="002D723C"/>
    <w:rsid w:val="00306561"/>
    <w:rsid w:val="003118A2"/>
    <w:rsid w:val="003128DA"/>
    <w:rsid w:val="00313216"/>
    <w:rsid w:val="00346314"/>
    <w:rsid w:val="00365B3E"/>
    <w:rsid w:val="003A59A1"/>
    <w:rsid w:val="003A75E4"/>
    <w:rsid w:val="003D1B9E"/>
    <w:rsid w:val="003D7A73"/>
    <w:rsid w:val="003E0662"/>
    <w:rsid w:val="003F057C"/>
    <w:rsid w:val="004019CB"/>
    <w:rsid w:val="00414119"/>
    <w:rsid w:val="00423D41"/>
    <w:rsid w:val="00425B4C"/>
    <w:rsid w:val="004273E2"/>
    <w:rsid w:val="0043722B"/>
    <w:rsid w:val="004419A0"/>
    <w:rsid w:val="00443B9E"/>
    <w:rsid w:val="004540DA"/>
    <w:rsid w:val="004921A2"/>
    <w:rsid w:val="004932B8"/>
    <w:rsid w:val="004A6646"/>
    <w:rsid w:val="004B06FB"/>
    <w:rsid w:val="004B5376"/>
    <w:rsid w:val="004C4214"/>
    <w:rsid w:val="004C518D"/>
    <w:rsid w:val="004D63D3"/>
    <w:rsid w:val="004E27DA"/>
    <w:rsid w:val="004E3D22"/>
    <w:rsid w:val="004E5DCE"/>
    <w:rsid w:val="004E66F6"/>
    <w:rsid w:val="004F23C8"/>
    <w:rsid w:val="004F780E"/>
    <w:rsid w:val="005019D6"/>
    <w:rsid w:val="00501AA9"/>
    <w:rsid w:val="00503F45"/>
    <w:rsid w:val="00510D3C"/>
    <w:rsid w:val="00521735"/>
    <w:rsid w:val="005300CE"/>
    <w:rsid w:val="0054737D"/>
    <w:rsid w:val="00570120"/>
    <w:rsid w:val="00573BDE"/>
    <w:rsid w:val="0058330E"/>
    <w:rsid w:val="0059435D"/>
    <w:rsid w:val="005A51F8"/>
    <w:rsid w:val="005B50BC"/>
    <w:rsid w:val="005B7AEB"/>
    <w:rsid w:val="005C5E17"/>
    <w:rsid w:val="005C7311"/>
    <w:rsid w:val="005D5A21"/>
    <w:rsid w:val="005E36A2"/>
    <w:rsid w:val="005F0A79"/>
    <w:rsid w:val="005F4319"/>
    <w:rsid w:val="00603A95"/>
    <w:rsid w:val="00606B57"/>
    <w:rsid w:val="00611F41"/>
    <w:rsid w:val="00626AB4"/>
    <w:rsid w:val="00632E44"/>
    <w:rsid w:val="00646640"/>
    <w:rsid w:val="006714AA"/>
    <w:rsid w:val="0067746B"/>
    <w:rsid w:val="00683DCC"/>
    <w:rsid w:val="006D5E34"/>
    <w:rsid w:val="006F0C87"/>
    <w:rsid w:val="0070086A"/>
    <w:rsid w:val="00711FCB"/>
    <w:rsid w:val="00730305"/>
    <w:rsid w:val="00734A20"/>
    <w:rsid w:val="00736C69"/>
    <w:rsid w:val="00737A07"/>
    <w:rsid w:val="007405AB"/>
    <w:rsid w:val="007429E1"/>
    <w:rsid w:val="0075752B"/>
    <w:rsid w:val="00761720"/>
    <w:rsid w:val="007668EB"/>
    <w:rsid w:val="00774FDC"/>
    <w:rsid w:val="00782D6E"/>
    <w:rsid w:val="007B5735"/>
    <w:rsid w:val="0080033F"/>
    <w:rsid w:val="008006FD"/>
    <w:rsid w:val="00811176"/>
    <w:rsid w:val="0083303B"/>
    <w:rsid w:val="0085106B"/>
    <w:rsid w:val="00861CCA"/>
    <w:rsid w:val="0086347A"/>
    <w:rsid w:val="00881764"/>
    <w:rsid w:val="00882B9B"/>
    <w:rsid w:val="0088589D"/>
    <w:rsid w:val="00890620"/>
    <w:rsid w:val="00897943"/>
    <w:rsid w:val="008A7BB2"/>
    <w:rsid w:val="008B2DF7"/>
    <w:rsid w:val="008B5107"/>
    <w:rsid w:val="008C51F4"/>
    <w:rsid w:val="008D32A9"/>
    <w:rsid w:val="008E1A75"/>
    <w:rsid w:val="008E2D9C"/>
    <w:rsid w:val="008F4E7C"/>
    <w:rsid w:val="008F6B6C"/>
    <w:rsid w:val="008F7B6D"/>
    <w:rsid w:val="00902D29"/>
    <w:rsid w:val="00913BED"/>
    <w:rsid w:val="00924D5F"/>
    <w:rsid w:val="00945E43"/>
    <w:rsid w:val="00954220"/>
    <w:rsid w:val="00963F5A"/>
    <w:rsid w:val="00966148"/>
    <w:rsid w:val="00970EDF"/>
    <w:rsid w:val="0098022B"/>
    <w:rsid w:val="00992DED"/>
    <w:rsid w:val="009C60AA"/>
    <w:rsid w:val="00A268D1"/>
    <w:rsid w:val="00A3574B"/>
    <w:rsid w:val="00A429F7"/>
    <w:rsid w:val="00A42BCF"/>
    <w:rsid w:val="00A458CD"/>
    <w:rsid w:val="00A55EB9"/>
    <w:rsid w:val="00A5747A"/>
    <w:rsid w:val="00A62B40"/>
    <w:rsid w:val="00A648DF"/>
    <w:rsid w:val="00A71216"/>
    <w:rsid w:val="00A713A2"/>
    <w:rsid w:val="00A74265"/>
    <w:rsid w:val="00A75261"/>
    <w:rsid w:val="00A86BCD"/>
    <w:rsid w:val="00A949B5"/>
    <w:rsid w:val="00AA20FA"/>
    <w:rsid w:val="00AA5597"/>
    <w:rsid w:val="00AB7180"/>
    <w:rsid w:val="00AD73AE"/>
    <w:rsid w:val="00AE6016"/>
    <w:rsid w:val="00AF14E8"/>
    <w:rsid w:val="00AF4048"/>
    <w:rsid w:val="00AF492E"/>
    <w:rsid w:val="00B12538"/>
    <w:rsid w:val="00B2189D"/>
    <w:rsid w:val="00B2469A"/>
    <w:rsid w:val="00B25936"/>
    <w:rsid w:val="00B30DB4"/>
    <w:rsid w:val="00B6370C"/>
    <w:rsid w:val="00B74D3F"/>
    <w:rsid w:val="00B82EC5"/>
    <w:rsid w:val="00B83B5E"/>
    <w:rsid w:val="00B8438D"/>
    <w:rsid w:val="00B93871"/>
    <w:rsid w:val="00BA43DF"/>
    <w:rsid w:val="00BA4BA7"/>
    <w:rsid w:val="00BB2D27"/>
    <w:rsid w:val="00BC33BF"/>
    <w:rsid w:val="00BC62DC"/>
    <w:rsid w:val="00BD18FB"/>
    <w:rsid w:val="00BE3AFF"/>
    <w:rsid w:val="00BF2F6D"/>
    <w:rsid w:val="00BF43DB"/>
    <w:rsid w:val="00BF57F0"/>
    <w:rsid w:val="00C01687"/>
    <w:rsid w:val="00C10964"/>
    <w:rsid w:val="00C21F29"/>
    <w:rsid w:val="00C32843"/>
    <w:rsid w:val="00CA1AB5"/>
    <w:rsid w:val="00CB58A4"/>
    <w:rsid w:val="00CB5C19"/>
    <w:rsid w:val="00CC181B"/>
    <w:rsid w:val="00CC535F"/>
    <w:rsid w:val="00CC7468"/>
    <w:rsid w:val="00CD0F7C"/>
    <w:rsid w:val="00CD22A0"/>
    <w:rsid w:val="00CE3697"/>
    <w:rsid w:val="00D03245"/>
    <w:rsid w:val="00D05BB5"/>
    <w:rsid w:val="00D2437F"/>
    <w:rsid w:val="00D3628E"/>
    <w:rsid w:val="00D37348"/>
    <w:rsid w:val="00D56410"/>
    <w:rsid w:val="00D738FE"/>
    <w:rsid w:val="00D76DA7"/>
    <w:rsid w:val="00D77EBB"/>
    <w:rsid w:val="00D8491F"/>
    <w:rsid w:val="00D87BA7"/>
    <w:rsid w:val="00DA74A3"/>
    <w:rsid w:val="00DB720F"/>
    <w:rsid w:val="00DD3534"/>
    <w:rsid w:val="00DD6B7D"/>
    <w:rsid w:val="00DE20CA"/>
    <w:rsid w:val="00DE282F"/>
    <w:rsid w:val="00DF516F"/>
    <w:rsid w:val="00E150C2"/>
    <w:rsid w:val="00E3012E"/>
    <w:rsid w:val="00E40DC5"/>
    <w:rsid w:val="00E45FB9"/>
    <w:rsid w:val="00E61E87"/>
    <w:rsid w:val="00E77738"/>
    <w:rsid w:val="00E8125D"/>
    <w:rsid w:val="00E86616"/>
    <w:rsid w:val="00EB69F6"/>
    <w:rsid w:val="00EC66DF"/>
    <w:rsid w:val="00ED6FA6"/>
    <w:rsid w:val="00EE5B7D"/>
    <w:rsid w:val="00EF7FFA"/>
    <w:rsid w:val="00F06CDE"/>
    <w:rsid w:val="00F30555"/>
    <w:rsid w:val="00F32D1E"/>
    <w:rsid w:val="00F41FF6"/>
    <w:rsid w:val="00F45607"/>
    <w:rsid w:val="00F61943"/>
    <w:rsid w:val="00FA4F67"/>
    <w:rsid w:val="00FB697E"/>
    <w:rsid w:val="00FB73D2"/>
    <w:rsid w:val="00FD346A"/>
    <w:rsid w:val="00FE7EAF"/>
    <w:rsid w:val="00FF6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654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C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Absatzstandardschriftart"/>
    <w:rsid w:val="00CC181B"/>
  </w:style>
  <w:style w:type="paragraph" w:styleId="Textkrper">
    <w:name w:val="Body Text"/>
    <w:basedOn w:val="Standard"/>
    <w:link w:val="TextkrperZeichen"/>
    <w:semiHidden/>
    <w:rsid w:val="00C21F29"/>
    <w:pPr>
      <w:tabs>
        <w:tab w:val="left" w:pos="3402"/>
      </w:tabs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character" w:customStyle="1" w:styleId="TextkrperZeichen">
    <w:name w:val="Textkörper Zeichen"/>
    <w:basedOn w:val="Absatzstandardschriftart"/>
    <w:link w:val="Textkrper"/>
    <w:semiHidden/>
    <w:rsid w:val="00C21F29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D6F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D6FA6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570120"/>
    <w:pPr>
      <w:ind w:left="720"/>
      <w:contextualSpacing/>
    </w:pPr>
  </w:style>
  <w:style w:type="character" w:styleId="Kommentarzeichen">
    <w:name w:val="annotation reference"/>
    <w:basedOn w:val="Absatzstandardschriftart"/>
    <w:rsid w:val="00EE5B7D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E5B7D"/>
    <w:pPr>
      <w:spacing w:line="240" w:lineRule="auto"/>
    </w:pPr>
    <w:rPr>
      <w:sz w:val="24"/>
      <w:szCs w:val="24"/>
    </w:rPr>
  </w:style>
  <w:style w:type="character" w:customStyle="1" w:styleId="KommentartextZeichen">
    <w:name w:val="Kommentartext Zeichen"/>
    <w:basedOn w:val="Absatzstandardschriftart"/>
    <w:link w:val="Kommentartext"/>
    <w:rsid w:val="00EE5B7D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rsid w:val="00EE5B7D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EE5B7D"/>
    <w:rPr>
      <w:b/>
      <w:bCs/>
      <w:sz w:val="20"/>
      <w:szCs w:val="20"/>
    </w:rPr>
  </w:style>
  <w:style w:type="paragraph" w:styleId="Bearbeitung">
    <w:name w:val="Revision"/>
    <w:hidden/>
    <w:rsid w:val="008906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 (Web)" w:uiPriority="99"/>
    <w:lsdException w:name="List Paragraph" w:uiPriority="34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C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Absatzstandardschriftart"/>
    <w:rsid w:val="00CC181B"/>
  </w:style>
  <w:style w:type="paragraph" w:styleId="Textkrper">
    <w:name w:val="Body Text"/>
    <w:basedOn w:val="Standard"/>
    <w:link w:val="TextkrperZeichen"/>
    <w:semiHidden/>
    <w:rsid w:val="00C21F29"/>
    <w:pPr>
      <w:tabs>
        <w:tab w:val="left" w:pos="3402"/>
      </w:tabs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character" w:customStyle="1" w:styleId="TextkrperZeichen">
    <w:name w:val="Textkörper Zeichen"/>
    <w:basedOn w:val="Absatzstandardschriftart"/>
    <w:link w:val="Textkrper"/>
    <w:semiHidden/>
    <w:rsid w:val="00C21F29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D6F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D6FA6"/>
    <w:rPr>
      <w:rFonts w:ascii="Lucida Grande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570120"/>
    <w:pPr>
      <w:ind w:left="720"/>
      <w:contextualSpacing/>
    </w:pPr>
  </w:style>
  <w:style w:type="character" w:styleId="Kommentarzeichen">
    <w:name w:val="annotation reference"/>
    <w:basedOn w:val="Absatzstandardschriftart"/>
    <w:rsid w:val="00EE5B7D"/>
    <w:rPr>
      <w:sz w:val="18"/>
      <w:szCs w:val="18"/>
    </w:rPr>
  </w:style>
  <w:style w:type="paragraph" w:styleId="Kommentartext">
    <w:name w:val="annotation text"/>
    <w:basedOn w:val="Standard"/>
    <w:link w:val="KommentartextZeichen"/>
    <w:rsid w:val="00EE5B7D"/>
    <w:pPr>
      <w:spacing w:line="240" w:lineRule="auto"/>
    </w:pPr>
    <w:rPr>
      <w:sz w:val="24"/>
      <w:szCs w:val="24"/>
    </w:rPr>
  </w:style>
  <w:style w:type="character" w:customStyle="1" w:styleId="KommentartextZeichen">
    <w:name w:val="Kommentartext Zeichen"/>
    <w:basedOn w:val="Absatzstandardschriftart"/>
    <w:link w:val="Kommentartext"/>
    <w:rsid w:val="00EE5B7D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eichen"/>
    <w:rsid w:val="00EE5B7D"/>
    <w:rPr>
      <w:b/>
      <w:bCs/>
      <w:sz w:val="20"/>
      <w:szCs w:val="20"/>
    </w:rPr>
  </w:style>
  <w:style w:type="character" w:customStyle="1" w:styleId="KommentarthemaZeichen">
    <w:name w:val="Kommentarthema Zeichen"/>
    <w:basedOn w:val="KommentartextZeichen"/>
    <w:link w:val="Kommentarthema"/>
    <w:rsid w:val="00EE5B7D"/>
    <w:rPr>
      <w:b/>
      <w:bCs/>
      <w:sz w:val="20"/>
      <w:szCs w:val="20"/>
    </w:rPr>
  </w:style>
  <w:style w:type="paragraph" w:styleId="Bearbeitung">
    <w:name w:val="Revision"/>
    <w:hidden/>
    <w:rsid w:val="00890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BA9F-1D67-F144-8374-C5B481B2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8634</Characters>
  <Application>Microsoft Macintosh Word</Application>
  <DocSecurity>0</DocSecurity>
  <Lines>71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Universiteit van Amsterdam</Company>
  <LinksUpToDate>false</LinksUpToDate>
  <CharactersWithSpaces>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Möller, Judith</dc:creator>
  <cp:lastModifiedBy>Beatrice Eugster</cp:lastModifiedBy>
  <cp:revision>4</cp:revision>
  <cp:lastPrinted>2014-03-24T09:25:00Z</cp:lastPrinted>
  <dcterms:created xsi:type="dcterms:W3CDTF">2014-04-17T11:41:00Z</dcterms:created>
  <dcterms:modified xsi:type="dcterms:W3CDTF">2014-04-17T14:26:00Z</dcterms:modified>
</cp:coreProperties>
</file>