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QTKĐ 9.012 : 2026</w:t>
      </w:r>
    </w:p>
    <w:p>
      <w:r>
        <w:t xml:space="preserve">PHƯƠNG TIỆN ĐO ĐỘ ẨM HẠT NÔNG SẢN</w:t>
      </w:r>
    </w:p>
    <w:p>
      <w:r>
        <w:t xml:space="preserve">QUY TRÌNH KIỂM ĐỊNH</w:t>
      </w:r>
    </w:p>
    <w:p>
      <w:r>
        <w:t xml:space="preserve">(Ban hành kèm theo Quyết định số ..... ngày ..... tháng ..... năm 2026 của Cục trưởng Cục Tiêu chuẩn - Đo lường - Chất lượng)</w:t>
      </w:r>
    </w:p>
    <w:p>
      <w:r>
        <w:t xml:space="preserve">HÀ NỘI - 2026</w:t>
      </w:r>
    </w:p>
    <w:p>
      <w:r>
        <w:t xml:space="preserve">Phương tiện đo độ ẩm hạt nông sản</w:t>
      </w:r>
    </w:p>
    <w:p>
      <w:r>
        <w:t xml:space="preserve">Quy trình kiểm định</w:t>
      </w:r>
    </w:p>
    <w:p>
      <w:pPr>
        <w:pStyle w:val="heading1"/>
      </w:pPr>
      <w:r>
        <w:t xml:space="preserve">1) Phạm vi áp dụng</w:t>
      </w:r>
    </w:p>
    <w:p>
      <w:r>
        <w:t xml:space="preserve">Phạm vi đo của máy đo độ ẩm hạt kiểm định theo quy trình này từ 5 % đến 40 %, áp dụng cho kiểm định ban đầu, định kỳ và sau sửa chữa.</w:t>
      </w:r>
    </w:p>
    <w:p>
      <w:pPr>
        <w:pStyle w:val="heading1"/>
      </w:pPr>
      <w:r>
        <w:t xml:space="preserve">2) Tài liệu viện dẫn</w:t>
      </w:r>
    </w:p>
    <w:p>
      <w:r>
        <w:t xml:space="preserve">Các tài liệu sau được viện dẫn để áp dụng trong quy trình này:</w:t>
      </w:r>
    </w:p>
    <w:p>
      <w:r>
        <w:t xml:space="preserve">- Phương tiện đo độ ẩm hạt nông sản - chưa xác minh số hiệu ĐLVN;</w:t>
      </w:r>
    </w:p>
    <w:p>
      <w:r>
        <w:t xml:space="preserve">- Thông tư 23/2013/TT-BKHCN, mục 42;</w:t>
      </w:r>
    </w:p>
    <w:p>
      <w:pPr>
        <w:pStyle w:val="heading1"/>
      </w:pPr>
      <w:r>
        <w:t xml:space="preserve">3) Thuật ngữ và định nghĩa</w:t>
      </w:r>
    </w:p>
    <w:p>
      <w:r>
        <w:t xml:space="preserve">Các thuật ngữ, định nghĩa trong quy trình này được hiểu như sau:</w:t>
      </w:r>
    </w:p>
    <w:p>
      <w:r>
        <w:t xml:space="preserve">Độ ẩm hạt tuyệt đối (Grain moisture content): là tỷ lệ phần trăm khối lượng nước chứa trong hạt so với khối lượng hạt ướt.</w:t>
      </w:r>
    </w:p>
    <w:p>
      <w:r>
        <w:t xml:space="preserve">Phương pháp sấy khô chuẩn (Standard oven-drying method): là phương pháp xác định độ ẩm hạt bằng cách sấy mẫu đến khối lượng không đổi.</w:t>
      </w:r>
    </w:p>
    <w:p>
      <w:r>
        <w:t xml:space="preserve">CHÚ THÍCH: Phương pháp sấy khô chuẩn dùng làm chuẩn đối chiếu.</w:t>
      </w:r>
    </w:p>
    <w:p>
      <w:pPr>
        <w:pStyle w:val="heading1"/>
      </w:pPr>
      <w:r>
        <w:t xml:space="preserve">4) Các phép kiểm định</w:t>
      </w:r>
    </w:p>
    <w:p>
      <w:r>
        <w:t xml:space="preserve">Thực hiện các phép kiểm định được quy định trong Bảng 1.</w:t>
      </w:r>
    </w:p>
    <w:p>
      <w:r>
        <w:t xml:space="preserve">Bảng 1 - Các phép kiểm định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gridCol w:w="1200"/>
        <w:gridCol w:w="1200"/>
      </w:tblGrid>
      <w:tr>
        <w:tc>
          <w:p>
            <w:r>
              <w:t xml:space="preserve">TT</w:t>
            </w:r>
          </w:p>
        </w:tc>
        <w:tc>
          <w:p>
            <w:r>
              <w:t xml:space="preserve">Tên phép kiểm định</w:t>
            </w:r>
          </w:p>
        </w:tc>
        <w:tc>
          <w:p>
            <w:r>
              <w:t xml:space="preserve">Theo điều (mục) của QTKĐ</w:t>
            </w:r>
          </w:p>
        </w:tc>
        <w:tc>
          <w:tcPr>
            <w:gridSpan w:val="3"/>
          </w:tcPr>
          <w:p>
            <w:r>
              <w:t xml:space="preserve">Chế độ kiểm định</w:t>
            </w:r>
          </w:p>
        </w:tc>
      </w:tr>
      <w:tr>
        <w:tc>
          <w:p>
            <w:r>
              <w:t xml:space="preserve"/>
            </w:r>
          </w:p>
        </w:tc>
        <w:tc>
          <w:p>
            <w:r>
              <w:t xml:space="preserve"/>
            </w:r>
          </w:p>
        </w:tc>
        <w:tc>
          <w:p>
            <w:r>
              <w:t xml:space="preserve"/>
            </w:r>
          </w:p>
        </w:tc>
        <w:tc>
          <w:p>
            <w:r>
              <w:t xml:space="preserve">Ban đầu</w:t>
            </w:r>
          </w:p>
        </w:tc>
        <w:tc>
          <w:p>
            <w:r>
              <w:t xml:space="preserve">Định kỳ</w:t>
            </w:r>
          </w:p>
        </w:tc>
        <w:tc>
          <w:p>
            <w:r>
              <w:t xml:space="preserve">Sau sửa chữa</w:t>
            </w:r>
          </w:p>
        </w:tc>
      </w:tr>
      <w:tr>
        <w:tc>
          <w:p>
            <w:r>
              <w:t xml:space="preserve">1</w:t>
            </w:r>
          </w:p>
        </w:tc>
        <w:tc>
          <w:p>
            <w:r>
              <w:t xml:space="preserve">Kiểm tra bên ngoài</w:t>
            </w:r>
          </w:p>
        </w:tc>
        <w:tc>
          <w:p>
            <w:r>
              <w:t xml:space="preserve">7.1</w:t>
            </w:r>
          </w:p>
        </w:tc>
        <w:tc>
          <w:p>
            <w:r>
              <w:t xml:space="preserve">+</w:t>
            </w:r>
          </w:p>
        </w:tc>
        <w:tc>
          <w:p>
            <w:r>
              <w:t xml:space="preserve">+</w:t>
            </w:r>
          </w:p>
        </w:tc>
        <w:tc>
          <w:p>
            <w:r>
              <w:t xml:space="preserve">+</w:t>
            </w:r>
          </w:p>
        </w:tc>
      </w:tr>
      <w:tr>
        <w:tc>
          <w:p>
            <w:r>
              <w:t xml:space="preserve">2</w:t>
            </w:r>
          </w:p>
        </w:tc>
        <w:tc>
          <w:p>
            <w:r>
              <w:t xml:space="preserve">Kiểm tra kỹ thuật</w:t>
            </w:r>
          </w:p>
        </w:tc>
        <w:tc>
          <w:p>
            <w:r>
              <w:t xml:space="preserve">7.2</w:t>
            </w:r>
          </w:p>
        </w:tc>
        <w:tc>
          <w:p>
            <w:r>
              <w:t xml:space="preserve">+</w:t>
            </w:r>
          </w:p>
        </w:tc>
        <w:tc>
          <w:p>
            <w:r>
              <w:t xml:space="preserve">+</w:t>
            </w:r>
          </w:p>
        </w:tc>
        <w:tc>
          <w:p>
            <w:r>
              <w:t xml:space="preserve">+</w:t>
            </w:r>
          </w:p>
        </w:tc>
      </w:tr>
      <w:tr>
        <w:tc>
          <w:p>
            <w:r>
              <w:t xml:space="preserve">3</w:t>
            </w:r>
          </w:p>
        </w:tc>
        <w:tc>
          <w:p>
            <w:r>
              <w:t xml:space="preserve">So sánh với mẫu chuẩn tại các mức ẩm khác nhau</w:t>
            </w:r>
          </w:p>
        </w:tc>
        <w:tc>
          <w:p>
            <w:r>
              <w:t xml:space="preserve">7.3</w:t>
            </w:r>
          </w:p>
        </w:tc>
        <w:tc>
          <w:p>
            <w:r>
              <w:t xml:space="preserve">+</w:t>
            </w:r>
          </w:p>
        </w:tc>
        <w:tc>
          <w:p>
            <w:r>
              <w:t xml:space="preserve">+</w:t>
            </w:r>
          </w:p>
        </w:tc>
        <w:tc>
          <w:p>
            <w:r>
              <w:t xml:space="preserve">+</w:t>
            </w:r>
          </w:p>
        </w:tc>
      </w:tr>
    </w:tbl>
    <w:p>
      <w:pPr>
        <w:pStyle w:val="heading1"/>
      </w:pPr>
      <w:r>
        <w:t xml:space="preserve">5) Phương tiện kiểm định</w:t>
      </w:r>
    </w:p>
    <w:p>
      <w:r>
        <w:t xml:space="preserve">Khi tiến hành kiểm định phải sử dụng các phương tiện được quy định trong Bảng 2.</w:t>
      </w:r>
    </w:p>
    <w:p>
      <w:r>
        <w:t xml:space="preserve">Bảng 2 - Danh mục phương tiện kiểm định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tblGrid>
      <w:tr>
        <w:tc>
          <w:p>
            <w:r>
              <w:t xml:space="preserve">TT</w:t>
            </w:r>
          </w:p>
        </w:tc>
        <w:tc>
          <w:p>
            <w:r>
              <w:t xml:space="preserve">Tên phương tiện kiểm định</w:t>
            </w:r>
          </w:p>
        </w:tc>
        <w:tc>
          <w:tcPr>
            <w:gridSpan w:val="2"/>
          </w:tcPr>
          <w:p>
            <w:r>
              <w:t xml:space="preserve">Đặc trưng kỹ thuật đo lường</w:t>
            </w:r>
          </w:p>
        </w:tc>
      </w:tr>
      <w:tr>
        <w:tc>
          <w:p>
            <w:r>
              <w:t xml:space="preserve"/>
            </w:r>
          </w:p>
        </w:tc>
        <w:tc>
          <w:p>
            <w:r>
              <w:t xml:space="preserve"/>
            </w:r>
          </w:p>
        </w:tc>
        <w:tc>
          <w:p>
            <w:r>
              <w:t xml:space="preserve">Phạm vi đo</w:t>
            </w:r>
          </w:p>
        </w:tc>
        <w:tc>
          <w:p>
            <w:r>
              <w:t xml:space="preserve">Cấp chính xác hoặc độ chính xác hoặc sai số hoặc độ không đảm bảo đo</w:t>
            </w:r>
          </w:p>
        </w:tc>
      </w:tr>
      <w:tr>
        <w:tc>
          <w:p>
            <w:r>
              <w:t xml:space="preserve">1</w:t>
            </w:r>
          </w:p>
        </w:tc>
        <w:tc>
          <w:p>
            <w:r>
              <w:t xml:space="preserve">Mẫu hạt chuẩn</w:t>
            </w:r>
          </w:p>
        </w:tc>
        <w:tc>
          <w:p>
            <w:r>
              <w:t xml:space="preserve">(5 ÷ 40) %</w:t>
            </w:r>
          </w:p>
        </w:tc>
        <w:tc>
          <w:p>
            <w:r>
              <w:t xml:space="preserve">± 0,1 %</w:t>
            </w:r>
          </w:p>
        </w:tc>
      </w:tr>
      <w:tr>
        <w:tc>
          <w:p>
            <w:r>
              <w:t xml:space="preserve">2</w:t>
            </w:r>
          </w:p>
        </w:tc>
        <w:tc>
          <w:p>
            <w:r>
              <w:t xml:space="preserve">Cân phân tích</w:t>
            </w:r>
          </w:p>
        </w:tc>
        <w:tc>
          <w:p>
            <w:r>
              <w:t xml:space="preserve">(0 ÷ 200) g</w:t>
            </w:r>
          </w:p>
        </w:tc>
        <w:tc>
          <w:p>
            <w:r>
              <w:t xml:space="preserve">± 0,1 mg</w:t>
            </w:r>
          </w:p>
        </w:tc>
      </w:tr>
      <w:tr>
        <w:tc>
          <w:p>
            <w:r>
              <w:t xml:space="preserve">3</w:t>
            </w:r>
          </w:p>
        </w:tc>
        <w:tc>
          <w:p>
            <w:r>
              <w:t xml:space="preserve">Tủ sấy chuẩn</w:t>
            </w:r>
          </w:p>
        </w:tc>
        <w:tc>
          <w:p>
            <w:r>
              <w:t xml:space="preserve">(50 ÷ 150) °C</w:t>
            </w:r>
          </w:p>
        </w:tc>
        <w:tc>
          <w:p>
            <w:r>
              <w:t xml:space="preserve">± 1 °C</w:t>
            </w:r>
          </w:p>
        </w:tc>
      </w:tr>
    </w:tbl>
    <w:p>
      <w:pPr>
        <w:pStyle w:val="heading1"/>
      </w:pPr>
      <w:r>
        <w:t xml:space="preserve">6) Điều kiện và chuẩn bị kiểm định</w:t>
      </w:r>
    </w:p>
    <w:p>
      <w:pPr>
        <w:pStyle w:val="heading2"/>
      </w:pPr>
      <w:r>
        <w:t xml:space="preserve">6.1) Điều kiện kiểm định</w:t>
      </w:r>
    </w:p>
    <w:p>
      <w:r>
        <w:t xml:space="preserve">Phải tiến hành kiểm định trong các điều kiện sau:</w:t>
      </w:r>
    </w:p>
    <w:p>
      <w:r>
        <w:t xml:space="preserve">- Nhiệt độ môi trường: ≤ 35 oC;</w:t>
      </w:r>
    </w:p>
    <w:p>
      <w:r>
        <w:t xml:space="preserve">- Độ ẩm tương đối: ≤ 85 %;</w:t>
      </w:r>
    </w:p>
    <w:p>
      <w:r>
        <w:t xml:space="preserve">- Áp suất khí quyển: không lớn hơn 106 kPa;</w:t>
      </w:r>
    </w:p>
    <w:p>
      <w:pPr>
        <w:pStyle w:val="heading2"/>
      </w:pPr>
      <w:r>
        <w:t xml:space="preserve">6.2) Chuẩn bị kiểm định</w:t>
      </w:r>
    </w:p>
    <w:p>
      <w:r>
        <w:t xml:space="preserve">Trước khi tiến hành kiểm định phải để phương tiện đo và chuẩn đo lường trong phòng thí nghiệm đến khi đạt điều kiện quy định tại điều 6.1, sau đó lắp đặt theo sơ đồ kết nối chuẩn.</w:t>
      </w:r>
    </w:p>
    <w:p>
      <w:pPr>
        <w:pStyle w:val="heading1"/>
      </w:pPr>
      <w:r>
        <w:t xml:space="preserve">7) Tiến hành kiểm định</w:t>
      </w:r>
    </w:p>
    <w:p>
      <w:r>
        <w:t xml:space="preserve">Trong quá trình kiểm định, nếu một nội dung kiểm tra không đạt yêu cầu thì kết luận không đạt và không tiến hành các bước tiếp theo.</w:t>
      </w:r>
    </w:p>
    <w:p>
      <w:pPr>
        <w:pStyle w:val="heading2"/>
      </w:pPr>
      <w:r>
        <w:t xml:space="preserve">7.1) Kiểm tra bên ngoài</w:t>
      </w:r>
    </w:p>
    <w:p>
      <w:r>
        <w:t xml:space="preserve">Kiểm tra bên ngoài máy đo độ ẩm hạt theo yêu cầu về tình trạng nguyên vẹn, nhãn mác.</w:t>
      </w:r>
    </w:p>
    <w:p>
      <w:pPr>
        <w:pStyle w:val="heading2"/>
      </w:pPr>
      <w:r>
        <w:t xml:space="preserve">7.2) Kiểm tra kỹ thuật</w:t>
      </w:r>
    </w:p>
    <w:p>
      <w:r>
        <w:t xml:space="preserve">Kiểm tra khả năng làm việc bình thường của máy đo độ ẩm hạt.</w:t>
      </w:r>
    </w:p>
    <w:p>
      <w:pPr>
        <w:pStyle w:val="heading2"/>
      </w:pPr>
      <w:r>
        <w:t xml:space="preserve">7.3) Kiểm tra đo lường</w:t>
      </w:r>
    </w:p>
    <w:p>
      <w:r>
        <w:t xml:space="preserve">Máy đo độ ẩm hạt được kiểm tra đo lường theo trình tự và yêu cầu sau:</w:t>
      </w:r>
    </w:p>
    <w:p>
      <w:r>
        <w:t xml:space="preserve">Sai số cho phép bằng ± 3 % giá trị đo nhưng không nhỏ hơn ± 0,3 điểm % ẩm tuyệt đối.</w:t>
      </w:r>
    </w:p>
    <w:p>
      <w:pPr>
        <w:pStyle w:val="heading1"/>
      </w:pPr>
      <w:r>
        <w:t xml:space="preserve">8) Xử lý chung</w:t>
      </w:r>
    </w:p>
    <w:p>
      <w:r>
        <w:t xml:space="preserve">Nếu sau khi kiểm định máy đo độ ẩm hạt đạt các yêu cầu kỹ thuật trong phần Tiến hành kiểm định thì cấp Giấy chứng nhận kiểm định và dán Tem kiểm định.</w:t>
      </w:r>
    </w:p>
    <w:p>
      <w:r>
        <w:t xml:space="preserve">Chu kỳ kiểm định của máy đo độ ẩm hạt là 12 tháng.</w:t>
      </w:r>
    </w:p>
    <w:p>
      <w:r>
        <w:t xml:space="preserve">Nếu máy đo độ ẩm hạt không đạt một trong các yêu cầu kỹ thuật thì cấp Biên bản kiểm định và xóa bỏ Tem kiểm định cũ (nếu có).</w:t>
      </w:r>
    </w:p>
    <w:p>
      <w:pPr>
        <w:pStyle w:val="heading1"/>
      </w:pPr>
      <w:r>
        <w:t xml:space="preserve">Phụ lục A</w:t>
      </w:r>
    </w:p>
    <w:p>
      <w:r>
        <w:t xml:space="preserve">(Quy định)</w:t>
      </w:r>
    </w:p>
    <w:p>
      <w:r>
        <w:t xml:space="preserve">MẪU BIÊN BẢN KIỂM ĐỊNH</w:t>
      </w:r>
    </w:p>
    <w:p>
      <w:r>
        <w:t xml:space="preserve">BIÊN BẢN KIỂM ĐỊNH PHƯƠNG TIỆN ĐO ĐỘ ẨM HẠT NÔNG SẢN</w:t>
      </w:r>
    </w:p>
    <w:p>
      <w:r>
        <w:t xml:space="preserve">Tên phương tiện đo: Máy đo độ ẩm hạt</w:t>
      </w:r>
    </w:p>
    <w:p>
      <w:r>
        <w:t xml:space="preserve">Ký hiệu:</w:t>
      </w:r>
    </w:p>
    <w:p>
      <w:r>
        <w:t xml:space="preserve">Số hiệu:</w:t>
      </w:r>
    </w:p>
    <w:p>
      <w:r>
        <w:t xml:space="preserve">Nơi (hãng) sản xuất:</w:t>
      </w:r>
    </w:p>
    <w:p>
      <w:r>
        <w:t xml:space="preserve">Loại hạt thử:</w:t>
      </w:r>
    </w:p>
    <w:p>
      <w:r>
        <w:t xml:space="preserve">Đơn vị sử dụng:</w:t>
      </w:r>
    </w:p>
    <w:p>
      <w:r>
        <w:t xml:space="preserve">Nhiệt độ:</w:t>
      </w:r>
    </w:p>
    <w:p>
      <w:r>
        <w:t xml:space="preserve">Độ ẩm:</w:t>
      </w:r>
    </w:p>
    <w:p>
      <w:r>
        <w:t xml:space="preserve">Chế độ kiểm định:</w:t>
      </w:r>
    </w:p>
    <w:p>
      <w:r>
        <w:t xml:space="preserve">Phương pháp kiểm định: QTKĐ 9.012 : 2026</w:t>
      </w:r>
    </w:p>
    <w:p>
      <w:r>
        <w:t xml:space="preserve">Ngày kiểm định:</w:t>
      </w:r>
    </w:p>
    <w:p>
      <w:r>
        <w:t xml:space="preserve">Người kiểm định:</w:t>
      </w:r>
    </w:p>
    <w:p>
      <w:r>
        <w:t xml:space="preserve">Người soát lại:</w:t>
      </w:r>
    </w:p>
    <w:p>
      <w:r>
        <w:t xml:space="preserve">Bảng A.1 - Kết quả kiểm tra đo lường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gridCol w:w="1200"/>
        <w:gridCol w:w="1200"/>
      </w:tblGrid>
      <w:tr>
        <w:tc>
          <w:p>
            <w:r>
              <w:t xml:space="preserve">Lần đo</w:t>
            </w:r>
          </w:p>
        </w:tc>
        <w:tc>
          <w:p>
            <w:r>
              <w:t xml:space="preserve">Giá trị danh nghĩa</w:t>
            </w:r>
          </w:p>
        </w:tc>
        <w:tc>
          <w:p>
            <w:r>
              <w:t xml:space="preserve">Giá trị đo</w:t>
            </w:r>
          </w:p>
        </w:tc>
        <w:tc>
          <w:p>
            <w:r>
              <w:t xml:space="preserve">Sai số</w:t>
            </w:r>
          </w:p>
        </w:tc>
        <w:tc>
          <w:p>
            <w:r>
              <w:t xml:space="preserve">Giới hạn cho phép</w:t>
            </w:r>
          </w:p>
        </w:tc>
        <w:tc>
          <w:p>
            <w:r>
              <w:t xml:space="preserve">Ghi chú</w:t>
            </w:r>
          </w:p>
        </w:tc>
      </w:tr>
      <w:tr>
        <w:tc>
          <w:p>
            <w:r>
              <w:t xml:space="preserve">1</w:t>
            </w:r>
          </w:p>
        </w:tc>
        <w:tc>
          <w:p>
            <w:r>
              <w:t xml:space="preserve"/>
            </w:r>
          </w:p>
        </w:tc>
        <w:tc>
          <w:p>
            <w:r>
              <w:t xml:space="preserve"/>
            </w:r>
          </w:p>
        </w:tc>
        <w:tc>
          <w:p>
            <w:r>
              <w:t xml:space="preserve"/>
            </w:r>
          </w:p>
        </w:tc>
        <w:tc>
          <w:p>
            <w:r>
              <w:t xml:space="preserve"/>
            </w:r>
          </w:p>
        </w:tc>
        <w:tc>
          <w:p>
            <w:r>
              <w:t xml:space="preserve"/>
            </w:r>
          </w:p>
        </w:tc>
      </w:tr>
      <w:tr>
        <w:tc>
          <w:p>
            <w:r>
              <w:t xml:space="preserve">2</w:t>
            </w:r>
          </w:p>
        </w:tc>
        <w:tc>
          <w:p>
            <w:r>
              <w:t xml:space="preserve"/>
            </w:r>
          </w:p>
        </w:tc>
        <w:tc>
          <w:p>
            <w:r>
              <w:t xml:space="preserve"/>
            </w:r>
          </w:p>
        </w:tc>
        <w:tc>
          <w:p>
            <w:r>
              <w:t xml:space="preserve"/>
            </w:r>
          </w:p>
        </w:tc>
        <w:tc>
          <w:p>
            <w:r>
              <w:t xml:space="preserve"/>
            </w:r>
          </w:p>
        </w:tc>
        <w:tc>
          <w:p>
            <w:r>
              <w:t xml:space="preserve"/>
            </w:r>
          </w:p>
        </w:tc>
      </w:tr>
      <w:tr>
        <w:tc>
          <w:p>
            <w:r>
              <w:t xml:space="preserve">3</w:t>
            </w:r>
          </w:p>
        </w:tc>
        <w:tc>
          <w:p>
            <w:r>
              <w:t xml:space="preserve"/>
            </w:r>
          </w:p>
        </w:tc>
        <w:tc>
          <w:p>
            <w:r>
              <w:t xml:space="preserve"/>
            </w:r>
          </w:p>
        </w:tc>
        <w:tc>
          <w:p>
            <w:r>
              <w:t xml:space="preserve"/>
            </w:r>
          </w:p>
        </w:tc>
        <w:tc>
          <w:p>
            <w:r>
              <w:t xml:space="preserve"/>
            </w:r>
          </w:p>
        </w:tc>
        <w:tc>
          <w:p>
            <w:r>
              <w:t xml:space="preserve"/>
            </w:r>
          </w:p>
        </w:tc>
      </w:tr>
    </w:tbl>
    <w:p>
      <w:r>
        <w:t xml:space="preserve">Kết luận: Đạt (không đạt) yêu cầu kỹ thuật đo lường.</w:t>
      </w:r>
    </w:p>
    <w:sectPr>
      <w:pgSz w:w="11906" w:h="16838"/>
    </w:sectPr>
  </w:body>
</w:document>
</file>

<file path=word/styles.xml><?xml version="1.0" encoding="utf-8"?>
<w:styles xmlns:w="http://schemas.openxmlformats.org/wordprocessingml/2006/main">
  <w:docDefaults>
    <w:rPrDefault>
      <w:rPr>
        <w:sz w:val="22"/>
      </w:rPr>
    </w:rPrDefault>
  </w:docDefaults>
  <w:style w:type="paragraph" w:default="1" w:styleId="Normal">
    <w:name w:val="Normal"/>
  </w:style>
  <w:style w:type="paragraph" w:styleId="Title">
    <w:name w:val="Title"/>
    <w:basedOn w:val="Normal"/>
    <w:rPr>
      <w:b/>
      <w:sz w:val="36"/>
    </w:rPr>
  </w:style>
  <w:style w:type="paragraph" w:styleId="heading1">
    <w:name w:val="heading 1"/>
    <w:basedOn w:val="Normal"/>
    <w:pPr>
      <w:outlineLvl w:val="0"/>
    </w:pPr>
    <w:rPr>
      <w:b/>
      <w:sz w:val="32"/>
    </w:rPr>
  </w:style>
  <w:style w:type="paragraph" w:styleId="heading2">
    <w:name w:val="heading 2"/>
    <w:basedOn w:val="Normal"/>
    <w:pPr>
      <w:outlineLvl w:val="1"/>
    </w:pPr>
    <w:rPr>
      <w:b/>
      <w:sz w:val="30"/>
    </w:rPr>
  </w:style>
  <w:style w:type="paragraph" w:styleId="heading3">
    <w:name w:val="heading 3"/>
    <w:basedOn w:val="Normal"/>
    <w:pPr>
      <w:outlineLvl w:val="2"/>
    </w:pPr>
    <w:rPr>
      <w:b/>
      <w:sz w:val="28"/>
    </w:rPr>
  </w:style>
  <w:style w:type="paragraph" w:styleId="heading4">
    <w:name w:val="heading 4"/>
    <w:basedOn w:val="Normal"/>
    <w:pPr>
      <w:outlineLvl w:val="3"/>
    </w:pPr>
    <w:rPr>
      <w:b/>
      <w:sz w:val="26"/>
    </w:rPr>
  </w:style>
  <w:style w:type="paragraph" w:styleId="heading5">
    <w:name w:val="heading 5"/>
    <w:basedOn w:val="Normal"/>
    <w:pPr>
      <w:outlineLvl w:val="4"/>
    </w:pPr>
    <w:rPr>
      <w:b/>
      <w:sz w:val="24"/>
    </w:rPr>
  </w:style>
  <w:style w:type="paragraph" w:styleId="heading6">
    <w:name w:val="heading 6"/>
    <w:basedOn w:val="Normal"/>
    <w:pPr>
      <w:outlineLvl w:val="5"/>
    </w:pPr>
    <w:rPr>
      <w:b/>
      <w:sz w:val="22"/>
    </w:rPr>
  </w:style>
  <w:style w:type="paragraph" w:styleId="heading7">
    <w:name w:val="heading 7"/>
    <w:basedOn w:val="Normal"/>
    <w:pPr>
      <w:outlineLvl w:val="6"/>
    </w:pPr>
    <w:rPr>
      <w:b/>
      <w:sz w:val="20"/>
    </w:rPr>
  </w:style>
  <w:style w:type="paragraph" w:styleId="heading8">
    <w:name w:val="heading 8"/>
    <w:basedOn w:val="Normal"/>
    <w:pPr>
      <w:outlineLvl w:val="7"/>
    </w:pPr>
    <w:rPr>
      <w:b/>
      <w:sz w:val="20"/>
    </w:rPr>
  </w:style>
  <w:style w:type="paragraph" w:styleId="heading9">
    <w:name w:val="heading 9"/>
    <w:basedOn w:val="Normal"/>
    <w:pPr>
      <w:outlineLvl w:val="8"/>
    </w:pPr>
    <w:rPr>
      <w:b/>
      <w:sz w:val="20"/>
    </w:rPr>
  </w:style>
  <w:style w:type="paragraph" w:styleId="TieuDeMuc1">
    <w:name w:val="heading 1"/>
    <w:basedOn w:val="Normal"/>
    <w:rPr>
      <w:b/>
      <w:sz w:val="28"/>
    </w:rPr>
  </w:style>
  <w:style w:type="paragraph" w:styleId="MucCon2">
    <w:name w:val="Muc con 2"/>
    <w:basedOn w:val="TieuDeMuc1"/>
    <w:rPr>
      <w:i/>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