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9.001 : 2026</w:t>
      </w:r>
    </w:p>
    <w:p>
      <w:r>
        <w:t xml:space="preserve">VAN AN TOÀN CÓ PHẠM VI LÀM VIỆC ĐẾN 1 400 BAR</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Van an toàn có phạm vi làm việc đến 1 400 bar</w:t>
      </w:r>
    </w:p>
    <w:p>
      <w:r>
        <w:t xml:space="preserve">Quy trình kiểm định</w:t>
      </w:r>
    </w:p>
    <w:p>
      <w:pPr>
        <w:pStyle w:val="heading1"/>
      </w:pPr>
      <w:r>
        <w:t xml:space="preserve">1 Phạm vi áp dụng</w:t>
      </w:r>
    </w:p>
    <w:p>
      <w:r>
        <w:t xml:space="preserve">Phạm vi đo của van an toàn kiểm định theo quy trình này đến 1 400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VAN AN TOÀN CÓ PHẠM VI LÀM VIỆC ĐẾN 1 400 BAR</w:t>
      </w:r>
    </w:p>
    <w:p>
      <w:r>
        <w:t xml:space="preserve">Tên phương tiện đo: Van an toàn</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9.001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