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SINH &amp; SỬA ẢNH OFFLINE BẰNG QWEN-IMAGE TRÊN COMFYUI</w:t>
      </w:r>
    </w:p>
    <w:p>
      <w:pPr>
        <w:jc w:val="center"/>
      </w:pPr>
      <w:r>
        <w:rPr>
          <w:i/>
          <w:color w:val="444444"/>
          <w:sz w:val="20"/>
        </w:rPr>
        <w:t>Báo cáo tính khả thi, workflow, hạ tầng tối thiểu và đề xuất — 23/08/2026</w:t>
      </w:r>
    </w:p>
    <w:p>
      <w:pPr>
        <w:spacing w:before="240" w:after="80"/>
      </w:pPr>
      <w:r>
        <w:rPr>
          <w:b/>
          <w:color w:val="1A1A1A"/>
          <w:sz w:val="26"/>
        </w:rPr>
        <w:t>1. Tính khả thi</w:t>
      </w:r>
    </w:p>
    <w:p>
      <w:pPr>
        <w:spacing w:after="80"/>
      </w:pPr>
      <w:r>
        <w:t>Mô hình: Qwen-Image-2512 (sinh ảnh, 20B) và Qwen-Image-Edit-2511 (sửa ảnh, 20B), open-weight Apache-2.0. Đã triển khai chạy trên ComfyUI và đánh giá thực tế trên 50 case, chấm bằng mắt theo 3 tiêu chí (instruction / preserve / quality, thang 0-0,5-1).</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D9D9D9"/>
          </w:tcPr>
          <w:p>
            <w:pPr>
              <w:jc w:val="center"/>
            </w:pPr>
            <w:r/>
            <w:r>
              <w:rPr>
                <w:b/>
                <w:sz w:val="19"/>
              </w:rPr>
              <w:t>Tác vụ</w:t>
            </w:r>
          </w:p>
        </w:tc>
        <w:tc>
          <w:tcPr>
            <w:tcW w:type="dxa" w:w="1928"/>
            <w:shd w:val="clear" w:color="auto" w:fill="D9D9D9"/>
          </w:tcPr>
          <w:p>
            <w:pPr>
              <w:jc w:val="center"/>
            </w:pPr>
            <w:r/>
            <w:r>
              <w:rPr>
                <w:b/>
                <w:sz w:val="19"/>
              </w:rPr>
              <w:t>Case</w:t>
            </w:r>
          </w:p>
        </w:tc>
        <w:tc>
          <w:tcPr>
            <w:tcW w:type="dxa" w:w="1928"/>
            <w:shd w:val="clear" w:color="auto" w:fill="D9D9D9"/>
          </w:tcPr>
          <w:p>
            <w:pPr>
              <w:jc w:val="center"/>
            </w:pPr>
            <w:r/>
            <w:r>
              <w:rPr>
                <w:b/>
                <w:sz w:val="19"/>
              </w:rPr>
              <w:t>Instruction</w:t>
            </w:r>
          </w:p>
        </w:tc>
        <w:tc>
          <w:tcPr>
            <w:tcW w:type="dxa" w:w="1928"/>
            <w:shd w:val="clear" w:color="auto" w:fill="D9D9D9"/>
          </w:tcPr>
          <w:p>
            <w:pPr>
              <w:jc w:val="center"/>
            </w:pPr>
            <w:r/>
            <w:r>
              <w:rPr>
                <w:b/>
                <w:sz w:val="19"/>
              </w:rPr>
              <w:t>Preserve</w:t>
            </w:r>
          </w:p>
        </w:tc>
        <w:tc>
          <w:tcPr>
            <w:tcW w:type="dxa" w:w="1928"/>
            <w:shd w:val="clear" w:color="auto" w:fill="D9D9D9"/>
          </w:tcPr>
          <w:p>
            <w:pPr>
              <w:jc w:val="center"/>
            </w:pPr>
            <w:r/>
            <w:r>
              <w:rPr>
                <w:b/>
                <w:sz w:val="19"/>
              </w:rPr>
              <w:t>Quality</w:t>
            </w:r>
          </w:p>
        </w:tc>
      </w:tr>
      <w:tr>
        <w:tc>
          <w:tcPr>
            <w:tcW w:type="dxa" w:w="1928"/>
          </w:tcPr>
          <w:p>
            <w:r/>
            <w:r>
              <w:rPr>
                <w:b w:val="0"/>
                <w:sz w:val="19"/>
              </w:rPr>
              <w:t>T2I</w:t>
            </w:r>
          </w:p>
        </w:tc>
        <w:tc>
          <w:tcPr>
            <w:tcW w:type="dxa" w:w="1928"/>
          </w:tcPr>
          <w:p>
            <w:pPr>
              <w:jc w:val="center"/>
            </w:pPr>
            <w:r/>
            <w:r>
              <w:rPr>
                <w:b w:val="0"/>
                <w:sz w:val="19"/>
              </w:rPr>
              <w:t>7</w:t>
            </w:r>
          </w:p>
        </w:tc>
        <w:tc>
          <w:tcPr>
            <w:tcW w:type="dxa" w:w="1928"/>
          </w:tcPr>
          <w:p>
            <w:pPr>
              <w:jc w:val="center"/>
            </w:pPr>
            <w:r/>
            <w:r>
              <w:rPr>
                <w:b w:val="0"/>
                <w:sz w:val="19"/>
              </w:rPr>
              <w:t>92.9%</w:t>
            </w:r>
          </w:p>
        </w:tc>
        <w:tc>
          <w:tcPr>
            <w:tcW w:type="dxa" w:w="1928"/>
          </w:tcPr>
          <w:p>
            <w:pPr>
              <w:jc w:val="center"/>
            </w:pPr>
            <w:r/>
            <w:r>
              <w:rPr>
                <w:b w:val="0"/>
                <w:sz w:val="19"/>
              </w:rPr>
              <w:t>100%</w:t>
            </w:r>
          </w:p>
        </w:tc>
        <w:tc>
          <w:tcPr>
            <w:tcW w:type="dxa" w:w="1928"/>
          </w:tcPr>
          <w:p>
            <w:pPr>
              <w:jc w:val="center"/>
            </w:pPr>
            <w:r/>
            <w:r>
              <w:rPr>
                <w:b w:val="0"/>
                <w:sz w:val="19"/>
              </w:rPr>
              <w:t>100%</w:t>
            </w:r>
          </w:p>
        </w:tc>
      </w:tr>
      <w:tr>
        <w:tc>
          <w:tcPr>
            <w:tcW w:type="dxa" w:w="1928"/>
          </w:tcPr>
          <w:p>
            <w:r/>
            <w:r>
              <w:rPr>
                <w:b w:val="0"/>
                <w:sz w:val="19"/>
              </w:rPr>
              <w:t>LocalEdit</w:t>
            </w:r>
          </w:p>
        </w:tc>
        <w:tc>
          <w:tcPr>
            <w:tcW w:type="dxa" w:w="1928"/>
          </w:tcPr>
          <w:p>
            <w:pPr>
              <w:jc w:val="center"/>
            </w:pPr>
            <w:r/>
            <w:r>
              <w:rPr>
                <w:b w:val="0"/>
                <w:sz w:val="19"/>
              </w:rPr>
              <w:t>9</w:t>
            </w:r>
          </w:p>
        </w:tc>
        <w:tc>
          <w:tcPr>
            <w:tcW w:type="dxa" w:w="1928"/>
          </w:tcPr>
          <w:p>
            <w:pPr>
              <w:jc w:val="center"/>
            </w:pPr>
            <w:r/>
            <w:r>
              <w:rPr>
                <w:b w:val="0"/>
                <w:sz w:val="19"/>
              </w:rPr>
              <w:t>100%</w:t>
            </w:r>
          </w:p>
        </w:tc>
        <w:tc>
          <w:tcPr>
            <w:tcW w:type="dxa" w:w="1928"/>
          </w:tcPr>
          <w:p>
            <w:pPr>
              <w:jc w:val="center"/>
            </w:pPr>
            <w:r/>
            <w:r>
              <w:rPr>
                <w:b w:val="0"/>
                <w:sz w:val="19"/>
              </w:rPr>
              <w:t>88.9%</w:t>
            </w:r>
          </w:p>
        </w:tc>
        <w:tc>
          <w:tcPr>
            <w:tcW w:type="dxa" w:w="1928"/>
          </w:tcPr>
          <w:p>
            <w:pPr>
              <w:jc w:val="center"/>
            </w:pPr>
            <w:r/>
            <w:r>
              <w:rPr>
                <w:b w:val="0"/>
                <w:sz w:val="19"/>
              </w:rPr>
              <w:t>100%</w:t>
            </w:r>
          </w:p>
        </w:tc>
      </w:tr>
      <w:tr>
        <w:tc>
          <w:tcPr>
            <w:tcW w:type="dxa" w:w="1928"/>
          </w:tcPr>
          <w:p>
            <w:r/>
            <w:r>
              <w:rPr>
                <w:b w:val="0"/>
                <w:sz w:val="19"/>
              </w:rPr>
              <w:t>GlobalEdit</w:t>
            </w:r>
          </w:p>
        </w:tc>
        <w:tc>
          <w:tcPr>
            <w:tcW w:type="dxa" w:w="1928"/>
          </w:tcPr>
          <w:p>
            <w:pPr>
              <w:jc w:val="center"/>
            </w:pPr>
            <w:r/>
            <w:r>
              <w:rPr>
                <w:b w:val="0"/>
                <w:sz w:val="19"/>
              </w:rPr>
              <w:t>9</w:t>
            </w:r>
          </w:p>
        </w:tc>
        <w:tc>
          <w:tcPr>
            <w:tcW w:type="dxa" w:w="1928"/>
          </w:tcPr>
          <w:p>
            <w:pPr>
              <w:jc w:val="center"/>
            </w:pPr>
            <w:r/>
            <w:r>
              <w:rPr>
                <w:b w:val="0"/>
                <w:sz w:val="19"/>
              </w:rPr>
              <w:t>100%</w:t>
            </w:r>
          </w:p>
        </w:tc>
        <w:tc>
          <w:tcPr>
            <w:tcW w:type="dxa" w:w="1928"/>
          </w:tcPr>
          <w:p>
            <w:pPr>
              <w:jc w:val="center"/>
            </w:pPr>
            <w:r/>
            <w:r>
              <w:rPr>
                <w:b w:val="0"/>
                <w:sz w:val="19"/>
              </w:rPr>
              <w:t>94.4%</w:t>
            </w:r>
          </w:p>
        </w:tc>
        <w:tc>
          <w:tcPr>
            <w:tcW w:type="dxa" w:w="1928"/>
          </w:tcPr>
          <w:p>
            <w:pPr>
              <w:jc w:val="center"/>
            </w:pPr>
            <w:r/>
            <w:r>
              <w:rPr>
                <w:b w:val="0"/>
                <w:sz w:val="19"/>
              </w:rPr>
              <w:t>100%</w:t>
            </w:r>
          </w:p>
        </w:tc>
      </w:tr>
      <w:tr>
        <w:tc>
          <w:tcPr>
            <w:tcW w:type="dxa" w:w="1928"/>
            <w:shd w:val="clear" w:color="auto" w:fill="FCE4E4"/>
          </w:tcPr>
          <w:p>
            <w:r/>
            <w:r>
              <w:rPr>
                <w:b/>
                <w:sz w:val="19"/>
              </w:rPr>
              <w:t>StructureEdit</w:t>
            </w:r>
          </w:p>
        </w:tc>
        <w:tc>
          <w:tcPr>
            <w:tcW w:type="dxa" w:w="1928"/>
            <w:shd w:val="clear" w:color="auto" w:fill="FCE4E4"/>
          </w:tcPr>
          <w:p>
            <w:pPr>
              <w:jc w:val="center"/>
            </w:pPr>
            <w:r/>
            <w:r>
              <w:rPr>
                <w:b/>
                <w:sz w:val="19"/>
              </w:rPr>
              <w:t>9</w:t>
            </w:r>
          </w:p>
        </w:tc>
        <w:tc>
          <w:tcPr>
            <w:tcW w:type="dxa" w:w="1928"/>
            <w:shd w:val="clear" w:color="auto" w:fill="FCE4E4"/>
          </w:tcPr>
          <w:p>
            <w:pPr>
              <w:jc w:val="center"/>
            </w:pPr>
            <w:r/>
            <w:r>
              <w:rPr>
                <w:b/>
                <w:sz w:val="19"/>
              </w:rPr>
              <w:t>38.9%</w:t>
            </w:r>
          </w:p>
        </w:tc>
        <w:tc>
          <w:tcPr>
            <w:tcW w:type="dxa" w:w="1928"/>
            <w:shd w:val="clear" w:color="auto" w:fill="FCE4E4"/>
          </w:tcPr>
          <w:p>
            <w:pPr>
              <w:jc w:val="center"/>
            </w:pPr>
            <w:r/>
            <w:r>
              <w:rPr>
                <w:b/>
                <w:sz w:val="19"/>
              </w:rPr>
              <w:t>88.9%</w:t>
            </w:r>
          </w:p>
        </w:tc>
        <w:tc>
          <w:tcPr>
            <w:tcW w:type="dxa" w:w="1928"/>
            <w:shd w:val="clear" w:color="auto" w:fill="FCE4E4"/>
          </w:tcPr>
          <w:p>
            <w:pPr>
              <w:jc w:val="center"/>
            </w:pPr>
            <w:r/>
            <w:r>
              <w:rPr>
                <w:b/>
                <w:sz w:val="19"/>
              </w:rPr>
              <w:t>100%</w:t>
            </w:r>
          </w:p>
        </w:tc>
      </w:tr>
      <w:tr>
        <w:tc>
          <w:tcPr>
            <w:tcW w:type="dxa" w:w="1928"/>
          </w:tcPr>
          <w:p>
            <w:r/>
            <w:r>
              <w:rPr>
                <w:b w:val="0"/>
                <w:sz w:val="19"/>
              </w:rPr>
              <w:t>RefGen</w:t>
            </w:r>
          </w:p>
        </w:tc>
        <w:tc>
          <w:tcPr>
            <w:tcW w:type="dxa" w:w="1928"/>
          </w:tcPr>
          <w:p>
            <w:pPr>
              <w:jc w:val="center"/>
            </w:pPr>
            <w:r/>
            <w:r>
              <w:rPr>
                <w:b w:val="0"/>
                <w:sz w:val="19"/>
              </w:rPr>
              <w:t>8</w:t>
            </w:r>
          </w:p>
        </w:tc>
        <w:tc>
          <w:tcPr>
            <w:tcW w:type="dxa" w:w="1928"/>
          </w:tcPr>
          <w:p>
            <w:pPr>
              <w:jc w:val="center"/>
            </w:pPr>
            <w:r/>
            <w:r>
              <w:rPr>
                <w:b w:val="0"/>
                <w:sz w:val="19"/>
              </w:rPr>
              <w:t>100%</w:t>
            </w:r>
          </w:p>
        </w:tc>
        <w:tc>
          <w:tcPr>
            <w:tcW w:type="dxa" w:w="1928"/>
          </w:tcPr>
          <w:p>
            <w:pPr>
              <w:jc w:val="center"/>
            </w:pPr>
            <w:r/>
            <w:r>
              <w:rPr>
                <w:b w:val="0"/>
                <w:sz w:val="19"/>
              </w:rPr>
              <w:t>87.5%</w:t>
            </w:r>
          </w:p>
        </w:tc>
        <w:tc>
          <w:tcPr>
            <w:tcW w:type="dxa" w:w="1928"/>
          </w:tcPr>
          <w:p>
            <w:pPr>
              <w:jc w:val="center"/>
            </w:pPr>
            <w:r/>
            <w:r>
              <w:rPr>
                <w:b w:val="0"/>
                <w:sz w:val="19"/>
              </w:rPr>
              <w:t>100%</w:t>
            </w:r>
          </w:p>
        </w:tc>
      </w:tr>
      <w:tr>
        <w:tc>
          <w:tcPr>
            <w:tcW w:type="dxa" w:w="1928"/>
          </w:tcPr>
          <w:p>
            <w:r/>
            <w:r>
              <w:rPr>
                <w:b w:val="0"/>
                <w:sz w:val="19"/>
              </w:rPr>
              <w:t>MultiRef</w:t>
            </w:r>
          </w:p>
        </w:tc>
        <w:tc>
          <w:tcPr>
            <w:tcW w:type="dxa" w:w="1928"/>
          </w:tcPr>
          <w:p>
            <w:pPr>
              <w:jc w:val="center"/>
            </w:pPr>
            <w:r/>
            <w:r>
              <w:rPr>
                <w:b w:val="0"/>
                <w:sz w:val="19"/>
              </w:rPr>
              <w:t>8</w:t>
            </w:r>
          </w:p>
        </w:tc>
        <w:tc>
          <w:tcPr>
            <w:tcW w:type="dxa" w:w="1928"/>
          </w:tcPr>
          <w:p>
            <w:pPr>
              <w:jc w:val="center"/>
            </w:pPr>
            <w:r/>
            <w:r>
              <w:rPr>
                <w:b w:val="0"/>
                <w:sz w:val="19"/>
              </w:rPr>
              <w:t>93.8%</w:t>
            </w:r>
          </w:p>
        </w:tc>
        <w:tc>
          <w:tcPr>
            <w:tcW w:type="dxa" w:w="1928"/>
          </w:tcPr>
          <w:p>
            <w:pPr>
              <w:jc w:val="center"/>
            </w:pPr>
            <w:r/>
            <w:r>
              <w:rPr>
                <w:b w:val="0"/>
                <w:sz w:val="19"/>
              </w:rPr>
              <w:t>81.2%</w:t>
            </w:r>
          </w:p>
        </w:tc>
        <w:tc>
          <w:tcPr>
            <w:tcW w:type="dxa" w:w="1928"/>
          </w:tcPr>
          <w:p>
            <w:pPr>
              <w:jc w:val="center"/>
            </w:pPr>
            <w:r/>
            <w:r>
              <w:rPr>
                <w:b w:val="0"/>
                <w:sz w:val="19"/>
              </w:rPr>
              <w:t>100%</w:t>
            </w:r>
          </w:p>
        </w:tc>
      </w:tr>
    </w:tbl>
    <w:p>
      <w:pPr>
        <w:spacing w:before="60"/>
      </w:pPr>
      <w:r>
        <w:rPr>
          <w:b/>
          <w:sz w:val="20"/>
        </w:rPr>
        <w:t>Tổng 50 case: instruction 87% · preserve 90% · quality 100%.</w:t>
      </w:r>
    </w:p>
    <w:p>
      <w:pPr>
        <w:spacing w:before="160" w:after="40"/>
      </w:pPr>
      <w:r>
        <w:rPr>
          <w:b/>
          <w:sz w:val="22"/>
        </w:rPr>
        <w:t>Ba điểm yếu đo được</w:t>
      </w:r>
    </w:p>
    <w:p>
      <w:pPr>
        <w:pStyle w:val="ListBullet"/>
        <w:spacing w:after="40"/>
      </w:pPr>
      <w:r>
        <w:rPr>
          <w:b/>
        </w:rPr>
        <w:t xml:space="preserve">Đếm số lượng sai: </w:t>
      </w:r>
      <w:r>
        <w:t>khi chỉ dẫn yêu cầu đúng số lượng vật thể ("3 ghế → 5 ghế"), mô hình thường trả sai. 4/50 case (loc_03, glo_02, str_03, str_06).</w:t>
      </w:r>
    </w:p>
    <w:p>
      <w:pPr>
        <w:pStyle w:val="ListBullet"/>
        <w:spacing w:after="40"/>
      </w:pPr>
      <w:r>
        <w:rPr>
          <w:b/>
        </w:rPr>
        <w:t xml:space="preserve">Đổi góc máy không hoạt động: </w:t>
      </w:r>
      <w:r>
        <w:t>str_07 (góc thấp), str_08 (zoom/crop), str_09 (góc 3/4) đều giữ nguyên góc gốc. Đây là nguyên nhân chính khiến StructureEdit chỉ đạt 38.9%.</w:t>
      </w:r>
    </w:p>
    <w:p>
      <w:pPr>
        <w:pStyle w:val="ListBullet"/>
        <w:spacing w:after="40"/>
      </w:pPr>
      <w:r>
        <w:rPr>
          <w:b/>
        </w:rPr>
        <w:t xml:space="preserve">Giữ danh tính đôi khi trượt: </w:t>
      </w:r>
      <w:r>
        <w:t>ref_08 đổi hoàn toàn màu/vằn lông chủ thể dù chỉ dẫn ghi rõ giữ nguyên.</w:t>
      </w:r>
    </w:p>
    <w:p>
      <w:pPr>
        <w:spacing w:before="160" w:after="40"/>
      </w:pPr>
      <w:r>
        <w:rPr>
          <w:b/>
          <w:sz w:val="22"/>
        </w:rPr>
        <w:t>Giới hạn tiếng Việt</w:t>
      </w:r>
    </w:p>
    <w:p>
      <w:pPr>
        <w:pStyle w:val="ListBullet"/>
        <w:spacing w:after="40"/>
      </w:pPr>
      <w:r>
        <w:rPr>
          <w:b/>
        </w:rPr>
        <w:t xml:space="preserve">Đã kiểm chứng: </w:t>
      </w:r>
      <w:r>
        <w:t>prompt tiếng Việt cho sinh ảnh (T2I) dùng tốt — 92.9% trên 7 case.</w:t>
      </w:r>
    </w:p>
    <w:p>
      <w:pPr>
        <w:pStyle w:val="ListBullet"/>
        <w:spacing w:after="40"/>
      </w:pPr>
      <w:r>
        <w:rPr>
          <w:b/>
        </w:rPr>
        <w:t xml:space="preserve">Chưa kiểm chứng: </w:t>
      </w:r>
      <w:r>
        <w:t>chỉ dẫn sửa ảnh nên viết tiếng Anh (cách 43 case edit đã kiểm chứng); tiếng Việt cho sửa ảnh và render chữ tiếng Việt lên ảnh — chưa đo.</w:t>
      </w:r>
    </w:p>
    <w:p>
      <w:pPr>
        <w:spacing w:before="160" w:after="40"/>
      </w:pPr>
      <w:r>
        <w:rPr>
          <w:b/>
          <w:sz w:val="22"/>
        </w:rPr>
        <w:t>Kết luận</w:t>
      </w:r>
    </w:p>
    <w:p>
      <w:pPr>
        <w:spacing w:after="80"/>
      </w:pPr>
      <w:r>
        <w:t>Khả thi để triển khai: T2I, LocalEdit, GlobalEdit, RefGen, MultiRef (5/6 tác vụ, instruction ≥87%). Không khả thi ở dạng hiện tại: StructureEdit khi yêu cầu đổi góc máy/khung hình.</w:t>
      </w:r>
    </w:p>
    <w:p>
      <w:pPr>
        <w:spacing w:before="240" w:after="80"/>
      </w:pPr>
      <w:r>
        <w:rPr>
          <w:b/>
          <w:color w:val="1A1A1A"/>
          <w:sz w:val="26"/>
        </w:rPr>
        <w:t>2. Workflow</w:t>
      </w:r>
    </w:p>
    <w:p>
      <w:pPr>
        <w:pStyle w:val="ListBullet"/>
        <w:spacing w:after="40"/>
      </w:pPr>
      <w:r>
        <w:rPr>
          <w:b/>
        </w:rPr>
        <w:t xml:space="preserve">Kiến trúc: </w:t>
      </w:r>
      <w:r>
        <w:t>một file workflow duy nhất (W_qwen_6tasks.json) phục vụ cả 6 tác vụ; build.py cắt nhánh không dùng theo tham số --task, tương đương bypass group trong ComfyUI.</w:t>
      </w:r>
    </w:p>
    <w:p>
      <w:pPr>
        <w:pStyle w:val="ListBullet"/>
        <w:spacing w:after="40"/>
      </w:pPr>
      <w:r>
        <w:rPr>
          <w:b/>
        </w:rPr>
        <w:t xml:space="preserve">Vì sao phải cắt nhánh: </w:t>
      </w:r>
      <w:r>
        <w:t>ComfyUI chạy mọi node dẫn tới SaveImage và không có node rẽ nhánh ở lõi. Giữ cả 2 nhánh sống sẽ nạp đồng thời 2 model 20B, vượt 32GB VRAM.</w:t>
      </w:r>
    </w:p>
    <w:p>
      <w:pPr>
        <w:pStyle w:val="ListBullet"/>
        <w:spacing w:after="40"/>
      </w:pPr>
      <w:r>
        <w:rPr>
          <w:b/>
        </w:rPr>
        <w:t xml:space="preserve">6 tác vụ: </w:t>
      </w:r>
      <w:r>
        <w:t>T2I (0 ảnh vào), LocalEdit, GlobalEdit, StructureEdit, RefGen (1 ảnh vào mỗi loại), MultiRef (2 ảnh vào).</w:t>
      </w:r>
    </w:p>
    <w:p>
      <w:pPr>
        <w:pStyle w:val="ListBullet"/>
        <w:spacing w:after="40"/>
      </w:pPr>
      <w:r>
        <w:rPr>
          <w:b/>
        </w:rPr>
        <w:t xml:space="preserve">Giao diện: </w:t>
      </w:r>
      <w:r>
        <w:t>Gradio dạng chat — nhớ ngữ cảnh nhiều lượt trên cùng một ảnh, tự chọn nhánh theo câu lệnh hoặc ép bằng nút, tiến độ theo từng bước qua websocket ComfyUI, tab thư viện để sửa tiếp ảnh cũ.</w:t>
      </w:r>
    </w:p>
    <w:p>
      <w:pPr>
        <w:pStyle w:val="ListBullet"/>
        <w:spacing w:after="40"/>
      </w:pPr>
      <w:r>
        <w:rPr>
          <w:b/>
        </w:rPr>
        <w:t xml:space="preserve">Vòng lặp eval: </w:t>
      </w:r>
      <w:r>
        <w:t>eval_set.json định nghĩa case → run_eval.py gọi ComfyUI API sinh ảnh → chấm bằng mắt → ghi ket_qua.json (merge theo id). Cờ --only-new cho phép mở rộng case mới mà không chạy lại case cũ.</w:t>
      </w:r>
    </w:p>
    <w:p>
      <w:pPr>
        <w:spacing w:before="240" w:after="80"/>
      </w:pPr>
      <w:r>
        <w:rPr>
          <w:b/>
          <w:color w:val="1A1A1A"/>
          <w:sz w:val="26"/>
        </w:rPr>
        <w:t>3. Hạ tầng tối thiểu</w:t>
      </w:r>
    </w:p>
    <w:p>
      <w:pPr>
        <w:pStyle w:val="ListBullet"/>
        <w:spacing w:after="40"/>
      </w:pPr>
      <w:r>
        <w:rPr>
          <w:b/>
        </w:rPr>
        <w:t xml:space="preserve">GPU: </w:t>
      </w:r>
      <w:r>
        <w:t>≥32GB VRAM. RTX 5090 32GB dùng được phương án fp8 native (chất lượng cao hơn); GPU 24GB phải dùng GGUF Q6_K.</w:t>
      </w:r>
    </w:p>
    <w:p>
      <w:pPr>
        <w:pStyle w:val="ListBullet"/>
        <w:spacing w:after="40"/>
      </w:pPr>
      <w:r>
        <w:rPr>
          <w:b/>
        </w:rPr>
        <w:t xml:space="preserve">Dung lượng model: </w:t>
      </w:r>
      <w:r>
        <w:t>~50,6GB cho 2 model ảnh (DiT fp8 2×20,5GB + text encoder 9,4GB + VAE 0,25GB); ~72,6GB nếu tải kèm cả Wan2.2 video và SeedVR2 upscale.</w:t>
      </w:r>
    </w:p>
    <w:p>
      <w:pPr>
        <w:pStyle w:val="ListBullet"/>
        <w:spacing w:after="40"/>
      </w:pPr>
      <w:r>
        <w:rPr>
          <w:b/>
        </w:rPr>
        <w:t xml:space="preserve">Ổ đĩa: </w:t>
      </w:r>
      <w:r>
        <w:t>≥150GB trống.</w:t>
      </w:r>
    </w:p>
    <w:p>
      <w:pPr>
        <w:pStyle w:val="ListBullet"/>
        <w:spacing w:after="40"/>
      </w:pPr>
      <w:r>
        <w:rPr>
          <w:b/>
        </w:rPr>
        <w:t xml:space="preserve">Phần mềm: </w:t>
      </w:r>
      <w:r>
        <w:t>Python 3.11 hoặc 3.12 (không dùng 3.13/3.14 — PyTorch chưa hỗ trợ); PyTorch cu128+ cho kiến trúc Blackwell (sm_120); gỡ xformers, chạy --use-pytorch-cross-attention; không cài SageAttention, dùng Triton + torch.compile.</w:t>
      </w:r>
    </w:p>
    <w:p>
      <w:pPr>
        <w:pStyle w:val="ListBullet"/>
        <w:spacing w:after="40"/>
      </w:pPr>
      <w:r>
        <w:rPr>
          <w:b/>
        </w:rPr>
        <w:t xml:space="preserve">Triển khai đã kiểm chứng: </w:t>
      </w:r>
      <w:r>
        <w:t>đã kiểm chứng chạy ổn định trên GPU thuê theo giờ (vast.ai, RTX 5090 32GB), chi phí đo được ~0,43 USD/giờ, vận hành air-gapped hoàn toàn sau khi tải model một lần.</w:t>
      </w:r>
    </w:p>
    <w:p>
      <w:pPr>
        <w:pStyle w:val="ListBullet"/>
        <w:spacing w:after="40"/>
      </w:pPr>
      <w:r>
        <w:rPr>
          <w:b/>
        </w:rPr>
        <w:t xml:space="preserve">Kết nối vận hành: </w:t>
      </w:r>
      <w:r>
        <w:t>SSH trực tiếp vào máy GPU, gọi ComfyUI qua cổng nội bộ (localhost:18188) — tránh đi qua proxy công khai yêu cầu token, giảm bề mặt lộ khoá.</w:t>
      </w:r>
    </w:p>
    <w:p>
      <w:pPr>
        <w:spacing w:before="240" w:after="80"/>
      </w:pPr>
      <w:r>
        <w:rPr>
          <w:b/>
          <w:color w:val="1A1A1A"/>
          <w:sz w:val="26"/>
        </w:rPr>
        <w:t>4. Đề xuất</w:t>
      </w:r>
    </w:p>
    <w:p>
      <w:pPr>
        <w:pStyle w:val="ListBullet"/>
        <w:spacing w:after="40"/>
      </w:pPr>
      <w:r>
        <w:rPr>
          <w:b/>
        </w:rPr>
        <w:t xml:space="preserve">Đưa vào dùng ngay: </w:t>
      </w:r>
      <w:r>
        <w:t>triển khai production cho T2I tiếng Việt, LocalEdit, GlobalEdit, RefGen, MultiRef.</w:t>
      </w:r>
    </w:p>
    <w:p>
      <w:pPr>
        <w:pStyle w:val="ListBullet"/>
        <w:spacing w:after="40"/>
      </w:pPr>
      <w:r>
        <w:rPr>
          <w:b/>
        </w:rPr>
        <w:t xml:space="preserve">Chưa đưa vào dùng: </w:t>
      </w:r>
      <w:r>
        <w:t>không bật StructureEdit cho use-case đổi góc máy/crop cho tới khi có bản model mới hoặc bổ sung ControlNet pose/depth — hiện tại chỉ 38.9% instruction.</w:t>
      </w:r>
    </w:p>
    <w:p>
      <w:pPr>
        <w:pStyle w:val="ListBullet"/>
        <w:spacing w:after="40"/>
      </w:pPr>
      <w:r>
        <w:rPr>
          <w:b/>
        </w:rPr>
        <w:t xml:space="preserve">Ràng buộc khi dùng: </w:t>
      </w:r>
      <w:r>
        <w:t>bắt buộc chỉ dẫn sửa ảnh bằng tiếng Anh; tránh yêu cầu đếm số lượng vật thể chính xác trong prompt — cả hai là giới hạn đã đo được, không phải giả định.</w:t>
      </w:r>
    </w:p>
    <w:p>
      <w:pPr>
        <w:pStyle w:val="ListBullet"/>
        <w:spacing w:after="40"/>
      </w:pPr>
      <w:r>
        <w:rPr>
          <w:b/>
        </w:rPr>
        <w:t xml:space="preserve">Hạ tầng: </w:t>
      </w:r>
      <w:r>
        <w:t>dùng GPU thuê theo giờ (vast.ai) cho giai đoạn thử nghiệm và tải thấp; chuyển sang GPU riêng nếu tải ổn định và tần suất dùng đủ cao để hoà vốn.</w:t>
      </w:r>
    </w:p>
    <w:p>
      <w:pPr>
        <w:pStyle w:val="ListBullet"/>
        <w:spacing w:after="40"/>
      </w:pPr>
      <w:r>
        <w:rPr>
          <w:b/>
        </w:rPr>
        <w:t xml:space="preserve">Việc cần làm tiếp: </w:t>
      </w:r>
      <w:r>
        <w:t>chạy test tiếng Việt cho tác vụ sửa ảnh (hiện 43 case đều dùng tiếng Anh); chạy bộ test render chữ tiếng Việt lên ảnh (vi_text_testset.json, chưa chạy); theo dõi bản Qwen-Image kế tiếp để tái đánh giá StructureEdit.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