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Hodler vs. Trader: Nash Equilibrium and Evolutionary Stability in the Bitcoin Ecosystem</w:t>
      </w:r>
    </w:p>
    <w:p>
      <w:r>
        <w:t>Author: ThereIsNoSecondBest  (https://x.com/theresno2ndbtc)</w:t>
      </w:r>
    </w:p>
    <w:p>
      <w:r>
        <w:t>Revised: 19 July 2025</w:t>
      </w:r>
    </w:p>
    <w:p>
      <w:pPr>
        <w:pStyle w:val="Heading1"/>
      </w:pPr>
      <w:r>
        <w:t>Abstract</w:t>
      </w:r>
    </w:p>
    <w:p>
      <w:r>
        <w:t>Using daily data from 2010‑01‑01 to 2025‑06‑30 (N = 5,701), we estimate the network‑externality drift α ≈ 0.07 (p &lt; 0.01) and volatility decay κ ≈ –0.12 (p &lt; 0.05). Embedding these estimates in a static Nash game and a replicator dynamic shows that Hodling becomes the unique evolutionarily stable strategy (ESS) once α exceeds β + fee_tx / σ. Monte‑Carlo simulations confirm almost‑sure convergence to Hodling. Instrument‑variable panel regressions with Google Trends and developer commits (first‑stage F‑stat = 12.8; Hansen J p = 0.28) corroborate the causal influence of network growth on Bitcoin’s long‑run price appreciation.</w:t>
      </w:r>
    </w:p>
    <w:p>
      <w:pPr>
        <w:pStyle w:val="Heading1"/>
      </w:pPr>
      <w:r>
        <w:t>1. Introduction</w:t>
      </w:r>
    </w:p>
    <w:p>
      <w:r>
        <w:t>Cryptocurrency research has focussed on miner incentives and consensus security, yet the strategic interaction between long‑horizon investors (Hodlers) and short‑horizon traders remains under‑explored. This paper formalises a two‑type population game with empirically calibrated pay‑offs and demonstrates analytically and empirically that Hodling is a globally stable outcome under realistic parameters.</w:t>
      </w:r>
    </w:p>
    <w:p>
      <w:pPr>
        <w:pStyle w:val="Heading1"/>
      </w:pPr>
      <w:r>
        <w:t>2. Related Literature</w:t>
      </w:r>
    </w:p>
    <w:p>
      <w:r>
        <w:t>We build on evolutionary game theory (Weibull 1995) and extend recent network‑effect estimates (Brogaard &amp; Cao 2025; Auer &amp; Claessens 2025).</w:t>
      </w:r>
    </w:p>
    <w:p>
      <w:pPr>
        <w:pStyle w:val="Heading1"/>
      </w:pPr>
      <w:r>
        <w:t>3. Model Setup</w:t>
      </w:r>
    </w:p>
    <w:p>
      <w:r>
        <w:t>Let h ∈ [0,1] be the Hodler share. Bitcoin price follows dP/P = (αh−β−c_H)dt + σ₀e^{κh}dW_t, where κ&lt;0 captures volatility decay. Hodler pay‑off Π_H = αh−β−c_H. Traders choose frequency f≥0 obtaining Π_T(h,f) = f(ησ₀e^{κh} − γf − fee_tx). Optimising gives f*(h) = (ησ₀e^{κh} − fee_tx)/(2γ) when ησ₀e^{κh}&gt;fee_tx; otherwise f*=0.</w:t>
      </w:r>
    </w:p>
    <w:p>
      <w:pPr>
        <w:pStyle w:val="Caption"/>
        <w:jc w:val="center"/>
      </w:pPr>
      <w:r>
        <w:t>Table 1. Model Parameters and Benchmarks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Symbol</w:t>
            </w:r>
          </w:p>
        </w:tc>
        <w:tc>
          <w:tcPr>
            <w:tcW w:type="dxa" w:w="2160"/>
          </w:tcPr>
          <w:p>
            <w:r>
              <w:t>Units</w:t>
            </w:r>
          </w:p>
        </w:tc>
        <w:tc>
          <w:tcPr>
            <w:tcW w:type="dxa" w:w="2160"/>
          </w:tcPr>
          <w:p>
            <w:r>
              <w:t>Benchmark</w:t>
            </w:r>
          </w:p>
        </w:tc>
        <w:tc>
          <w:tcPr>
            <w:tcW w:type="dxa" w:w="2160"/>
          </w:tcPr>
          <w:p>
            <w:r>
              <w:t>Meaning</w:t>
            </w:r>
          </w:p>
        </w:tc>
      </w:tr>
      <w:tr>
        <w:tc>
          <w:tcPr>
            <w:tcW w:type="dxa" w:w="2160"/>
          </w:tcPr>
          <w:p>
            <w:r>
              <w:t>α</w:t>
            </w:r>
          </w:p>
        </w:tc>
        <w:tc>
          <w:tcPr>
            <w:tcW w:type="dxa" w:w="2160"/>
          </w:tcPr>
          <w:p>
            <w:r>
              <w:t>%/day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Network drift</w:t>
            </w:r>
          </w:p>
        </w:tc>
      </w:tr>
      <w:tr>
        <w:tc>
          <w:tcPr>
            <w:tcW w:type="dxa" w:w="2160"/>
          </w:tcPr>
          <w:p>
            <w:r>
              <w:t>κ</w:t>
            </w:r>
          </w:p>
        </w:tc>
        <w:tc>
          <w:tcPr>
            <w:tcW w:type="dxa" w:w="2160"/>
          </w:tcPr>
          <w:p>
            <w:r>
              <w:t>%/day</w:t>
            </w:r>
          </w:p>
        </w:tc>
        <w:tc>
          <w:tcPr>
            <w:tcW w:type="dxa" w:w="2160"/>
          </w:tcPr>
          <w:p>
            <w:r>
              <w:t>−0.12</w:t>
            </w:r>
          </w:p>
        </w:tc>
        <w:tc>
          <w:tcPr>
            <w:tcW w:type="dxa" w:w="2160"/>
          </w:tcPr>
          <w:p>
            <w:r>
              <w:t>Volatility decay</w:t>
            </w:r>
          </w:p>
        </w:tc>
      </w:tr>
      <w:tr>
        <w:tc>
          <w:tcPr>
            <w:tcW w:type="dxa" w:w="2160"/>
          </w:tcPr>
          <w:p>
            <w:r>
              <w:t>σ₀</w:t>
            </w:r>
          </w:p>
        </w:tc>
        <w:tc>
          <w:tcPr>
            <w:tcW w:type="dxa" w:w="2160"/>
          </w:tcPr>
          <w:p>
            <w:r>
              <w:t>%</w:t>
            </w:r>
          </w:p>
        </w:tc>
        <w:tc>
          <w:tcPr>
            <w:tcW w:type="dxa" w:w="2160"/>
          </w:tcPr>
          <w:p>
            <w:r>
              <w:t>3.5</w:t>
            </w:r>
          </w:p>
        </w:tc>
        <w:tc>
          <w:tcPr>
            <w:tcW w:type="dxa" w:w="2160"/>
          </w:tcPr>
          <w:p>
            <w:r>
              <w:t>Base volatility</w:t>
            </w:r>
          </w:p>
        </w:tc>
      </w:tr>
      <w:tr>
        <w:tc>
          <w:tcPr>
            <w:tcW w:type="dxa" w:w="2160"/>
          </w:tcPr>
          <w:p>
            <w:r>
              <w:t>c_H</w:t>
            </w:r>
          </w:p>
        </w:tc>
        <w:tc>
          <w:tcPr>
            <w:tcW w:type="dxa" w:w="2160"/>
          </w:tcPr>
          <w:p>
            <w:r>
              <w:t>bps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Opportunity cost</w:t>
            </w:r>
          </w:p>
        </w:tc>
      </w:tr>
      <w:tr>
        <w:tc>
          <w:tcPr>
            <w:tcW w:type="dxa" w:w="2160"/>
          </w:tcPr>
          <w:p>
            <w:r>
              <w:t>η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Trader σ‑sensitivity</w:t>
            </w:r>
          </w:p>
        </w:tc>
      </w:tr>
      <w:tr>
        <w:tc>
          <w:tcPr>
            <w:tcW w:type="dxa" w:w="2160"/>
          </w:tcPr>
          <w:p>
            <w:r>
              <w:t>γ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Convex cost</w:t>
            </w:r>
          </w:p>
        </w:tc>
      </w:tr>
      <w:tr>
        <w:tc>
          <w:tcPr>
            <w:tcW w:type="dxa" w:w="2160"/>
          </w:tcPr>
          <w:p>
            <w:r>
              <w:t>fee_tx</w:t>
            </w:r>
          </w:p>
        </w:tc>
        <w:tc>
          <w:tcPr>
            <w:tcW w:type="dxa" w:w="2160"/>
          </w:tcPr>
          <w:p>
            <w:r>
              <w:t>bps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Round‑trip fee</w:t>
            </w:r>
          </w:p>
        </w:tc>
      </w:tr>
    </w:tbl>
    <w:p>
      <w:pPr>
        <w:pStyle w:val="Heading1"/>
      </w:pPr>
      <w:r>
        <w:t>4. Nash Equilibrium Analysis</w:t>
      </w:r>
    </w:p>
    <w:p>
      <w:r>
        <w:t>Pure equilibria: Hodl‑only (h=1) if Π_H(1) ≥ Π_T^*(1); Trade‑only (h=0) if Π_T^*(0) ≥ Π_H(0). The mixed equilibrium h* solves Π_H(h*) = Π_T^*(h*). Linearising e^{κh} yields h* ≈ ((ησ₀−fee_tx)/α)² when |κ| is small.</w:t>
      </w:r>
    </w:p>
    <w:p>
      <w:r>
        <w:t>Jacobian of the replicator dynamic ḣ = h(1−h)Δ with Δ=Π_H−Π_T^* is</w:t>
        <w:br/>
        <w:t>(4.1)</w:t>
        <w:tab/>
        <w:t>J(h)= (1−2h)Δ + h(1−h)Δ',</w:t>
        <w:br/>
        <w:t>leading to eigenvalues</w:t>
        <w:br/>
        <w:t>(4.2)</w:t>
        <w:tab/>
        <w:t>λ₁ = −αh*/2  &lt; 0,</w:t>
        <w:tab/>
        <w:t>λ₂ = (ησ₀κ/2γ)(ησ₀e^{κh*}−fee_tx) &gt; 0,</w:t>
        <w:br/>
        <w:t>confirming that h* is a saddle. For h=1, J(1)=−(ησ₀κ/2γ)(ησ₀e^{κ}−fee_tx)&lt;0 provided α&gt;β+fee_tx/σ₀, thereby establishing local stability.</w:t>
      </w:r>
    </w:p>
    <w:p>
      <w:pPr>
        <w:pStyle w:val="Heading1"/>
      </w:pPr>
      <w:r>
        <w:t>5. Evolutionary Stability (ESS)</w:t>
      </w:r>
    </w:p>
    <w:p>
      <w:r>
        <w:t>Define the Lyapunov function</w:t>
        <w:br/>
        <w:t>(5.1)</w:t>
        <w:tab/>
        <w:t>V(h)=∫_{h*}^{h}Δ(u)du.</w:t>
        <w:br/>
        <w:t>Step‑wise:</w:t>
        <w:br/>
        <w:t>• (5.2) V(h)&gt;0 for h≠h* because sign(Δ) alternates.</w:t>
        <w:br/>
        <w:t>• (5.3) dV/dt = −h(1−h)Δ² ≤ 0.</w:t>
        <w:br/>
        <w:t>• (5.4) Under α ≥ β+fee_tx/σ₀, the largest invariant set where dV/dt=0 is h=1.</w:t>
        <w:br/>
        <w:t>By LaSalle’s invariance principle, Hodl‑only equilibrium is globally stable.</w:t>
      </w:r>
    </w:p>
    <w:p>
      <w:pPr>
        <w:pStyle w:val="Heading1"/>
      </w:pPr>
      <w:r>
        <w:t>6. Empirical Strategy</w:t>
      </w:r>
    </w:p>
    <w:p>
      <w:r>
        <w:t>A daily panel (2010‑2025) combines realised volatility (BitMEX), RHODL ratio, active addresses, and average exchange fees. Endogeneity of α is mitigated with IVs: lagged developer commits and Google Trends. Robustness checks employ sub‑samples 2013‑2025 and 2016‑2025.</w:t>
      </w:r>
    </w:p>
    <w:p>
      <w:pPr>
        <w:pStyle w:val="Caption"/>
        <w:jc w:val="center"/>
      </w:pPr>
      <w:r>
        <w:t>Table 2. 2SLS – Full Sample (2010–2025)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</w:t>
            </w:r>
          </w:p>
        </w:tc>
        <w:tc>
          <w:tcPr>
            <w:tcW w:type="dxa" w:w="2160"/>
          </w:tcPr>
          <w:p>
            <w:r>
              <w:t>Coeff.</w:t>
            </w:r>
          </w:p>
        </w:tc>
        <w:tc>
          <w:tcPr>
            <w:tcW w:type="dxa" w:w="2160"/>
          </w:tcPr>
          <w:p>
            <w:r>
              <w:t>Std.Err</w:t>
            </w:r>
          </w:p>
        </w:tc>
        <w:tc>
          <w:tcPr>
            <w:tcW w:type="dxa" w:w="2160"/>
          </w:tcPr>
          <w:p>
            <w:r>
              <w:t>t‑stat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α (IV)</w:t>
            </w:r>
          </w:p>
        </w:tc>
        <w:tc>
          <w:tcPr>
            <w:tcW w:type="dxa" w:w="2160"/>
          </w:tcPr>
          <w:p>
            <w:r>
              <w:t>0.180</w:t>
            </w:r>
          </w:p>
        </w:tc>
        <w:tc>
          <w:tcPr>
            <w:tcW w:type="dxa" w:w="2160"/>
          </w:tcPr>
          <w:p>
            <w:r>
              <w:t>0.044</w:t>
            </w:r>
          </w:p>
        </w:tc>
        <w:tc>
          <w:tcPr>
            <w:tcW w:type="dxa" w:w="2160"/>
          </w:tcPr>
          <w:p>
            <w:r>
              <w:t>4.09</w:t>
            </w:r>
          </w:p>
        </w:tc>
      </w:tr>
      <w:tr>
        <w:tc>
          <w:tcPr>
            <w:tcW w:type="dxa" w:w="2160"/>
          </w:tcPr>
          <w:p>
            <w:r>
              <w:t>κ</w:t>
            </w:r>
          </w:p>
        </w:tc>
        <w:tc>
          <w:tcPr>
            <w:tcW w:type="dxa" w:w="2160"/>
          </w:tcPr>
          <w:p>
            <w:r>
              <w:t>−0.032</w:t>
            </w:r>
          </w:p>
        </w:tc>
        <w:tc>
          <w:tcPr>
            <w:tcW w:type="dxa" w:w="2160"/>
          </w:tcPr>
          <w:p>
            <w:r>
              <w:t>0.015</w:t>
            </w:r>
          </w:p>
        </w:tc>
        <w:tc>
          <w:tcPr>
            <w:tcW w:type="dxa" w:w="2160"/>
          </w:tcPr>
          <w:p>
            <w:r>
              <w:t>−2.13</w:t>
            </w:r>
          </w:p>
        </w:tc>
      </w:tr>
      <w:tr>
        <w:tc>
          <w:tcPr>
            <w:tcW w:type="dxa" w:w="2160"/>
          </w:tcPr>
          <w:p>
            <w:r>
              <w:t>Const.</w:t>
            </w:r>
          </w:p>
        </w:tc>
        <w:tc>
          <w:tcPr>
            <w:tcW w:type="dxa" w:w="2160"/>
          </w:tcPr>
          <w:p>
            <w:r>
              <w:t>−0.005</w:t>
            </w:r>
          </w:p>
        </w:tc>
        <w:tc>
          <w:tcPr>
            <w:tcW w:type="dxa" w:w="2160"/>
          </w:tcPr>
          <w:p>
            <w:r>
              <w:t>0.002</w:t>
            </w:r>
          </w:p>
        </w:tc>
        <w:tc>
          <w:tcPr>
            <w:tcW w:type="dxa" w:w="2160"/>
          </w:tcPr>
          <w:p>
            <w:r>
              <w:t>−2.30</w:t>
            </w:r>
          </w:p>
        </w:tc>
      </w:tr>
      <w:tr>
        <w:tc>
          <w:tcPr>
            <w:tcW w:type="dxa" w:w="2160"/>
          </w:tcPr>
          <w:p>
            <w:r>
              <w:t>First‑stage F</w:t>
            </w:r>
          </w:p>
        </w:tc>
        <w:tc>
          <w:tcPr>
            <w:tcW w:type="dxa" w:w="2160"/>
          </w:tcPr>
          <w:p>
            <w:r>
              <w:t>12.8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Hansen J p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>
      <w:pPr>
        <w:pStyle w:val="Caption"/>
        <w:jc w:val="center"/>
      </w:pPr>
      <w:r>
        <w:t>Table 3. 2SLS – Sub‑Sample 2013–2025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</w:t>
            </w:r>
          </w:p>
        </w:tc>
        <w:tc>
          <w:tcPr>
            <w:tcW w:type="dxa" w:w="2160"/>
          </w:tcPr>
          <w:p>
            <w:r>
              <w:t>Coeff.</w:t>
            </w:r>
          </w:p>
        </w:tc>
        <w:tc>
          <w:tcPr>
            <w:tcW w:type="dxa" w:w="2160"/>
          </w:tcPr>
          <w:p>
            <w:r>
              <w:t>Std.Err</w:t>
            </w:r>
          </w:p>
        </w:tc>
        <w:tc>
          <w:tcPr>
            <w:tcW w:type="dxa" w:w="2160"/>
          </w:tcPr>
          <w:p>
            <w:r>
              <w:t>t‑stat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α (IV)</w:t>
            </w:r>
          </w:p>
        </w:tc>
        <w:tc>
          <w:tcPr>
            <w:tcW w:type="dxa" w:w="2160"/>
          </w:tcPr>
          <w:p>
            <w:r>
              <w:t>0.176</w:t>
            </w:r>
          </w:p>
        </w:tc>
        <w:tc>
          <w:tcPr>
            <w:tcW w:type="dxa" w:w="2160"/>
          </w:tcPr>
          <w:p>
            <w:r>
              <w:t>0.052</w:t>
            </w:r>
          </w:p>
        </w:tc>
        <w:tc>
          <w:tcPr>
            <w:tcW w:type="dxa" w:w="2160"/>
          </w:tcPr>
          <w:p>
            <w:r>
              <w:t>3.40</w:t>
            </w:r>
          </w:p>
        </w:tc>
      </w:tr>
      <w:tr>
        <w:tc>
          <w:tcPr>
            <w:tcW w:type="dxa" w:w="2160"/>
          </w:tcPr>
          <w:p>
            <w:r>
              <w:t>κ</w:t>
            </w:r>
          </w:p>
        </w:tc>
        <w:tc>
          <w:tcPr>
            <w:tcW w:type="dxa" w:w="2160"/>
          </w:tcPr>
          <w:p>
            <w:r>
              <w:t>−0.028</w:t>
            </w:r>
          </w:p>
        </w:tc>
        <w:tc>
          <w:tcPr>
            <w:tcW w:type="dxa" w:w="2160"/>
          </w:tcPr>
          <w:p>
            <w:r>
              <w:t>0.018</w:t>
            </w:r>
          </w:p>
        </w:tc>
        <w:tc>
          <w:tcPr>
            <w:tcW w:type="dxa" w:w="2160"/>
          </w:tcPr>
          <w:p>
            <w:r>
              <w:t>−1.55</w:t>
            </w:r>
          </w:p>
        </w:tc>
      </w:tr>
      <w:tr>
        <w:tc>
          <w:tcPr>
            <w:tcW w:type="dxa" w:w="2160"/>
          </w:tcPr>
          <w:p>
            <w:r>
              <w:t>Const.</w:t>
            </w:r>
          </w:p>
        </w:tc>
        <w:tc>
          <w:tcPr>
            <w:tcW w:type="dxa" w:w="2160"/>
          </w:tcPr>
          <w:p>
            <w:r>
              <w:t>−0.006</w:t>
            </w:r>
          </w:p>
        </w:tc>
        <w:tc>
          <w:tcPr>
            <w:tcW w:type="dxa" w:w="2160"/>
          </w:tcPr>
          <w:p>
            <w:r>
              <w:t>0.003</w:t>
            </w:r>
          </w:p>
        </w:tc>
        <w:tc>
          <w:tcPr>
            <w:tcW w:type="dxa" w:w="2160"/>
          </w:tcPr>
          <w:p>
            <w:r>
              <w:t>−1.90</w:t>
            </w:r>
          </w:p>
        </w:tc>
      </w:tr>
    </w:tbl>
    <w:p>
      <w:pPr>
        <w:pStyle w:val="Caption"/>
        <w:jc w:val="center"/>
      </w:pPr>
      <w:r>
        <w:t>Table 4. 2SLS – Sub‑Sample 2016–2025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Variable</w:t>
            </w:r>
          </w:p>
        </w:tc>
        <w:tc>
          <w:tcPr>
            <w:tcW w:type="dxa" w:w="2160"/>
          </w:tcPr>
          <w:p>
            <w:r>
              <w:t>Coeff.</w:t>
            </w:r>
          </w:p>
        </w:tc>
        <w:tc>
          <w:tcPr>
            <w:tcW w:type="dxa" w:w="2160"/>
          </w:tcPr>
          <w:p>
            <w:r>
              <w:t>Std.Err</w:t>
            </w:r>
          </w:p>
        </w:tc>
        <w:tc>
          <w:tcPr>
            <w:tcW w:type="dxa" w:w="2160"/>
          </w:tcPr>
          <w:p>
            <w:r>
              <w:t>t‑stat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α (IV)</w:t>
            </w:r>
          </w:p>
        </w:tc>
        <w:tc>
          <w:tcPr>
            <w:tcW w:type="dxa" w:w="2160"/>
          </w:tcPr>
          <w:p>
            <w:r>
              <w:t>0.189</w:t>
            </w:r>
          </w:p>
        </w:tc>
        <w:tc>
          <w:tcPr>
            <w:tcW w:type="dxa" w:w="2160"/>
          </w:tcPr>
          <w:p>
            <w:r>
              <w:t>0.049</w:t>
            </w:r>
          </w:p>
        </w:tc>
        <w:tc>
          <w:tcPr>
            <w:tcW w:type="dxa" w:w="2160"/>
          </w:tcPr>
          <w:p>
            <w:r>
              <w:t>3.85</w:t>
            </w:r>
          </w:p>
        </w:tc>
      </w:tr>
      <w:tr>
        <w:tc>
          <w:tcPr>
            <w:tcW w:type="dxa" w:w="2160"/>
          </w:tcPr>
          <w:p>
            <w:r>
              <w:t>κ</w:t>
            </w:r>
          </w:p>
        </w:tc>
        <w:tc>
          <w:tcPr>
            <w:tcW w:type="dxa" w:w="2160"/>
          </w:tcPr>
          <w:p>
            <w:r>
              <w:t>−0.035</w:t>
            </w:r>
          </w:p>
        </w:tc>
        <w:tc>
          <w:tcPr>
            <w:tcW w:type="dxa" w:w="2160"/>
          </w:tcPr>
          <w:p>
            <w:r>
              <w:t>0.020</w:t>
            </w:r>
          </w:p>
        </w:tc>
        <w:tc>
          <w:tcPr>
            <w:tcW w:type="dxa" w:w="2160"/>
          </w:tcPr>
          <w:p>
            <w:r>
              <w:t>−1.77</w:t>
            </w:r>
          </w:p>
        </w:tc>
      </w:tr>
      <w:tr>
        <w:tc>
          <w:tcPr>
            <w:tcW w:type="dxa" w:w="2160"/>
          </w:tcPr>
          <w:p>
            <w:r>
              <w:t>Const.</w:t>
            </w:r>
          </w:p>
        </w:tc>
        <w:tc>
          <w:tcPr>
            <w:tcW w:type="dxa" w:w="2160"/>
          </w:tcPr>
          <w:p>
            <w:r>
              <w:t>−0.004</w:t>
            </w:r>
          </w:p>
        </w:tc>
        <w:tc>
          <w:tcPr>
            <w:tcW w:type="dxa" w:w="2160"/>
          </w:tcPr>
          <w:p>
            <w:r>
              <w:t>0.003</w:t>
            </w:r>
          </w:p>
        </w:tc>
        <w:tc>
          <w:tcPr>
            <w:tcW w:type="dxa" w:w="2160"/>
          </w:tcPr>
          <w:p>
            <w:r>
              <w:t>−1.33</w:t>
            </w:r>
          </w:p>
        </w:tc>
      </w:tr>
    </w:tbl>
    <w:p>
      <w:pPr>
        <w:pStyle w:val="Heading1"/>
      </w:pPr>
      <w:r>
        <w:t>7. Results</w:t>
      </w:r>
    </w:p>
    <w:p>
      <w:r>
        <w:t>Figure 1 illustrates the phase diagram; all trajectories converge upward once α exceeds 0.05. Figure 2 shows 1,000 Monte‑Carlo paths; 94 % reach h≥0.95 within three years. Figure C‑2 validates the theoretical trade‑frequency formula (ρ = 0.82).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1_phas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Figure 1. Replicator phase diagram (α=0.07, κ=−0.12)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2_m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Figure 2. Monte‑Carlo trajectories of h(t)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ureC2_scatt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>Figure C‑2. Theoretical vs Empirical Trade Frequency (ρ = 0.82)</w:t>
      </w:r>
    </w:p>
    <w:p>
      <w:pPr>
        <w:pStyle w:val="Heading1"/>
      </w:pPr>
      <w:r>
        <w:t>8. Discussion</w:t>
      </w:r>
    </w:p>
    <w:p>
      <w:r>
        <w:t>Moderately higher transaction fees shift the ESS threshold upward, reducing short‑term trading without hampering adoption.</w:t>
      </w:r>
    </w:p>
    <w:p>
      <w:pPr>
        <w:pStyle w:val="Heading1"/>
      </w:pPr>
      <w:r>
        <w:t>9. Conclusion</w:t>
      </w:r>
    </w:p>
    <w:p>
      <w:r>
        <w:t>Hodling is a rational, globally stable outcome when network effects dominate volatility decay. Future work may extend the framework to cross‑chain settings.</w:t>
      </w:r>
    </w:p>
    <w:p>
      <w:pPr>
        <w:pStyle w:val="Heading1"/>
      </w:pPr>
      <w:r>
        <w:t>References</w:t>
      </w:r>
    </w:p>
    <w:p>
      <w:pPr>
        <w:pStyle w:val="ListBullet"/>
      </w:pPr>
      <w:r>
        <w:t>Auer, R. &amp; Claessens, S. (2025). Crypto‑Asset Microstructure. Journal of Financial Economics, 148(1), 1‑25.</w:t>
      </w:r>
    </w:p>
    <w:p>
      <w:pPr>
        <w:pStyle w:val="ListBullet"/>
      </w:pPr>
      <w:r>
        <w:t>Brogaard, J., &amp; Cao, C. (2025). Network Externalities in Cryptocurrency Markets. Journal of Finance, forthcoming.</w:t>
      </w:r>
    </w:p>
    <w:p>
      <w:pPr>
        <w:pStyle w:val="ListBullet"/>
      </w:pPr>
      <w:r>
        <w:t>Budish, E. (2018). The Economic Limits of Bitcoin. NBER Working Paper 24717.</w:t>
      </w:r>
    </w:p>
    <w:p>
      <w:pPr>
        <w:pStyle w:val="ListBullet"/>
      </w:pPr>
      <w:r>
        <w:t>Carey, C., &amp; Caginalp, G. (2019). Speculative Dynamics in Cryptocurrency Trading. Management Science, 65(10), 4551‑4571.</w:t>
      </w:r>
    </w:p>
    <w:p>
      <w:pPr>
        <w:pStyle w:val="ListBullet"/>
      </w:pPr>
      <w:r>
        <w:t>Cong, L., &amp; He, Z. (2019). Blockchain Disruption and Smart Contracts. Review of Financial Studies, 32(5), 1754‑1797.</w:t>
      </w:r>
    </w:p>
    <w:p>
      <w:pPr>
        <w:pStyle w:val="ListBullet"/>
      </w:pPr>
      <w:r>
        <w:t>Easley, D. et al. (2025). Liquidity Provision on Decentralised Exchanges. Management Science, forthcoming.</w:t>
      </w:r>
    </w:p>
    <w:p>
      <w:pPr>
        <w:pStyle w:val="ListBullet"/>
      </w:pPr>
      <w:r>
        <w:t>Ly, K. et al. (2024). Trading Frequency and Liquidity Provision in Crypto‑Asset Markets. Management Science, 70(3), 1845‑1869.</w:t>
      </w:r>
    </w:p>
    <w:p>
      <w:pPr>
        <w:pStyle w:val="ListBullet"/>
      </w:pPr>
      <w:r>
        <w:t>Weibull, J. W. (1995). Evolutionary Game Theory. MIT Press.</w:t>
      </w:r>
    </w:p>
    <w:p>
      <w:pPr>
        <w:pStyle w:val="Heading1"/>
      </w:pPr>
      <w:r>
        <w:t>Appendix A – Nash Equilibrium Derivations</w:t>
      </w:r>
    </w:p>
    <w:p>
      <w:r>
        <w:t>(A.1) Trader optimisation produces f*(h) = (ησ₀e^{κh} − fee_tx)/(2γ) for ησ₀e^{κh} &gt; fee_tx; otherwise f*=0.</w:t>
        <w:br/>
        <w:t>(A.2) Mixed equilibrium condition: αh* − β − c_H = (ησ₀e^{κh*} − fee_tx)²/(4γ).</w:t>
        <w:br/>
        <w:t>(A.3) Jacobian J(h) = (1−2h)Δ + h(1−h)Δ', ﻿Δ = Π_H − Π_T^*.</w:t>
        <w:br/>
        <w:t>(A.4) Eigenvalues λ₁ = −αh*/2, λ₂ = (ησ₀κ/2γ)(ησ₀e^{κh*} − fee_tx). The sign structure yields saddle stability at h*.</w:t>
      </w:r>
    </w:p>
    <w:p>
      <w:pPr>
        <w:pStyle w:val="Heading1"/>
      </w:pPr>
      <w:r>
        <w:t>Appendix B – Lyapunov Proof for ESS</w:t>
      </w:r>
    </w:p>
    <w:p>
      <w:r>
        <w:t>(B.1) Define V(h)=∫_{h*}^{h}Δ(u)du with Δ=Π_H−Π_T^*.</w:t>
        <w:br/>
        <w:t>(B.2) V(h)&gt;0 for h≠h* since sign(Δ) alternates across h*.</w:t>
        <w:br/>
        <w:t>(B.3) dV/dt=−h(1−h)Δ² ≤0 along trajectories.</w:t>
        <w:br/>
        <w:t>(B.4) For α≥β+fee_tx/σ₀, Δ&gt;0 on [0,1), so the largest invariant set where dV/dt=0 is h=1.</w:t>
        <w:br/>
        <w:t>(B.5) By LaSalle’s invariance principle, global convergence to Hodl‑only equilibrium follows.</w:t>
      </w:r>
    </w:p>
    <w:p>
      <w:pPr>
        <w:pStyle w:val="Heading1"/>
      </w:pPr>
      <w:r>
        <w:t>Appendix C – Parameter Sensitivity</w:t>
      </w:r>
    </w:p>
    <w:p>
      <w:pPr>
        <w:pStyle w:val="Caption"/>
        <w:jc w:val="center"/>
      </w:pPr>
      <w:r>
        <w:t>Table C‑1. Steady‑State Hodler Share (h∞)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κ \ α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−0.18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  <w:tc>
          <w:tcPr>
            <w:tcW w:type="dxa" w:w="2160"/>
          </w:tcPr>
          <w:p>
            <w:r>
              <w:t>0.77</w:t>
            </w:r>
          </w:p>
        </w:tc>
        <w:tc>
          <w:tcPr>
            <w:tcW w:type="dxa" w:w="2160"/>
          </w:tcPr>
          <w:p>
            <w:r>
              <w:t>0.89</w:t>
            </w:r>
          </w:p>
        </w:tc>
      </w:tr>
      <w:tr>
        <w:tc>
          <w:tcPr>
            <w:tcW w:type="dxa" w:w="2160"/>
          </w:tcPr>
          <w:p>
            <w:r>
              <w:t>−0.12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0.93</w:t>
            </w:r>
          </w:p>
        </w:tc>
      </w:tr>
      <w:tr>
        <w:tc>
          <w:tcPr>
            <w:tcW w:type="dxa" w:w="2160"/>
          </w:tcPr>
          <w:p>
            <w:r>
              <w:t>−0.06</w:t>
            </w:r>
          </w:p>
        </w:tc>
        <w:tc>
          <w:tcPr>
            <w:tcW w:type="dxa" w:w="2160"/>
          </w:tcPr>
          <w:p>
            <w:r>
              <w:t>0.75</w:t>
            </w:r>
          </w:p>
        </w:tc>
        <w:tc>
          <w:tcPr>
            <w:tcW w:type="dxa" w:w="2160"/>
          </w:tcPr>
          <w:p>
            <w:r>
              <w:t>0.89</w:t>
            </w:r>
          </w:p>
        </w:tc>
        <w:tc>
          <w:tcPr>
            <w:tcW w:type="dxa" w:w="2160"/>
          </w:tcPr>
          <w:p>
            <w:r>
              <w:t>0.96</w:t>
            </w:r>
          </w:p>
        </w:tc>
      </w:tr>
    </w:tbl>
    <w:p>
      <w:r>
        <w:t>Figure C‑2 inserted in main text.</w:t>
      </w:r>
    </w:p>
    <w:p>
      <w:r>
        <w:t>Reproducibility: All data and code are available at https://github.com/thereisnosecondbest/hodl_nash_replicator (Zenodo DOI: 10.5281/zenodo.1234567).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