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94" w:rsidRDefault="00F05194" w:rsidP="00F05194">
      <w:r>
        <w:t xml:space="preserve">1. </w:t>
      </w:r>
      <w:r w:rsidR="00DA4167">
        <w:t>Wspólnie</w:t>
      </w:r>
      <w:r>
        <w:t xml:space="preserve"> – tworzenie modelu</w:t>
      </w:r>
    </w:p>
    <w:p w:rsidR="00F05194" w:rsidRDefault="00DA4167" w:rsidP="00DA4167">
      <w:pPr>
        <w:tabs>
          <w:tab w:val="center" w:pos="4536"/>
        </w:tabs>
      </w:pPr>
      <w:r>
        <w:t xml:space="preserve">2. </w:t>
      </w:r>
      <w:r w:rsidR="00F05194">
        <w:t xml:space="preserve">Wielgosz  + Kaplińska– </w:t>
      </w:r>
      <w:r>
        <w:t>ARMAX</w:t>
      </w:r>
    </w:p>
    <w:p w:rsidR="00F05194" w:rsidRDefault="00DA4167" w:rsidP="00F05194">
      <w:r>
        <w:t xml:space="preserve">3. </w:t>
      </w:r>
      <w:proofErr w:type="spellStart"/>
      <w:r>
        <w:t>Sujka</w:t>
      </w:r>
      <w:proofErr w:type="spellEnd"/>
      <w:r>
        <w:t xml:space="preserve"> i Sobiesiak - ARMA</w:t>
      </w:r>
    </w:p>
    <w:p w:rsidR="00F05194" w:rsidRDefault="00DA4167" w:rsidP="00F05194">
      <w:r>
        <w:br/>
        <w:t>Wstępna literatura:</w:t>
      </w:r>
    </w:p>
    <w:p w:rsidR="00F05194" w:rsidRDefault="00F05194" w:rsidP="00F05194">
      <w:r>
        <w:t>[1] Lipski J.: Napędy sterowanie hydrauliczne. WKŁ, Warszawa (1977)</w:t>
      </w:r>
      <w:r w:rsidR="008E198E">
        <w:br/>
      </w:r>
      <w:r>
        <w:t xml:space="preserve">[2] </w:t>
      </w:r>
      <w:proofErr w:type="spellStart"/>
      <w:r>
        <w:t>Mednis</w:t>
      </w:r>
      <w:proofErr w:type="spellEnd"/>
      <w:r>
        <w:t xml:space="preserve"> W.: Laboratorium hydraulicznych napędów i ich sterowania Warszawa (1996)</w:t>
      </w:r>
      <w:r w:rsidR="008E198E">
        <w:br/>
      </w:r>
      <w:r>
        <w:t xml:space="preserve">[3] Olszewski M., </w:t>
      </w:r>
      <w:proofErr w:type="spellStart"/>
      <w:r>
        <w:t>Mednis</w:t>
      </w:r>
      <w:proofErr w:type="spellEnd"/>
      <w:r>
        <w:t xml:space="preserve"> W., Winnicki A., Wiśniewski P.: Niektóre ograniczenia zastosowania przetwornic częstotliwości w napędach elektrohydraulicznych. Konferencja Naukowo - Techniczna „Automatyzacja - Nowości i Perspektywy” AUTOMATION'2006, Warszawa (2006), s. 432-438.</w:t>
      </w:r>
      <w:r w:rsidR="008E198E">
        <w:br/>
      </w:r>
      <w:r>
        <w:t xml:space="preserve">[4] </w:t>
      </w:r>
      <w:proofErr w:type="spellStart"/>
      <w:r>
        <w:t>Pizoń</w:t>
      </w:r>
      <w:proofErr w:type="spellEnd"/>
      <w:r>
        <w:t xml:space="preserve"> A.: Elektrohydrauliczne analogowe i cyfrowe układy automatyki. WNT, Warszawa (1995)</w:t>
      </w:r>
      <w:r w:rsidR="008E198E">
        <w:br/>
      </w:r>
      <w:r>
        <w:t xml:space="preserve">[5] </w:t>
      </w:r>
      <w:proofErr w:type="spellStart"/>
      <w:r>
        <w:t>Pizoń</w:t>
      </w:r>
      <w:proofErr w:type="spellEnd"/>
      <w:r>
        <w:t xml:space="preserve"> A.: Hydrauliczne i elektrohydrauliczne układy sterowania i  WNT, Warszawa (1987)</w:t>
      </w:r>
      <w:r w:rsidR="008E198E">
        <w:br/>
      </w:r>
      <w:r>
        <w:t xml:space="preserve">[6]  A.: Opracowanie, wykonanie, oprogramowanie, uruchomienie i badanie właściwości regulacyjnych elektrohydraulicznego serwonapędu </w:t>
      </w:r>
      <w:proofErr w:type="spellStart"/>
      <w:r>
        <w:t>dławieniowego</w:t>
      </w:r>
      <w:proofErr w:type="spellEnd"/>
      <w:r>
        <w:t>. Praca dyplomowa, Instytut Automatyki i Robotyk PW, Warszawa (2003)|</w:t>
      </w:r>
    </w:p>
    <w:p w:rsidR="007B7ACD" w:rsidRDefault="007B7ACD"/>
    <w:sectPr w:rsidR="007B7ACD" w:rsidSect="007B7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05194"/>
    <w:rsid w:val="005A708E"/>
    <w:rsid w:val="007B7ACD"/>
    <w:rsid w:val="008E198E"/>
    <w:rsid w:val="009E3132"/>
    <w:rsid w:val="00DA4167"/>
    <w:rsid w:val="00EB1758"/>
    <w:rsid w:val="00F05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194"/>
  </w:style>
  <w:style w:type="paragraph" w:styleId="Nagwek1">
    <w:name w:val="heading 1"/>
    <w:basedOn w:val="Normalny"/>
    <w:next w:val="Normalny"/>
    <w:link w:val="Nagwek1Znak"/>
    <w:uiPriority w:val="9"/>
    <w:qFormat/>
    <w:rsid w:val="009E3132"/>
    <w:pPr>
      <w:keepNext/>
      <w:keepLines/>
      <w:spacing w:before="480" w:after="0"/>
      <w:outlineLvl w:val="0"/>
    </w:pPr>
    <w:rPr>
      <w:rFonts w:ascii="Times New Roman" w:eastAsia="Calibri" w:hAnsi="Times New Roman" w:cs="Calibri"/>
      <w:b/>
      <w:bCs/>
      <w:color w:val="000000" w:themeColor="text1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3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3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3132"/>
    <w:rPr>
      <w:rFonts w:ascii="Times New Roman" w:eastAsia="Calibri" w:hAnsi="Times New Roman" w:cs="Calibri"/>
      <w:b/>
      <w:bCs/>
      <w:color w:val="000000" w:themeColor="text1"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31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E3132"/>
    <w:pPr>
      <w:spacing w:after="100"/>
    </w:pPr>
    <w:rPr>
      <w:rFonts w:eastAsiaTheme="minorEastAsia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E3132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9E3132"/>
    <w:pPr>
      <w:spacing w:after="100"/>
      <w:ind w:left="440"/>
    </w:pPr>
    <w:rPr>
      <w:rFonts w:eastAsiaTheme="minorEastAsia"/>
    </w:rPr>
  </w:style>
  <w:style w:type="paragraph" w:styleId="Bezodstpw">
    <w:name w:val="No Spacing"/>
    <w:uiPriority w:val="1"/>
    <w:qFormat/>
    <w:rsid w:val="009E3132"/>
    <w:pPr>
      <w:spacing w:after="0" w:line="240" w:lineRule="auto"/>
    </w:pPr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31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3</cp:revision>
  <dcterms:created xsi:type="dcterms:W3CDTF">2015-05-05T15:55:00Z</dcterms:created>
  <dcterms:modified xsi:type="dcterms:W3CDTF">2015-05-06T14:35:00Z</dcterms:modified>
</cp:coreProperties>
</file>