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Paslaugų kainynas 2026</w:t>
      </w:r>
    </w:p>
    <w:p>
      <w:pPr>
        <w:spacing w:after="120"/>
      </w:pPr>
      <w:r>
        <w:rPr>
          <w:i/>
          <w:iCs/>
          <w:color w:val="888888"/>
        </w:rPr>
        <w:t xml:space="preserve">Demonstracinis dokumentas mokymams. Visos kainos išgalvotos.</w:t>
      </w:r>
    </w:p>
    <w:p>
      <w:pPr>
        <w:pStyle w:val="Heading2"/>
      </w:pPr>
      <w:r>
        <w:t xml:space="preserve">Mėnesiniai priežiūros planai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4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Kaina/mėn.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Kam skirta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Kas įeina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Pradinis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1–5 darbuotojai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Pagrindinis palaikymas, el. paštas, atsarginės kopijos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Standartinis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6–20 darbuotojų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Viskas iš Pradinio + nuolatinė stebėsena, kibernetinis saugumas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Profesionalus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399 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21–50 darbuotojų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Viskas iš Standartinio + asmeninis vadybininkas, prioritetinis atsakas per 1 val.</w:t>
            </w:r>
          </w:p>
        </w:tc>
      </w:tr>
    </w:tbl>
    <w:p>
      <w:pPr>
        <w:pStyle w:val="Heading2"/>
      </w:pPr>
      <w:r>
        <w:t xml:space="preserve">Papildomos paslaugos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Paslauga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Kaina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Pastabos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Debesų migracija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 500 EUR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Vienkartinis projektas, priklauso nuo apimties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Darbuotojų saugumo mokymai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 EUR / grupė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Iki 15 dalyvių, 2 val. trukmė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Procesų automatizavimo konsultacija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EUR / val.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Pirmoji konsultacija nemokama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Skubus iškvietimas (ne plane)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 EUR / val.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 klientams be priežiūros plano</w:t>
            </w:r>
          </w:p>
        </w:tc>
      </w:tr>
    </w:tbl>
    <w:p>
      <w:pPr>
        <w:pStyle w:val="Heading2"/>
      </w:pPr>
      <w:r>
        <w:t xml:space="preserve">Nuolaidos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Metinė sutartis – du mėnesiai nemokamai (mokėti už 10, gauti 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pelno organizacijoms – 15% nuolaida visiems planams.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Rekomendacija – jei pristatote naujÄ klientą, gaunate vieną mėnesį – 50%.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Visos kainos be PVM. Sutartis nutraukiama pranešus prieš 30 dienų.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2026-06-03T14:25:52.559Z</dcterms:created>
  <dcterms:modified xsi:type="dcterms:W3CDTF">2026-06-03T14:25:52.559Z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