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3455"/>
      </w:tblGrid>
      <w:tr w:rsidR="00D8481D" w:rsidRPr="00D8481D" w14:paraId="0CCC6CE7" w14:textId="77777777" w:rsidTr="00D8481D">
        <w:trPr>
          <w:trHeight w:val="20"/>
          <w:tblHeader/>
        </w:trPr>
        <w:tc>
          <w:tcPr>
            <w:tcW w:w="8222" w:type="dxa"/>
            <w:gridSpan w:val="2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D0325C2" w14:textId="71EF4DB6" w:rsidR="00D8481D" w:rsidRPr="009336E0" w:rsidRDefault="009336E0" w:rsidP="00D8481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 w:colFirst="0" w:colLast="0"/>
            <w:r w:rsidRPr="009336E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Table 1. Cohort summary.</w:t>
            </w:r>
          </w:p>
        </w:tc>
      </w:tr>
      <w:tr w:rsidR="00D8481D" w:rsidRPr="00D8481D" w14:paraId="341409B3" w14:textId="77777777" w:rsidTr="009336E0">
        <w:trPr>
          <w:trHeight w:val="20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72D69B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3D05C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Overall</w:t>
            </w: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(N=199)</w:t>
            </w:r>
          </w:p>
        </w:tc>
      </w:tr>
      <w:tr w:rsidR="009336E0" w:rsidRPr="00D8481D" w14:paraId="7A92F9BA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C4E068" w14:textId="29C89C62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1E174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296C529B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83458F" w14:textId="692A95B0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107BDC" w14:textId="7ABA5A28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142 (71.4%)</w:t>
            </w:r>
          </w:p>
        </w:tc>
      </w:tr>
      <w:tr w:rsidR="009336E0" w:rsidRPr="00D8481D" w14:paraId="3EFC1A81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A9DA2D" w14:textId="58E7D515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23D054" w14:textId="3077541F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56 (28.1%)</w:t>
            </w:r>
          </w:p>
        </w:tc>
      </w:tr>
      <w:tr w:rsidR="009336E0" w:rsidRPr="00D8481D" w14:paraId="7F6AAC24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891A798" w14:textId="5A264332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Prefer not to disclose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D75F2A" w14:textId="7DE269ED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9336E0" w:rsidRPr="00D8481D" w14:paraId="1149F70A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A5AD1C5" w14:textId="01A8A29B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Age</w:t>
            </w:r>
            <w:r w:rsidRPr="009336E0">
              <w:rPr>
                <w:rStyle w:val="varunits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 (years)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E5399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7D2F4B06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970808" w14:textId="7938E6BD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1C0D1A" w14:textId="642DB796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56.0 [44.0, 65.0]</w:t>
            </w:r>
          </w:p>
        </w:tc>
      </w:tr>
      <w:tr w:rsidR="009336E0" w:rsidRPr="00D8481D" w14:paraId="2637224C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A5E284F" w14:textId="2846CBF5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Ethnicity,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3D0D62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496A68D2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2B9234" w14:textId="2A8B0220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Asian/Asian British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4B181" w14:textId="10A1F813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2 (1.0%)</w:t>
            </w:r>
          </w:p>
        </w:tc>
      </w:tr>
      <w:tr w:rsidR="009336E0" w:rsidRPr="00D8481D" w14:paraId="1C235305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441AA8" w14:textId="6BBE3889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Black/African/Caribbean/Black British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BF54C1" w14:textId="3CAF6CB9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9336E0" w:rsidRPr="00D8481D" w14:paraId="67D235E6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34B7AB" w14:textId="3BC24946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Caucasian/White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6CE3A" w14:textId="394B7300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188 (94.5%)</w:t>
            </w:r>
          </w:p>
        </w:tc>
      </w:tr>
      <w:tr w:rsidR="009336E0" w:rsidRPr="00D8481D" w14:paraId="1FEE53C4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6AA68E" w14:textId="54EA2180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Mixed/multiple ethnic groups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843B93" w14:textId="5CC464C6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4 (2.0%)</w:t>
            </w:r>
          </w:p>
        </w:tc>
      </w:tr>
      <w:tr w:rsidR="009336E0" w:rsidRPr="00D8481D" w14:paraId="4AA1F657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10461F" w14:textId="3DBC7A0F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5EC46B" w14:textId="5423B2DD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4 (2.0%)</w:t>
            </w:r>
          </w:p>
        </w:tc>
      </w:tr>
      <w:tr w:rsidR="009336E0" w:rsidRPr="00D8481D" w14:paraId="1C508590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2744DA8" w14:textId="04E05B7F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Condition,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D40F03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4D175597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20A3E1" w14:textId="061A4DDA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Cerebral Palsy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3BD2EA" w14:textId="5E6E7AA8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11 (5.5%)</w:t>
            </w:r>
          </w:p>
        </w:tc>
      </w:tr>
      <w:tr w:rsidR="009336E0" w:rsidRPr="00D8481D" w14:paraId="550AB472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3B61FE" w14:textId="58F42633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Fibromyalgia, Chronic fatigue syndrome, CRPS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2B0278" w14:textId="6DC146AA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15 (7.5%)</w:t>
            </w:r>
          </w:p>
        </w:tc>
      </w:tr>
      <w:tr w:rsidR="009336E0" w:rsidRPr="00D8481D" w14:paraId="093084F0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B9671D" w14:textId="41D5450D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Muscular dystrophy, neuromuscular diseases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B57403" w14:textId="403A59FA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22 (11.1%)</w:t>
            </w:r>
          </w:p>
        </w:tc>
      </w:tr>
      <w:tr w:rsidR="009336E0" w:rsidRPr="00D8481D" w14:paraId="091B0664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68A99B" w14:textId="5D816E2D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3F5E8C" w14:textId="67189C45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67 (33.7%)</w:t>
            </w:r>
          </w:p>
        </w:tc>
      </w:tr>
      <w:tr w:rsidR="009336E0" w:rsidRPr="00D8481D" w14:paraId="1F99D8CE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D0E286" w14:textId="656B5FC1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8F115D" w14:textId="74FB1F93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36 (18.1%)</w:t>
            </w:r>
          </w:p>
        </w:tc>
      </w:tr>
      <w:tr w:rsidR="009336E0" w:rsidRPr="00D8481D" w14:paraId="62175C19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1F1D44" w14:textId="0A604933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Spinal Cord Injury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B2B005" w14:textId="29136022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32 (16.1%)</w:t>
            </w:r>
          </w:p>
        </w:tc>
      </w:tr>
      <w:tr w:rsidR="009336E0" w:rsidRPr="00D8481D" w14:paraId="261F7CD1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351256" w14:textId="4437860A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Stroke, ataxia's, other (spina bifida, dystonia)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D37B8" w14:textId="18031F47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16 (8.0%)</w:t>
            </w:r>
          </w:p>
        </w:tc>
      </w:tr>
      <w:tr w:rsidR="009336E0" w:rsidRPr="00D8481D" w14:paraId="69185332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10411C7" w14:textId="35D757F3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Mobility Aid,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ACD72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4FE903E4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3C9BA0" w14:textId="76E46D7D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Manual wheelchair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B29A2" w14:textId="7BE6C0B6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35 (17.6%)</w:t>
            </w:r>
          </w:p>
        </w:tc>
      </w:tr>
      <w:tr w:rsidR="009336E0" w:rsidRPr="00D8481D" w14:paraId="1FE81B31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472C14" w14:textId="58DFD488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Power wheelchair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72C478" w14:textId="17435009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20 (10.1%)</w:t>
            </w:r>
          </w:p>
        </w:tc>
      </w:tr>
      <w:tr w:rsidR="009336E0" w:rsidRPr="00D8481D" w14:paraId="453762D3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667FA59" w14:textId="2EEC4F68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Mobility scooter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BF01C" w14:textId="6C349AE8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 (3.0%)</w:t>
            </w:r>
          </w:p>
        </w:tc>
      </w:tr>
      <w:tr w:rsidR="009336E0" w:rsidRPr="00D8481D" w14:paraId="0C4D7296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8D70DD8" w14:textId="3F2117CE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Zimmer frame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3B0576" w14:textId="1BF8EBEF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12 (6.0%)</w:t>
            </w:r>
          </w:p>
        </w:tc>
      </w:tr>
      <w:tr w:rsidR="009336E0" w:rsidRPr="00D8481D" w14:paraId="2332D159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319B91" w14:textId="3FA499A1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Walking sticks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29D090" w14:textId="179EE928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43 (21.6%)</w:t>
            </w:r>
          </w:p>
        </w:tc>
      </w:tr>
      <w:tr w:rsidR="009336E0" w:rsidRPr="00D8481D" w14:paraId="769C512E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95FD2D" w14:textId="6F71D257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Crutches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E89E0" w14:textId="04C41BF4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10 (5.0%)</w:t>
            </w:r>
          </w:p>
        </w:tc>
      </w:tr>
      <w:tr w:rsidR="009336E0" w:rsidRPr="00D8481D" w14:paraId="2969BDA2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E346BF" w14:textId="7781315C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E0319" w14:textId="3160D4BD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70 (35.2%)</w:t>
            </w:r>
          </w:p>
        </w:tc>
      </w:tr>
      <w:tr w:rsidR="009336E0" w:rsidRPr="00D8481D" w14:paraId="21BF6051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9CCABD" w14:textId="7E844594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1A9B2A" w14:textId="297DAA4E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3 (1.5%)</w:t>
            </w:r>
          </w:p>
        </w:tc>
      </w:tr>
      <w:tr w:rsidR="009336E0" w:rsidRPr="00D8481D" w14:paraId="07865290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DED6E5" w14:textId="4575A53D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Situation,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E6F65F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557085E9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1A0CB1" w14:textId="348EC8F1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Self-imposed isolation/shielded (considered at-risk)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65CCD9" w14:textId="23A38FE9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99 (49.7%)</w:t>
            </w:r>
          </w:p>
        </w:tc>
      </w:tr>
      <w:tr w:rsidR="009336E0" w:rsidRPr="00D8481D" w14:paraId="7BB0FF5F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CE16C2" w14:textId="7D9E9817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Isolation due to government legislation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BE584" w14:textId="7E4F7DF1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25 (12.6%)</w:t>
            </w:r>
          </w:p>
        </w:tc>
      </w:tr>
      <w:tr w:rsidR="009336E0" w:rsidRPr="00D8481D" w14:paraId="2D8F0DDD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041DA9E" w14:textId="6235AC23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lastRenderedPageBreak/>
              <w:t>Practising social distancing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CCA06" w14:textId="30F776AA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66 (33.2%)</w:t>
            </w:r>
          </w:p>
        </w:tc>
      </w:tr>
      <w:tr w:rsidR="009336E0" w:rsidRPr="00D8481D" w14:paraId="5B7B8727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13AE46" w14:textId="53FA0CB7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None of the above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11AF36" w14:textId="710618B1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5 (2.5%)</w:t>
            </w:r>
          </w:p>
        </w:tc>
      </w:tr>
      <w:tr w:rsidR="009336E0" w:rsidRPr="00D8481D" w14:paraId="3E3C812F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FCC986" w14:textId="7A00A221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BD1CC" w14:textId="3A33EA69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4 (2.0%)</w:t>
            </w:r>
          </w:p>
        </w:tc>
      </w:tr>
      <w:tr w:rsidR="009336E0" w:rsidRPr="00D8481D" w14:paraId="52360D3B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234CE81" w14:textId="4B57BCD6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336E0">
              <w:rPr>
                <w:rStyle w:val="varlabel"/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Government Response Stringency Index, n (%)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2E9F4" w14:textId="77777777" w:rsidR="009336E0" w:rsidRPr="009336E0" w:rsidRDefault="009336E0" w:rsidP="009336E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36E0" w:rsidRPr="00D8481D" w14:paraId="50C33AFE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EA6773B" w14:textId="574FDD70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64.35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391ABA" w14:textId="42EDDEC8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117 (58.8%)</w:t>
            </w:r>
          </w:p>
        </w:tc>
      </w:tr>
      <w:tr w:rsidR="009336E0" w:rsidRPr="00D8481D" w14:paraId="457346E7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BB11EA" w14:textId="21EDA184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67.59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B3092" w14:textId="7D3747A0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17 (8.5%)</w:t>
            </w:r>
          </w:p>
        </w:tc>
      </w:tr>
      <w:tr w:rsidR="009336E0" w:rsidRPr="00D8481D" w14:paraId="5FDD05E7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73DB0A" w14:textId="0DD7B4DE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69.44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707A4" w14:textId="3ACEC707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3 (1.5%)</w:t>
            </w:r>
          </w:p>
        </w:tc>
      </w:tr>
      <w:tr w:rsidR="009336E0" w:rsidRPr="00D8481D" w14:paraId="6D6B122F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385B44" w14:textId="4AD10DF5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69.91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120C35" w14:textId="210E00D7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5 (2.5%)</w:t>
            </w:r>
          </w:p>
        </w:tc>
      </w:tr>
      <w:tr w:rsidR="009336E0" w:rsidRPr="00D8481D" w14:paraId="706F365D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A59979" w14:textId="70099CA7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71.3</w:t>
            </w: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FD8F4C" w14:textId="0C1EFA4A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50 (25.1%)</w:t>
            </w:r>
          </w:p>
        </w:tc>
      </w:tr>
      <w:tr w:rsidR="009336E0" w:rsidRPr="00D8481D" w14:paraId="3D8BA5D0" w14:textId="77777777" w:rsidTr="009336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585933B" w14:textId="62C1F10D" w:rsidR="009336E0" w:rsidRPr="009336E0" w:rsidRDefault="009336E0" w:rsidP="009336E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73.15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6E2B9B" w14:textId="2B7C09C9" w:rsidR="009336E0" w:rsidRPr="009336E0" w:rsidRDefault="009336E0" w:rsidP="009336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336E0">
              <w:rPr>
                <w:rFonts w:ascii="Calibri" w:hAnsi="Calibri" w:cs="Arial"/>
                <w:color w:val="000000"/>
                <w:sz w:val="20"/>
                <w:szCs w:val="20"/>
              </w:rPr>
              <w:t>7 (3.5%)</w:t>
            </w:r>
          </w:p>
        </w:tc>
      </w:tr>
      <w:bookmarkEnd w:id="0"/>
    </w:tbl>
    <w:p w14:paraId="5F0D8113" w14:textId="77777777" w:rsidR="00C25198" w:rsidRPr="00D8481D" w:rsidRDefault="00C25198">
      <w:pPr>
        <w:rPr>
          <w:rFonts w:ascii="Times New Roman" w:hAnsi="Times New Roman" w:cs="Times New Roman"/>
          <w:sz w:val="20"/>
          <w:szCs w:val="20"/>
        </w:rPr>
      </w:pPr>
    </w:p>
    <w:sectPr w:rsidR="00C25198" w:rsidRPr="00D8481D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14"/>
    <w:rsid w:val="00105FE0"/>
    <w:rsid w:val="00112F19"/>
    <w:rsid w:val="001875E8"/>
    <w:rsid w:val="00266C84"/>
    <w:rsid w:val="004E6E46"/>
    <w:rsid w:val="00520B08"/>
    <w:rsid w:val="00521F14"/>
    <w:rsid w:val="005C1755"/>
    <w:rsid w:val="005C6926"/>
    <w:rsid w:val="00885C46"/>
    <w:rsid w:val="009336E0"/>
    <w:rsid w:val="00AE5744"/>
    <w:rsid w:val="00BB6719"/>
    <w:rsid w:val="00C25198"/>
    <w:rsid w:val="00CB568D"/>
    <w:rsid w:val="00D52660"/>
    <w:rsid w:val="00D8481D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EECF"/>
  <w14:defaultImageDpi w14:val="32767"/>
  <w15:chartTrackingRefBased/>
  <w15:docId w15:val="{ECEC266C-8178-C941-A456-8749355C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521F14"/>
  </w:style>
  <w:style w:type="character" w:customStyle="1" w:styleId="stratn">
    <w:name w:val="stratn"/>
    <w:basedOn w:val="DefaultParagraphFont"/>
    <w:rsid w:val="00521F14"/>
  </w:style>
  <w:style w:type="character" w:customStyle="1" w:styleId="varlabel">
    <w:name w:val="varlabel"/>
    <w:basedOn w:val="DefaultParagraphFont"/>
    <w:rsid w:val="00521F14"/>
  </w:style>
  <w:style w:type="character" w:customStyle="1" w:styleId="varunits">
    <w:name w:val="varunits"/>
    <w:basedOn w:val="DefaultParagraphFont"/>
    <w:rsid w:val="0052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4</cp:revision>
  <dcterms:created xsi:type="dcterms:W3CDTF">2021-02-11T15:18:00Z</dcterms:created>
  <dcterms:modified xsi:type="dcterms:W3CDTF">2021-02-15T09:58:00Z</dcterms:modified>
</cp:coreProperties>
</file>