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1F3864"/>
          <w:sz w:val="56"/>
          <w:szCs w:val="56"/>
        </w:rPr>
        <w:t xml:space="preserve">Technical Specification</w:t>
      </w:r>
    </w:p>
    <w:p>
      <w:pPr>
        <w:pBdr>
          <w:bottom w:val="single" w:color="2E4B7A" w:sz="14" w:space="6"/>
        </w:pBdr>
        <w:spacing w:after="60"/>
      </w:pPr>
      <w:r>
        <w:rPr>
          <w:color w:val="2E4B7A"/>
          <w:sz w:val="30"/>
          <w:szCs w:val="30"/>
        </w:rPr>
        <w:t xml:space="preserve">Retrieval-Augmented Grounding for the Benefits Support Triage Agent</w:t>
      </w:r>
    </w:p>
    <w:p>
      <w:pPr>
        <w:spacing w:before="240"/>
      </w:pPr>
      <w:r>
        <w:rPr>
          <w:color w:val="595959"/>
          <w:sz w:val="24"/>
          <w:szCs w:val="24"/>
        </w:rPr>
        <w:t xml:space="preserve">John Baker</w:t>
      </w:r>
    </w:p>
    <w:p>
      <w:r>
        <w:rPr>
          <w:color w:val="595959"/>
          <w:sz w:val="22"/>
          <w:szCs w:val="22"/>
        </w:rPr>
        <w:t xml:space="preserve">Status: Draft  ·  Version 0.1</w:t>
      </w:r>
    </w:p>
    <w:p>
      <w:r>
        <w:rPr>
          <w:color w:val="595959"/>
          <w:sz w:val="22"/>
          <w:szCs w:val="22"/>
        </w:rPr>
        <w:t xml:space="preserve">Stack: TypeScript · Express · Drizzle ORM · PostgreSQL + pgvector · Anthropic API</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Summary</w:t>
      </w:r>
    </w:p>
    <w:p>
      <w:pPr>
        <w:spacing w:after="140" w:line="276"/>
      </w:pPr>
      <w:r>
        <w:t xml:space="preserve">The Benefits Support Triage Agent classifies an incoming benefits case against an Oracle HCM taxonomy and drafts a first-pass response for a human reviewer to approve or edit. Today that draft is produced from a system prompt alone: the model answers from its own parametric knowledge with no grounding in the organization's actual policies or its own history of resolved cases. This specification adds a </w:t>
      </w:r>
      <w:r>
        <w:rPr>
          <w:b/>
          <w:bCs/>
        </w:rPr>
        <w:t xml:space="preserve">retrieval-augmented generation (RAG)</w:t>
      </w:r>
      <w:r>
        <w:t xml:space="preserve"> layer that grounds every draft in two retrieved sources — similar previously-resolved tickets and the relevant policy passages — and adds citation verification and confidence-based abstention so the agent is accountable for what it asserts.</w:t>
      </w:r>
    </w:p>
    <w:p>
      <w:pPr>
        <w:spacing w:after="140" w:line="276"/>
      </w:pPr>
      <w:r>
        <w:rPr>
          <w:b/>
          <w:bCs/>
        </w:rPr>
        <w:t xml:space="preserve">Core design decision: </w:t>
      </w:r>
      <w:r>
        <w:t xml:space="preserve">two corpora, not one. Precedent retrieval grounds </w:t>
      </w:r>
      <w:r>
        <w:rPr>
          <w:b/>
          <w:bCs/>
        </w:rPr>
        <w:t xml:space="preserve">how</w:t>
      </w:r>
      <w:r>
        <w:t xml:space="preserve"> to respond (tone, structure, resolution path); policy retrieval grounds </w:t>
      </w:r>
      <w:r>
        <w:rPr>
          <w:b/>
          <w:bCs/>
        </w:rPr>
        <w:t xml:space="preserve">what is true</w:t>
      </w:r>
      <w:r>
        <w:t xml:space="preserve"> (facts and citations). Keeping them separate is what lets retrieval quality be measured and tuned independently of generation quality.</w:t>
      </w:r>
    </w:p>
    <w:p>
      <w:pPr>
        <w:pStyle w:val="Heading1"/>
      </w:pPr>
      <w:r>
        <w:t xml:space="preserve">2. Goals and non-goals</w:t>
      </w:r>
    </w:p>
    <w:p>
      <w:pPr>
        <w:pStyle w:val="Heading2"/>
      </w:pPr>
      <w:r>
        <w:t xml:space="preserve">2.1 Goals</w:t>
      </w:r>
    </w:p>
    <w:p>
      <w:pPr>
        <w:pStyle w:val="ListParagraph"/>
        <w:numPr>
          <w:ilvl w:val="0"/>
          <w:numId w:val="2"/>
        </w:numPr>
        <w:spacing w:after="80"/>
      </w:pPr>
      <w:r>
        <w:t xml:space="preserve">Ground every factual claim in retrieved policy text, with an inline citation the reviewer can verify.</w:t>
      </w:r>
    </w:p>
    <w:p>
      <w:pPr>
        <w:pStyle w:val="ListParagraph"/>
        <w:numPr>
          <w:ilvl w:val="0"/>
          <w:numId w:val="2"/>
        </w:numPr>
        <w:spacing w:after="80"/>
      </w:pPr>
      <w:r>
        <w:t xml:space="preserve">Reuse prior approved resolutions as dynamic few-shot examples so drafts match house tone and known resolution paths.</w:t>
      </w:r>
    </w:p>
    <w:p>
      <w:pPr>
        <w:pStyle w:val="ListParagraph"/>
        <w:numPr>
          <w:ilvl w:val="0"/>
          <w:numId w:val="2"/>
        </w:numPr>
        <w:spacing w:after="80"/>
      </w:pPr>
      <w:r>
        <w:t xml:space="preserve">Detect when no sufficiently relevant policy exists and route the case to a human instead of drafting.</w:t>
      </w:r>
    </w:p>
    <w:p>
      <w:pPr>
        <w:pStyle w:val="ListParagraph"/>
        <w:numPr>
          <w:ilvl w:val="0"/>
          <w:numId w:val="2"/>
        </w:numPr>
        <w:spacing w:after="80"/>
      </w:pPr>
      <w:r>
        <w:t xml:space="preserve">Flag any citation the model produces that does not correspond to retrieved evidence.</w:t>
      </w:r>
    </w:p>
    <w:p>
      <w:pPr>
        <w:pStyle w:val="ListParagraph"/>
        <w:numPr>
          <w:ilvl w:val="0"/>
          <w:numId w:val="2"/>
        </w:numPr>
        <w:spacing w:after="80"/>
      </w:pPr>
      <w:r>
        <w:t xml:space="preserve">Add no new infrastructure: vector search lives in the existing PostgreSQL instance via pgvector.</w:t>
      </w:r>
    </w:p>
    <w:p>
      <w:pPr>
        <w:pStyle w:val="ListParagraph"/>
        <w:numPr>
          <w:ilvl w:val="0"/>
          <w:numId w:val="2"/>
        </w:numPr>
        <w:spacing w:after="80"/>
      </w:pPr>
      <w:r>
        <w:t xml:space="preserve">Preserve the existing typed end-to-end contract and Vitest discipline (85 tests today).</w:t>
      </w:r>
    </w:p>
    <w:p>
      <w:pPr>
        <w:pStyle w:val="Heading2"/>
      </w:pPr>
      <w:r>
        <w:t xml:space="preserve">2.2 Non-goals</w:t>
      </w:r>
    </w:p>
    <w:p>
      <w:pPr>
        <w:pStyle w:val="ListParagraph"/>
        <w:numPr>
          <w:ilvl w:val="0"/>
          <w:numId w:val="2"/>
        </w:numPr>
        <w:spacing w:after="80"/>
      </w:pPr>
      <w:r>
        <w:t xml:space="preserve">Replacing the human reviewer. The agent drafts; a person still approves.</w:t>
      </w:r>
    </w:p>
    <w:p>
      <w:pPr>
        <w:pStyle w:val="ListParagraph"/>
        <w:numPr>
          <w:ilvl w:val="0"/>
          <w:numId w:val="2"/>
        </w:numPr>
        <w:spacing w:after="80"/>
      </w:pPr>
      <w:r>
        <w:t xml:space="preserve">Fully autonomous resolution or sending responses to employees without review.</w:t>
      </w:r>
    </w:p>
    <w:p>
      <w:pPr>
        <w:pStyle w:val="ListParagraph"/>
        <w:numPr>
          <w:ilvl w:val="0"/>
          <w:numId w:val="2"/>
        </w:numPr>
        <w:spacing w:after="80"/>
      </w:pPr>
      <w:r>
        <w:t xml:space="preserve">Multi-tenancy, per-tenant key isolation, and production auth (tracked separately).</w:t>
      </w:r>
    </w:p>
    <w:p>
      <w:pPr>
        <w:pStyle w:val="ListParagraph"/>
        <w:numPr>
          <w:ilvl w:val="0"/>
          <w:numId w:val="2"/>
        </w:numPr>
        <w:spacing w:after="80"/>
      </w:pPr>
      <w:r>
        <w:t xml:space="preserve">Fine-tuning a model. This design is retrieval- and prompt-based by intent.</w:t>
      </w:r>
    </w:p>
    <w:p>
      <w:pPr>
        <w:pStyle w:val="Heading1"/>
      </w:pPr>
      <w:r>
        <w:t xml:space="preserve">3. Current architecture</w:t>
      </w:r>
    </w:p>
    <w:p>
      <w:pPr>
        <w:spacing w:after="140" w:line="276"/>
      </w:pPr>
      <w:r>
        <w:t xml:space="preserve">The agent is a three-pane application: case in, classification with reasoning in the middle, draft response out. An Express backend mediates Anthropic API calls, persists cases to PostgreSQL via Drizzle ORM, and exposes a typed contract to a React frontend. Classification confidence is displayed alongside the decision rather than hidden behind it, so reviewers know when to trust the model and when to override. Reviewer feedback is wired back into evaluation cases.</w:t>
      </w:r>
    </w:p>
    <w:p>
      <w:pPr>
        <w:spacing w:after="140" w:line="276"/>
      </w:pPr>
      <w:r>
        <w:rPr>
          <w:b/>
          <w:bCs/>
        </w:rPr>
        <w:t xml:space="preserve">The gap this spec closes: </w:t>
      </w:r>
      <w:r>
        <w:t xml:space="preserve">the draft step has no grounding source. The model cannot cite a real policy because it never sees one, and it has no memory of how comparable cases were resolved. RAG supplies both.</w:t>
      </w:r>
    </w:p>
    <w:p>
      <w:pPr>
        <w:pStyle w:val="Heading1"/>
      </w:pPr>
      <w:r>
        <w:t xml:space="preserve">4. Design overview</w:t>
      </w:r>
    </w:p>
    <w:p>
      <w:pPr>
        <w:spacing w:after="140" w:line="276"/>
      </w:pPr>
      <w:r>
        <w:t xml:space="preserve">On each incoming case the pipeline becomes:</w:t>
      </w:r>
    </w:p>
    <w:p>
      <w:pPr>
        <w:pBdr>
          <w:left w:val="single" w:color="2E4B7A" w:sz="18" w:space="10"/>
        </w:pBdr>
        <w:shd w:fill="F2F3F5" w:val="clear"/>
        <w:spacing w:after="160" w:before="80" w:line="264"/>
      </w:pPr>
      <w:r>
        <w:rPr>
          <w:rFonts w:ascii="Consolas" w:cs="Consolas" w:eastAsia="Consolas" w:hAnsi="Consolas"/>
          <w:color w:val="1A1A1A"/>
          <w:sz w:val="18"/>
          <w:szCs w:val="18"/>
        </w:rPr>
        <w:t xml:space="preserve">incoming case</w:t>
      </w:r>
      <w:r>
        <w:br/>
      </w:r>
      <w:r>
        <w:rPr>
          <w:rFonts w:ascii="Consolas" w:cs="Consolas" w:eastAsia="Consolas" w:hAnsi="Consolas"/>
          <w:color w:val="1A1A1A"/>
          <w:sz w:val="18"/>
          <w:szCs w:val="18"/>
        </w:rPr>
        <w:t xml:space="preserve">  -&gt; embed(case_text)</w:t>
      </w:r>
      <w:r>
        <w:br/>
      </w:r>
      <w:r>
        <w:rPr>
          <w:rFonts w:ascii="Consolas" w:cs="Consolas" w:eastAsia="Consolas" w:hAnsi="Consolas"/>
          <w:color w:val="1A1A1A"/>
          <w:sz w:val="18"/>
          <w:szCs w:val="18"/>
        </w:rPr>
        <w:t xml:space="preserve">  -&gt; retrieve top-K similar resolved_tickets   (precedent / tone)</w:t>
      </w:r>
      <w:r>
        <w:br/>
      </w:r>
      <w:r>
        <w:rPr>
          <w:rFonts w:ascii="Consolas" w:cs="Consolas" w:eastAsia="Consolas" w:hAnsi="Consolas"/>
          <w:color w:val="1A1A1A"/>
          <w:sz w:val="18"/>
          <w:szCs w:val="18"/>
        </w:rPr>
        <w:t xml:space="preserve">  -&gt; retrieve top-M policy_chunks               (facts / citations)</w:t>
      </w:r>
      <w:r>
        <w:br/>
      </w:r>
      <w:r>
        <w:rPr>
          <w:rFonts w:ascii="Consolas" w:cs="Consolas" w:eastAsia="Consolas" w:hAnsi="Consolas"/>
          <w:color w:val="1A1A1A"/>
          <w:sz w:val="18"/>
          <w:szCs w:val="18"/>
        </w:rPr>
        <w:t xml:space="preserve">  -&gt; if top similarity &lt; threshold: ABSTAIN -&gt; route to human</w:t>
      </w:r>
      <w:r>
        <w:br/>
      </w:r>
      <w:r>
        <w:rPr>
          <w:rFonts w:ascii="Consolas" w:cs="Consolas" w:eastAsia="Consolas" w:hAnsi="Consolas"/>
          <w:color w:val="1A1A1A"/>
          <w:sz w:val="18"/>
          <w:szCs w:val="18"/>
        </w:rPr>
        <w:t xml:space="preserve">  -&gt; build grounded draft prompt (case + precedents + policy)</w:t>
      </w:r>
      <w:r>
        <w:br/>
      </w:r>
      <w:r>
        <w:rPr>
          <w:rFonts w:ascii="Consolas" w:cs="Consolas" w:eastAsia="Consolas" w:hAnsi="Consolas"/>
          <w:color w:val="1A1A1A"/>
          <w:sz w:val="18"/>
          <w:szCs w:val="18"/>
        </w:rPr>
        <w:t xml:space="preserve">  -&gt; Claude drafts response, citing [policy:id]</w:t>
      </w:r>
      <w:r>
        <w:br/>
      </w:r>
      <w:r>
        <w:rPr>
          <w:rFonts w:ascii="Consolas" w:cs="Consolas" w:eastAsia="Consolas" w:hAnsi="Consolas"/>
          <w:color w:val="1A1A1A"/>
          <w:sz w:val="18"/>
          <w:szCs w:val="18"/>
        </w:rPr>
        <w:t xml:space="preserve">  -&gt; verify every cited id is in the retrieved set</w:t>
      </w:r>
      <w:r>
        <w:br/>
      </w:r>
      <w:r>
        <w:rPr>
          <w:rFonts w:ascii="Consolas" w:cs="Consolas" w:eastAsia="Consolas" w:hAnsi="Consolas"/>
          <w:color w:val="1A1A1A"/>
          <w:sz w:val="18"/>
          <w:szCs w:val="18"/>
        </w:rPr>
        <w:t xml:space="preserve">  -&gt; persist retrieval + citations to retrieval_log</w:t>
      </w:r>
      <w:r>
        <w:br/>
      </w:r>
      <w:r>
        <w:rPr>
          <w:rFonts w:ascii="Consolas" w:cs="Consolas" w:eastAsia="Consolas" w:hAnsi="Consolas"/>
          <w:color w:val="1A1A1A"/>
          <w:sz w:val="18"/>
          <w:szCs w:val="18"/>
        </w:rPr>
        <w:t xml:space="preserve">  -&gt; classification + draft + evidence -&gt; reviewer pane</w:t>
      </w:r>
    </w:p>
    <w:p>
      <w:pPr>
        <w:spacing w:after="140" w:line="276"/>
      </w:pPr>
      <w:r>
        <w:rPr>
          <w:b/>
          <w:bCs/>
        </w:rPr>
        <w:t xml:space="preserve">Why two retrievers. </w:t>
      </w:r>
      <w:r>
        <w:t xml:space="preserve">A single store forces one corpus to do two jobs and degrades both. Precedents are best-matched on the employee's </w:t>
      </w:r>
      <w:r>
        <w:rPr>
          <w:b/>
          <w:bCs/>
        </w:rPr>
        <w:t xml:space="preserve">question</w:t>
      </w:r>
      <w:r>
        <w:t xml:space="preserve"> and carry an approved answer as payload; policy chunks are best-matched on the same question but carry citable factual text. Querying them separately, with their own thresholds and their own evals, is the difference between a demo and a system you can reason about.</w:t>
      </w:r>
    </w:p>
    <w:p>
      <w:pPr>
        <w:pStyle w:val="Heading1"/>
      </w:pPr>
      <w:r>
        <w:t xml:space="preserve">5. Data model</w:t>
      </w:r>
    </w:p>
    <w:p>
      <w:pPr>
        <w:spacing w:after="140" w:line="276"/>
      </w:pPr>
      <w:r>
        <w:t xml:space="preserve">Two corpus tables plus an audit table, all in PostgreSQL with pgvector. Embedding columns use the native Drizzle vector type and an HNSW index with the cosine operator class for fast approximate nearest-neighbor search.</w:t>
      </w:r>
    </w:p>
    <w:p>
      <w:pPr>
        <w:pStyle w:val="Heading2"/>
      </w:pPr>
      <w:r>
        <w:t xml:space="preserve">5.1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D6DCE5" w:sz="1"/>
              <w:left w:val="single" w:color="D6DCE5" w:sz="1"/>
              <w:bottom w:val="single" w:color="D6DCE5" w:sz="1"/>
              <w:right w:val="single" w:color="D6DCE5" w:sz="1"/>
            </w:tcBorders>
            <w:shd w:fill="1F3864" w:val="clear"/>
            <w:tcMar>
              <w:top w:type="dxa" w:w="60"/>
              <w:left w:type="dxa" w:w="110"/>
              <w:bottom w:type="dxa" w:w="60"/>
              <w:right w:type="dxa" w:w="110"/>
            </w:tcMar>
          </w:tcPr>
          <w:p>
            <w:r>
              <w:rPr>
                <w:b/>
                <w:bCs/>
                <w:color w:val="FFFFFF"/>
                <w:sz w:val="19"/>
                <w:szCs w:val="19"/>
              </w:rPr>
              <w:t xml:space="preserve">Table</w:t>
            </w:r>
          </w:p>
        </w:tc>
        <w:tc>
          <w:tcPr>
            <w:tcW w:type="dxa" w:w="3360"/>
            <w:tcBorders>
              <w:top w:val="single" w:color="D6DCE5" w:sz="1"/>
              <w:left w:val="single" w:color="D6DCE5" w:sz="1"/>
              <w:bottom w:val="single" w:color="D6DCE5" w:sz="1"/>
              <w:right w:val="single" w:color="D6DCE5" w:sz="1"/>
            </w:tcBorders>
            <w:shd w:fill="1F3864" w:val="clear"/>
            <w:tcMar>
              <w:top w:type="dxa" w:w="60"/>
              <w:left w:type="dxa" w:w="110"/>
              <w:bottom w:type="dxa" w:w="60"/>
              <w:right w:type="dxa" w:w="110"/>
            </w:tcMar>
          </w:tcPr>
          <w:p>
            <w:r>
              <w:rPr>
                <w:b/>
                <w:bCs/>
                <w:color w:val="FFFFFF"/>
                <w:sz w:val="19"/>
                <w:szCs w:val="19"/>
              </w:rPr>
              <w:t xml:space="preserve">Purpose</w:t>
            </w:r>
          </w:p>
        </w:tc>
        <w:tc>
          <w:tcPr>
            <w:tcW w:type="dxa" w:w="3600"/>
            <w:tcBorders>
              <w:top w:val="single" w:color="D6DCE5" w:sz="1"/>
              <w:left w:val="single" w:color="D6DCE5" w:sz="1"/>
              <w:bottom w:val="single" w:color="D6DCE5" w:sz="1"/>
              <w:right w:val="single" w:color="D6DCE5" w:sz="1"/>
            </w:tcBorders>
            <w:shd w:fill="1F3864" w:val="clear"/>
            <w:tcMar>
              <w:top w:type="dxa" w:w="60"/>
              <w:left w:type="dxa" w:w="110"/>
              <w:bottom w:type="dxa" w:w="60"/>
              <w:right w:type="dxa" w:w="110"/>
            </w:tcMar>
          </w:tcPr>
          <w:p>
            <w:r>
              <w:rPr>
                <w:b/>
                <w:bCs/>
                <w:color w:val="FFFFFF"/>
                <w:sz w:val="19"/>
                <w:szCs w:val="19"/>
              </w:rPr>
              <w:t xml:space="preserve">Key columns</w:t>
            </w:r>
          </w:p>
        </w:tc>
      </w:tr>
      <w:tr>
        <w:tc>
          <w:tcPr>
            <w:tcW w:type="dxa" w:w="24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resolved_tickets</w:t>
            </w:r>
          </w:p>
        </w:tc>
        <w:tc>
          <w:tcPr>
            <w:tcW w:type="dxa" w:w="336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Precedent corpus (tone / resolution path)</w:t>
            </w:r>
          </w:p>
        </w:tc>
        <w:tc>
          <w:tcPr>
            <w:tcW w:type="dxa" w:w="36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case_text, category, approved_response, embedding</w:t>
            </w:r>
          </w:p>
        </w:tc>
      </w:tr>
      <w:tr>
        <w:tc>
          <w:tcPr>
            <w:tcW w:type="dxa" w:w="240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policy_chunks</w:t>
            </w:r>
          </w:p>
        </w:tc>
        <w:tc>
          <w:tcPr>
            <w:tcW w:type="dxa" w:w="336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Factual grounding + citation source</w:t>
            </w:r>
          </w:p>
        </w:tc>
        <w:tc>
          <w:tcPr>
            <w:tcW w:type="dxa" w:w="360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doc_title, section, chunk_text, source_url, embedding</w:t>
            </w:r>
          </w:p>
        </w:tc>
      </w:tr>
      <w:tr>
        <w:tc>
          <w:tcPr>
            <w:tcW w:type="dxa" w:w="24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retrieval_log</w:t>
            </w:r>
          </w:p>
        </w:tc>
        <w:tc>
          <w:tcPr>
            <w:tcW w:type="dxa" w:w="336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Audit trail + eval seed</w:t>
            </w:r>
          </w:p>
        </w:tc>
        <w:tc>
          <w:tcPr>
            <w:tcW w:type="dxa" w:w="36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retrieved_*_ids, cited_policy_ids, top_similarity, abstained</w:t>
            </w:r>
          </w:p>
        </w:tc>
      </w:tr>
    </w:tbl>
    <w:p>
      <w:pPr>
        <w:pStyle w:val="Heading2"/>
      </w:pPr>
      <w:r>
        <w:t xml:space="preserve">5.2 Schema (Drizzle)</w:t>
      </w:r>
    </w:p>
    <w:p>
      <w:pPr>
        <w:pBdr>
          <w:left w:val="single" w:color="2E4B7A" w:sz="18" w:space="10"/>
        </w:pBdr>
        <w:shd w:fill="F2F3F5" w:val="clear"/>
        <w:spacing w:after="160" w:before="80" w:line="264"/>
      </w:pPr>
      <w:r>
        <w:rPr>
          <w:rFonts w:ascii="Consolas" w:cs="Consolas" w:eastAsia="Consolas" w:hAnsi="Consolas"/>
          <w:color w:val="1A1A1A"/>
          <w:sz w:val="18"/>
          <w:szCs w:val="18"/>
        </w:rPr>
        <w:t xml:space="preserve">export const policyChunks = pgTable("policy_chunks", {</w:t>
      </w:r>
      <w:r>
        <w:br/>
      </w:r>
      <w:r>
        <w:rPr>
          <w:rFonts w:ascii="Consolas" w:cs="Consolas" w:eastAsia="Consolas" w:hAnsi="Consolas"/>
          <w:color w:val="1A1A1A"/>
          <w:sz w:val="18"/>
          <w:szCs w:val="18"/>
        </w:rPr>
        <w:t xml:space="preserve">  id: serial("id").primaryKey(),</w:t>
      </w:r>
      <w:r>
        <w:br/>
      </w:r>
      <w:r>
        <w:rPr>
          <w:rFonts w:ascii="Consolas" w:cs="Consolas" w:eastAsia="Consolas" w:hAnsi="Consolas"/>
          <w:color w:val="1A1A1A"/>
          <w:sz w:val="18"/>
          <w:szCs w:val="18"/>
        </w:rPr>
        <w:t xml:space="preserve">  docTitle: text("doc_title").notNull(),</w:t>
      </w:r>
      <w:r>
        <w:br/>
      </w:r>
      <w:r>
        <w:rPr>
          <w:rFonts w:ascii="Consolas" w:cs="Consolas" w:eastAsia="Consolas" w:hAnsi="Consolas"/>
          <w:color w:val="1A1A1A"/>
          <w:sz w:val="18"/>
          <w:szCs w:val="18"/>
        </w:rPr>
        <w:t xml:space="preserve">  section: text("section"),</w:t>
      </w:r>
      <w:r>
        <w:br/>
      </w:r>
      <w:r>
        <w:rPr>
          <w:rFonts w:ascii="Consolas" w:cs="Consolas" w:eastAsia="Consolas" w:hAnsi="Consolas"/>
          <w:color w:val="1A1A1A"/>
          <w:sz w:val="18"/>
          <w:szCs w:val="18"/>
        </w:rPr>
        <w:t xml:space="preserve">  chunkText: text("chunk_text").notNull(),</w:t>
      </w:r>
      <w:r>
        <w:br/>
      </w:r>
      <w:r>
        <w:rPr>
          <w:rFonts w:ascii="Consolas" w:cs="Consolas" w:eastAsia="Consolas" w:hAnsi="Consolas"/>
          <w:color w:val="1A1A1A"/>
          <w:sz w:val="18"/>
          <w:szCs w:val="18"/>
        </w:rPr>
        <w:t xml:space="preserve">  sourceUrl: text("source_url"),</w:t>
      </w:r>
      <w:r>
        <w:br/>
      </w:r>
      <w:r>
        <w:rPr>
          <w:rFonts w:ascii="Consolas" w:cs="Consolas" w:eastAsia="Consolas" w:hAnsi="Consolas"/>
          <w:color w:val="1A1A1A"/>
          <w:sz w:val="18"/>
          <w:szCs w:val="18"/>
        </w:rPr>
        <w:t xml:space="preserve">  embedding: vector("embedding", { dimensions: EMBED_DIM }).notNull(),</w:t>
      </w:r>
      <w:r>
        <w:br/>
      </w:r>
      <w:r>
        <w:rPr>
          <w:rFonts w:ascii="Consolas" w:cs="Consolas" w:eastAsia="Consolas" w:hAnsi="Consolas"/>
          <w:color w:val="1A1A1A"/>
          <w:sz w:val="18"/>
          <w:szCs w:val="18"/>
        </w:rPr>
        <w:t xml:space="preserve">  createdAt: timestamp("created_at").defaultNow().notNull(),</w:t>
      </w:r>
      <w:r>
        <w:br/>
      </w:r>
      <w:r>
        <w:rPr>
          <w:rFonts w:ascii="Consolas" w:cs="Consolas" w:eastAsia="Consolas" w:hAnsi="Consolas"/>
          <w:color w:val="1A1A1A"/>
          <w:sz w:val="18"/>
          <w:szCs w:val="18"/>
        </w:rPr>
        <w:t xml:space="preserve">}, (t) =&gt; ({</w:t>
      </w:r>
      <w:r>
        <w:br/>
      </w:r>
      <w:r>
        <w:rPr>
          <w:rFonts w:ascii="Consolas" w:cs="Consolas" w:eastAsia="Consolas" w:hAnsi="Consolas"/>
          <w:color w:val="1A1A1A"/>
          <w:sz w:val="18"/>
          <w:szCs w:val="18"/>
        </w:rPr>
        <w:t xml:space="preserve">  embeddingIdx: index("policy_chunks_embedding_idx")</w:t>
      </w:r>
      <w:r>
        <w:br/>
      </w:r>
      <w:r>
        <w:rPr>
          <w:rFonts w:ascii="Consolas" w:cs="Consolas" w:eastAsia="Consolas" w:hAnsi="Consolas"/>
          <w:color w:val="1A1A1A"/>
          <w:sz w:val="18"/>
          <w:szCs w:val="18"/>
        </w:rPr>
        <w:t xml:space="preserve">    .using("hnsw", t.embedding.op("vector_cosine_ops")),</w:t>
      </w:r>
      <w:r>
        <w:br/>
      </w:r>
      <w:r>
        <w:rPr>
          <w:rFonts w:ascii="Consolas" w:cs="Consolas" w:eastAsia="Consolas" w:hAnsi="Consolas"/>
          <w:color w:val="1A1A1A"/>
          <w:sz w:val="18"/>
          <w:szCs w:val="18"/>
        </w:rPr>
        <w:t xml:space="preserve">}));</w:t>
      </w:r>
    </w:p>
    <w:p>
      <w:pPr>
        <w:spacing w:after="140" w:line="276"/>
      </w:pPr>
      <w:r>
        <w:rPr>
          <w:b/>
          <w:bCs/>
        </w:rPr>
        <w:t xml:space="preserve">Note: </w:t>
      </w:r>
      <w:r>
        <w:t xml:space="preserve">the pgvector extension must be created before any vector column. Run </w:t>
      </w:r>
      <w:r>
        <w:rPr>
          <w:rFonts w:ascii="Consolas" w:cs="Consolas" w:eastAsia="Consolas" w:hAnsi="Consolas"/>
          <w:sz w:val="18"/>
          <w:szCs w:val="18"/>
        </w:rPr>
        <w:t xml:space="preserve">CREATE EXTENSION IF NOT EXISTS vector;</w:t>
      </w:r>
      <w:r>
        <w:t xml:space="preserve"> once, then let drizzle-kit create the tables and indexes.</w:t>
      </w:r>
    </w:p>
    <w:p>
      <w:pPr>
        <w:pStyle w:val="Heading1"/>
      </w:pPr>
      <w:r>
        <w:t xml:space="preserve">6. Embedding strategy</w:t>
      </w:r>
    </w:p>
    <w:p>
      <w:pPr>
        <w:spacing w:after="140" w:line="276"/>
      </w:pPr>
      <w:r>
        <w:t xml:space="preserve">Embeddings are pluggable behind a single embed() function. Two backends ship: a local default and a hosted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900"/>
        <w:gridCol w:w="3660"/>
      </w:tblGrid>
      <w:tr>
        <w:trPr>
          <w:tblHeader/>
        </w:trPr>
        <w:tc>
          <w:tcPr>
            <w:tcW w:type="dxa" w:w="2200"/>
            <w:tcBorders>
              <w:top w:val="single" w:color="D6DCE5" w:sz="1"/>
              <w:left w:val="single" w:color="D6DCE5" w:sz="1"/>
              <w:bottom w:val="single" w:color="D6DCE5" w:sz="1"/>
              <w:right w:val="single" w:color="D6DCE5" w:sz="1"/>
            </w:tcBorders>
            <w:shd w:fill="1F3864" w:val="clear"/>
            <w:tcMar>
              <w:top w:type="dxa" w:w="60"/>
              <w:left w:type="dxa" w:w="110"/>
              <w:bottom w:type="dxa" w:w="60"/>
              <w:right w:type="dxa" w:w="110"/>
            </w:tcMar>
          </w:tcPr>
          <w:p>
            <w:r>
              <w:rPr>
                <w:b/>
                <w:bCs/>
                <w:color w:val="FFFFFF"/>
                <w:sz w:val="19"/>
                <w:szCs w:val="19"/>
              </w:rPr>
              <w:t xml:space="preserve">Backend</w:t>
            </w:r>
          </w:p>
        </w:tc>
        <w:tc>
          <w:tcPr>
            <w:tcW w:type="dxa" w:w="2600"/>
            <w:tcBorders>
              <w:top w:val="single" w:color="D6DCE5" w:sz="1"/>
              <w:left w:val="single" w:color="D6DCE5" w:sz="1"/>
              <w:bottom w:val="single" w:color="D6DCE5" w:sz="1"/>
              <w:right w:val="single" w:color="D6DCE5" w:sz="1"/>
            </w:tcBorders>
            <w:shd w:fill="1F3864" w:val="clear"/>
            <w:tcMar>
              <w:top w:type="dxa" w:w="60"/>
              <w:left w:type="dxa" w:w="110"/>
              <w:bottom w:type="dxa" w:w="60"/>
              <w:right w:type="dxa" w:w="110"/>
            </w:tcMar>
          </w:tcPr>
          <w:p>
            <w:r>
              <w:rPr>
                <w:b/>
                <w:bCs/>
                <w:color w:val="FFFFFF"/>
                <w:sz w:val="19"/>
                <w:szCs w:val="19"/>
              </w:rPr>
              <w:t xml:space="preserve">Model</w:t>
            </w:r>
          </w:p>
        </w:tc>
        <w:tc>
          <w:tcPr>
            <w:tcW w:type="dxa" w:w="900"/>
            <w:tcBorders>
              <w:top w:val="single" w:color="D6DCE5" w:sz="1"/>
              <w:left w:val="single" w:color="D6DCE5" w:sz="1"/>
              <w:bottom w:val="single" w:color="D6DCE5" w:sz="1"/>
              <w:right w:val="single" w:color="D6DCE5" w:sz="1"/>
            </w:tcBorders>
            <w:shd w:fill="1F3864" w:val="clear"/>
            <w:tcMar>
              <w:top w:type="dxa" w:w="60"/>
              <w:left w:type="dxa" w:w="110"/>
              <w:bottom w:type="dxa" w:w="60"/>
              <w:right w:type="dxa" w:w="110"/>
            </w:tcMar>
          </w:tcPr>
          <w:p>
            <w:r>
              <w:rPr>
                <w:b/>
                <w:bCs/>
                <w:color w:val="FFFFFF"/>
                <w:sz w:val="19"/>
                <w:szCs w:val="19"/>
              </w:rPr>
              <w:t xml:space="preserve">Dim</w:t>
            </w:r>
          </w:p>
        </w:tc>
        <w:tc>
          <w:tcPr>
            <w:tcW w:type="dxa" w:w="3660"/>
            <w:tcBorders>
              <w:top w:val="single" w:color="D6DCE5" w:sz="1"/>
              <w:left w:val="single" w:color="D6DCE5" w:sz="1"/>
              <w:bottom w:val="single" w:color="D6DCE5" w:sz="1"/>
              <w:right w:val="single" w:color="D6DCE5" w:sz="1"/>
            </w:tcBorders>
            <w:shd w:fill="1F3864" w:val="clear"/>
            <w:tcMar>
              <w:top w:type="dxa" w:w="60"/>
              <w:left w:type="dxa" w:w="110"/>
              <w:bottom w:type="dxa" w:w="60"/>
              <w:right w:type="dxa" w:w="110"/>
            </w:tcMar>
          </w:tcPr>
          <w:p>
            <w:r>
              <w:rPr>
                <w:b/>
                <w:bCs/>
                <w:color w:val="FFFFFF"/>
                <w:sz w:val="19"/>
                <w:szCs w:val="19"/>
              </w:rPr>
              <w:t xml:space="preserve">When to use</w:t>
            </w:r>
          </w:p>
        </w:tc>
      </w:tr>
      <w:tr>
        <w:tc>
          <w:tcPr>
            <w:tcW w:type="dxa" w:w="22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Ollama (default)</w:t>
            </w:r>
          </w:p>
        </w:tc>
        <w:tc>
          <w:tcPr>
            <w:tcW w:type="dxa" w:w="26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nomic-embed-text</w:t>
            </w:r>
          </w:p>
        </w:tc>
        <w:tc>
          <w:tcPr>
            <w:tcW w:type="dxa" w:w="9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768</w:t>
            </w:r>
          </w:p>
        </w:tc>
        <w:tc>
          <w:tcPr>
            <w:tcW w:type="dxa" w:w="366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Local, free, offline; ideal for dev and a self-contained demo</w:t>
            </w:r>
          </w:p>
        </w:tc>
      </w:tr>
      <w:tr>
        <w:tc>
          <w:tcPr>
            <w:tcW w:type="dxa" w:w="220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Voyage</w:t>
            </w:r>
          </w:p>
        </w:tc>
        <w:tc>
          <w:tcPr>
            <w:tcW w:type="dxa" w:w="260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voyage-3</w:t>
            </w:r>
          </w:p>
        </w:tc>
        <w:tc>
          <w:tcPr>
            <w:tcW w:type="dxa" w:w="90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1024</w:t>
            </w:r>
          </w:p>
        </w:tc>
        <w:tc>
          <w:tcPr>
            <w:tcW w:type="dxa" w:w="366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Hosted, higher retrieval quality; recommended pairing with Claude</w:t>
            </w:r>
          </w:p>
        </w:tc>
      </w:tr>
    </w:tbl>
    <w:p>
      <w:pPr>
        <w:spacing w:after="140" w:line="276"/>
      </w:pPr>
      <w:r>
        <w:rPr>
          <w:b/>
          <w:bCs/>
        </w:rPr>
        <w:t xml:space="preserve">Dimension invariant: </w:t>
      </w:r>
      <w:r>
        <w:t xml:space="preserve">the embedding dimension must match across the model, the EMBED_DIM constant, and the vector(...) column. Switching models means updating all three and re-running ingest, because vectors of different dimensions cannot be compared. This is enforced at runtime — embed() throws on a dimension mismatch.</w:t>
      </w:r>
    </w:p>
    <w:p>
      <w:pPr>
        <w:pStyle w:val="Heading1"/>
      </w:pPr>
      <w:r>
        <w:t xml:space="preserve">7. Ingestion pipeline</w:t>
      </w:r>
    </w:p>
    <w:p>
      <w:pPr>
        <w:spacing w:after="140" w:line="276"/>
      </w:pPr>
      <w:r>
        <w:t xml:space="preserve">A one-shot script chunks and embeds both corpora. Policy documents are split by a heading-aware, overlapping chunker; resolved tickets are embedded on their original case text (the question), not the answer, because retrieval matches an incoming question against past questions.</w:t>
      </w:r>
    </w:p>
    <w:p>
      <w:pPr>
        <w:pStyle w:val="Heading2"/>
      </w:pPr>
      <w:r>
        <w:t xml:space="preserve">7.1 Chunking</w:t>
      </w:r>
    </w:p>
    <w:p>
      <w:pPr>
        <w:pStyle w:val="ListParagraph"/>
        <w:numPr>
          <w:ilvl w:val="0"/>
          <w:numId w:val="2"/>
        </w:numPr>
        <w:spacing w:after="80"/>
      </w:pPr>
      <w:r>
        <w:t xml:space="preserve">Split on blank-line boundaries; pack blocks up to ~900 characters.</w:t>
      </w:r>
    </w:p>
    <w:p>
      <w:pPr>
        <w:pStyle w:val="ListParagraph"/>
        <w:numPr>
          <w:ilvl w:val="0"/>
          <w:numId w:val="2"/>
        </w:numPr>
        <w:spacing w:after="80"/>
      </w:pPr>
      <w:r>
        <w:t xml:space="preserve">Carry ~150 characters of overlap into the next chunk so a fact spanning a boundary stays retrievable.</w:t>
      </w:r>
    </w:p>
    <w:p>
      <w:pPr>
        <w:pStyle w:val="ListParagraph"/>
        <w:numPr>
          <w:ilvl w:val="0"/>
          <w:numId w:val="2"/>
        </w:numPr>
        <w:spacing w:after="80"/>
      </w:pPr>
      <w:r>
        <w:t xml:space="preserve">Recognize Markdown headings and tag each chunk with its section, giving a human-readable citation label for free.</w:t>
      </w:r>
    </w:p>
    <w:p>
      <w:pPr>
        <w:pStyle w:val="Heading2"/>
      </w:pPr>
      <w:r>
        <w:t xml:space="preserve">7.2 Precedent source</w:t>
      </w:r>
    </w:p>
    <w:p>
      <w:pPr>
        <w:spacing w:after="140" w:line="276"/>
      </w:pPr>
      <w:r>
        <w:t xml:space="preserve">In the demo, resolved tickets come from a JSON file. In production they come straight from the existing approved-cases table — only the cases a reviewer signed off on. The embedding step is identical.</w:t>
      </w:r>
    </w:p>
    <w:p>
      <w:pPr>
        <w:pStyle w:val="Heading1"/>
      </w:pPr>
      <w:r>
        <w:t xml:space="preserve">8. Retrieval design</w:t>
      </w:r>
    </w:p>
    <w:p>
      <w:pPr>
        <w:spacing w:after="140" w:line="276"/>
      </w:pPr>
      <w:r>
        <w:t xml:space="preserve">Both corpora are queried in parallel using pgvector cosine distance, expressed in Drizzle with the cosineDistance helper. Similarity is 1 - distance; a minimum-similarity filter keeps weak matches out of the prompt — it is better to retrieve nothing than to ground on noise.</w:t>
      </w:r>
    </w:p>
    <w:p>
      <w:pPr>
        <w:pBdr>
          <w:left w:val="single" w:color="2E4B7A" w:sz="18" w:space="10"/>
        </w:pBdr>
        <w:shd w:fill="F2F3F5" w:val="clear"/>
        <w:spacing w:after="160" w:before="80" w:line="264"/>
      </w:pPr>
      <w:r>
        <w:rPr>
          <w:rFonts w:ascii="Consolas" w:cs="Consolas" w:eastAsia="Consolas" w:hAnsi="Consolas"/>
          <w:color w:val="1A1A1A"/>
          <w:sz w:val="18"/>
          <w:szCs w:val="18"/>
        </w:rPr>
        <w:t xml:space="preserve">const sim = sql`1 - (${cosineDistance(policyChunks.embedding, q)})`;</w:t>
      </w:r>
      <w:r>
        <w:br/>
      </w:r>
      <w:r>
        <w:rPr>
          <w:rFonts w:ascii="Consolas" w:cs="Consolas" w:eastAsia="Consolas" w:hAnsi="Consolas"/>
          <w:color w:val="1A1A1A"/>
          <w:sz w:val="18"/>
          <w:szCs w:val="18"/>
        </w:rPr>
        <w:t xml:space="preserve">db.select({ /* ... */, similarity: sim })</w:t>
      </w:r>
      <w:r>
        <w:br/>
      </w:r>
      <w:r>
        <w:rPr>
          <w:rFonts w:ascii="Consolas" w:cs="Consolas" w:eastAsia="Consolas" w:hAnsi="Consolas"/>
          <w:color w:val="1A1A1A"/>
          <w:sz w:val="18"/>
          <w:szCs w:val="18"/>
        </w:rPr>
        <w:t xml:space="preserve">  .from(policyChunks)</w:t>
      </w:r>
      <w:r>
        <w:br/>
      </w:r>
      <w:r>
        <w:rPr>
          <w:rFonts w:ascii="Consolas" w:cs="Consolas" w:eastAsia="Consolas" w:hAnsi="Consolas"/>
          <w:color w:val="1A1A1A"/>
          <w:sz w:val="18"/>
          <w:szCs w:val="18"/>
        </w:rPr>
        <w:t xml:space="preserve">  .where(gt(sim, MIN_SIMILARITY))</w:t>
      </w:r>
      <w:r>
        <w:br/>
      </w:r>
      <w:r>
        <w:rPr>
          <w:rFonts w:ascii="Consolas" w:cs="Consolas" w:eastAsia="Consolas" w:hAnsi="Consolas"/>
          <w:color w:val="1A1A1A"/>
          <w:sz w:val="18"/>
          <w:szCs w:val="18"/>
        </w:rPr>
        <w:t xml:space="preserve">  .orderBy(desc(sim))</w:t>
      </w:r>
      <w:r>
        <w:br/>
      </w:r>
      <w:r>
        <w:rPr>
          <w:rFonts w:ascii="Consolas" w:cs="Consolas" w:eastAsia="Consolas" w:hAnsi="Consolas"/>
          <w:color w:val="1A1A1A"/>
          <w:sz w:val="18"/>
          <w:szCs w:val="18"/>
        </w:rPr>
        <w:t xml:space="preserve">  .limit(POLICY_K);</w:t>
      </w:r>
    </w:p>
    <w:p>
      <w:pPr>
        <w:spacing w:after="140" w:line="276"/>
      </w:pPr>
      <w:r>
        <w:rPr>
          <w:b/>
          <w:bCs/>
        </w:rPr>
        <w:t xml:space="preserve">Tunable knobs: </w:t>
      </w:r>
      <w:r>
        <w:t xml:space="preserve">PRECEDENT_K (default 3), POLICY_K (default 5), MIN_SIMILARITY (default 0.45). These are the levers you adjust against the retrieval eval in section 11.</w:t>
      </w:r>
    </w:p>
    <w:p>
      <w:pPr>
        <w:spacing w:after="140" w:line="276"/>
      </w:pPr>
      <w:r>
        <w:rPr>
          <w:b/>
          <w:bCs/>
        </w:rPr>
        <w:t xml:space="preserve">Future enhancement — reranking: </w:t>
      </w:r>
      <w:r>
        <w:t xml:space="preserve">retrieve broad (top-20), then rerank to the best 3–5 with a cross-encoder or a quick LLM pass. Cheap to add, materially better grounding, and an explicit lever to discuss in design reviews.</w:t>
      </w:r>
    </w:p>
    <w:p>
      <w:pPr>
        <w:pStyle w:val="Heading1"/>
      </w:pPr>
      <w:r>
        <w:t xml:space="preserve">9. Draft generation and citation verification</w:t>
      </w:r>
    </w:p>
    <w:p>
      <w:pPr>
        <w:spacing w:after="140" w:line="276"/>
      </w:pPr>
      <w:r>
        <w:t xml:space="preserve">The draft prompt assembles the incoming case, the retrieved precedents (as worked examples), and the policy passages (each tagged with its id). The system prompt instructs the model to cite policy inline as [policy:id], to use precedents only for tone, and to flag — never invent — anything no passage supports.</w:t>
      </w:r>
    </w:p>
    <w:p>
      <w:pPr>
        <w:pStyle w:val="Heading2"/>
      </w:pPr>
      <w:r>
        <w:t xml:space="preserve">9.1 Verification</w:t>
      </w:r>
    </w:p>
    <w:p>
      <w:pPr>
        <w:spacing w:after="140" w:line="276"/>
      </w:pPr>
      <w:r>
        <w:t xml:space="preserve">The model's citations are parsed out of the draft and checked against the set of ids actually retrieved. Any id outside that set is a fabricated citation and is surfaced to the reviewer rather than silently trusted.</w:t>
      </w:r>
    </w:p>
    <w:p>
      <w:pPr>
        <w:pBdr>
          <w:left w:val="single" w:color="2E4B7A" w:sz="18" w:space="10"/>
        </w:pBdr>
        <w:shd w:fill="F2F3F5" w:val="clear"/>
        <w:spacing w:after="160" w:before="80" w:line="264"/>
      </w:pPr>
      <w:r>
        <w:rPr>
          <w:rFonts w:ascii="Consolas" w:cs="Consolas" w:eastAsia="Consolas" w:hAnsi="Consolas"/>
          <w:color w:val="1A1A1A"/>
          <w:sz w:val="18"/>
          <w:szCs w:val="18"/>
        </w:rPr>
        <w:t xml:space="preserve">const retrievedIds = new Set(retrieval.policy.map(p =&gt; p.id));</w:t>
      </w:r>
      <w:r>
        <w:br/>
      </w:r>
      <w:r>
        <w:rPr>
          <w:rFonts w:ascii="Consolas" w:cs="Consolas" w:eastAsia="Consolas" w:hAnsi="Consolas"/>
          <w:color w:val="1A1A1A"/>
          <w:sz w:val="18"/>
          <w:szCs w:val="18"/>
        </w:rPr>
        <w:t xml:space="preserve">const citations = parseCitations(draft).map(id =&gt; ({</w:t>
      </w:r>
      <w:r>
        <w:br/>
      </w:r>
      <w:r>
        <w:rPr>
          <w:rFonts w:ascii="Consolas" w:cs="Consolas" w:eastAsia="Consolas" w:hAnsi="Consolas"/>
          <w:color w:val="1A1A1A"/>
          <w:sz w:val="18"/>
          <w:szCs w:val="18"/>
        </w:rPr>
        <w:t xml:space="preserve">  id, verified: retrievedIds.has(id),</w:t>
      </w:r>
      <w:r>
        <w:br/>
      </w:r>
      <w:r>
        <w:rPr>
          <w:rFonts w:ascii="Consolas" w:cs="Consolas" w:eastAsia="Consolas" w:hAnsi="Consolas"/>
          <w:color w:val="1A1A1A"/>
          <w:sz w:val="18"/>
          <w:szCs w:val="18"/>
        </w:rPr>
        <w:t xml:space="preserve">}));</w:t>
      </w:r>
    </w:p>
    <w:p>
      <w:pPr>
        <w:spacing w:after="140" w:line="276"/>
      </w:pPr>
      <w:r>
        <w:rPr>
          <w:b/>
          <w:bCs/>
        </w:rPr>
        <w:t xml:space="preserve">Why this matters: </w:t>
      </w:r>
      <w:r>
        <w:t xml:space="preserve">the single most common failure mode of a policy-citing agent is a confident citation of a policy that does not say what the agent claims. Verification turns that from an invisible risk into a visible flag, and it mirrors the audit-first instinct already present in the wider portfolio.</w:t>
      </w:r>
    </w:p>
    <w:p>
      <w:pPr>
        <w:pStyle w:val="Heading1"/>
      </w:pPr>
      <w:r>
        <w:t xml:space="preserve">10. Abstention and confidence routing</w:t>
      </w:r>
    </w:p>
    <w:p>
      <w:pPr>
        <w:spacing w:after="140" w:line="276"/>
      </w:pPr>
      <w:r>
        <w:t xml:space="preserve">When the best policy match falls below the similarity threshold — or when classification confidence is low — the agent does not draft. It records the reason and routes the case to a human. A triage agent that knows when not to answer is more trustworthy than one that always produces something.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D6DCE5" w:sz="1"/>
              <w:left w:val="single" w:color="D6DCE5" w:sz="1"/>
              <w:bottom w:val="single" w:color="D6DCE5" w:sz="1"/>
              <w:right w:val="single" w:color="D6DCE5" w:sz="1"/>
            </w:tcBorders>
            <w:shd w:fill="1F3864" w:val="clear"/>
            <w:tcMar>
              <w:top w:type="dxa" w:w="60"/>
              <w:left w:type="dxa" w:w="110"/>
              <w:bottom w:type="dxa" w:w="60"/>
              <w:right w:type="dxa" w:w="110"/>
            </w:tcMar>
          </w:tcPr>
          <w:p>
            <w:r>
              <w:rPr>
                <w:b/>
                <w:bCs/>
                <w:color w:val="FFFFFF"/>
                <w:sz w:val="19"/>
                <w:szCs w:val="19"/>
              </w:rPr>
              <w:t xml:space="preserve">Condition</w:t>
            </w:r>
          </w:p>
        </w:tc>
        <w:tc>
          <w:tcPr>
            <w:tcW w:type="dxa" w:w="4360"/>
            <w:tcBorders>
              <w:top w:val="single" w:color="D6DCE5" w:sz="1"/>
              <w:left w:val="single" w:color="D6DCE5" w:sz="1"/>
              <w:bottom w:val="single" w:color="D6DCE5" w:sz="1"/>
              <w:right w:val="single" w:color="D6DCE5" w:sz="1"/>
            </w:tcBorders>
            <w:shd w:fill="1F3864" w:val="clear"/>
            <w:tcMar>
              <w:top w:type="dxa" w:w="60"/>
              <w:left w:type="dxa" w:w="110"/>
              <w:bottom w:type="dxa" w:w="60"/>
              <w:right w:type="dxa" w:w="110"/>
            </w:tcMar>
          </w:tcPr>
          <w:p>
            <w:r>
              <w:rPr>
                <w:b/>
                <w:bCs/>
                <w:color w:val="FFFFFF"/>
                <w:sz w:val="19"/>
                <w:szCs w:val="19"/>
              </w:rPr>
              <w:t xml:space="preserve">Action</w:t>
            </w:r>
          </w:p>
        </w:tc>
      </w:tr>
      <w:tr>
        <w:tc>
          <w:tcPr>
            <w:tcW w:type="dxa" w:w="50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top policy similarity &lt; MIN_SIMILARITY</w:t>
            </w:r>
          </w:p>
        </w:tc>
        <w:tc>
          <w:tcPr>
            <w:tcW w:type="dxa" w:w="436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Abstain; route to human; log reason low_similarity</w:t>
            </w:r>
          </w:p>
        </w:tc>
      </w:tr>
      <w:tr>
        <w:tc>
          <w:tcPr>
            <w:tcW w:type="dxa" w:w="500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classification confidence &lt; threshold</w:t>
            </w:r>
          </w:p>
        </w:tc>
        <w:tc>
          <w:tcPr>
            <w:tcW w:type="dxa" w:w="436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Abstain; route to human</w:t>
            </w:r>
          </w:p>
        </w:tc>
      </w:tr>
      <w:tr>
        <w:tc>
          <w:tcPr>
            <w:tcW w:type="dxa" w:w="50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sufficient grounding present</w:t>
            </w:r>
          </w:p>
        </w:tc>
        <w:tc>
          <w:tcPr>
            <w:tcW w:type="dxa" w:w="436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Draft with verified citations</w:t>
            </w:r>
          </w:p>
        </w:tc>
      </w:tr>
    </w:tbl>
    <w:p>
      <w:pPr>
        <w:pStyle w:val="Heading1"/>
      </w:pPr>
      <w:r>
        <w:t xml:space="preserve">11. Evaluation strategy</w:t>
      </w:r>
    </w:p>
    <w:p>
      <w:pPr>
        <w:spacing w:after="140" w:line="276"/>
      </w:pPr>
      <w:r>
        <w:t xml:space="preserve">Retrieval quality and generation quality are evaluated separately. This is the design decision that makes failures diagnosable: when a draft is wrong, the evals tell you whether retrieval pulled the wrong passage or the model ignored a good one.</w:t>
      </w:r>
    </w:p>
    <w:p>
      <w:pPr>
        <w:pStyle w:val="Heading2"/>
      </w:pPr>
      <w:r>
        <w:t xml:space="preserve">11.1 Retrieval eval</w:t>
      </w:r>
    </w:p>
    <w:p>
      <w:pPr>
        <w:pStyle w:val="ListParagraph"/>
        <w:numPr>
          <w:ilvl w:val="0"/>
          <w:numId w:val="2"/>
        </w:numPr>
        <w:spacing w:after="80"/>
      </w:pPr>
      <w:r>
        <w:t xml:space="preserve">Build a labeled set: for each test case, record the policy chunk(s) that should be retrieved.</w:t>
      </w:r>
    </w:p>
    <w:p>
      <w:pPr>
        <w:pStyle w:val="ListParagraph"/>
        <w:numPr>
          <w:ilvl w:val="0"/>
          <w:numId w:val="2"/>
        </w:numPr>
        <w:spacing w:after="80"/>
      </w:pPr>
      <w:r>
        <w:t xml:space="preserve">Measure recall@K and mean reciprocal rank against that set.</w:t>
      </w:r>
    </w:p>
    <w:p>
      <w:pPr>
        <w:pStyle w:val="ListParagraph"/>
        <w:numPr>
          <w:ilvl w:val="0"/>
          <w:numId w:val="2"/>
        </w:numPr>
        <w:spacing w:after="80"/>
      </w:pPr>
      <w:r>
        <w:t xml:space="preserve">Use it to tune K and the similarity threshold, and to validate any embedding-model change.</w:t>
      </w:r>
    </w:p>
    <w:p>
      <w:pPr>
        <w:pStyle w:val="Heading2"/>
      </w:pPr>
      <w:r>
        <w:t xml:space="preserve">11.2 Generation eval</w:t>
      </w:r>
    </w:p>
    <w:p>
      <w:pPr>
        <w:pStyle w:val="ListParagraph"/>
        <w:numPr>
          <w:ilvl w:val="0"/>
          <w:numId w:val="2"/>
        </w:numPr>
        <w:spacing w:after="80"/>
      </w:pPr>
      <w:r>
        <w:t xml:space="preserve">Given correct retrieved context, score draft faithfulness (every claim supported by a cited passage) and citation accuracy.</w:t>
      </w:r>
    </w:p>
    <w:p>
      <w:pPr>
        <w:pStyle w:val="ListParagraph"/>
        <w:numPr>
          <w:ilvl w:val="0"/>
          <w:numId w:val="2"/>
        </w:numPr>
        <w:spacing w:after="80"/>
      </w:pPr>
      <w:r>
        <w:t xml:space="preserve">Track the abstention rate and the false-abstain rate (cases sent to a human that the agent could have grounded).</w:t>
      </w:r>
    </w:p>
    <w:p>
      <w:pPr>
        <w:pStyle w:val="Heading2"/>
      </w:pPr>
      <w:r>
        <w:t xml:space="preserve">11.3 Test discipline</w:t>
      </w:r>
    </w:p>
    <w:p>
      <w:pPr>
        <w:spacing w:after="140" w:line="276"/>
      </w:pPr>
      <w:r>
        <w:t xml:space="preserve">Each new module — chunker, embeddings adapter, retrieval, citation verifier, abstention gate — is independently unit-testable, extending the existing Vitest suite. The embeddings and Anthropic calls are stubbed in unit tests; a small recorded-response contract test guards the wire format.</w:t>
      </w:r>
    </w:p>
    <w:p>
      <w:pPr>
        <w:pStyle w:val="Heading1"/>
      </w:pPr>
      <w:r>
        <w:t xml:space="preserve">12. Observability and audit</w:t>
      </w:r>
    </w:p>
    <w:p>
      <w:pPr>
        <w:spacing w:after="140" w:line="276"/>
      </w:pPr>
      <w:r>
        <w:t xml:space="preserve">Every drafted or abstained case writes a retrieval_log row: which chunks were retrieved, which were cited, the top similarity, and any abstention reason. This is simultaneously the audit trail (why did the agent draft this?) and the raw material for growing the eval set over time.</w:t>
      </w:r>
    </w:p>
    <w:p>
      <w:pPr>
        <w:pStyle w:val="Heading1"/>
      </w:pPr>
      <w:r>
        <w:t xml:space="preserve">13. Reviewer UI changes</w:t>
      </w:r>
    </w:p>
    <w:p>
      <w:pPr>
        <w:pStyle w:val="ListParagraph"/>
        <w:numPr>
          <w:ilvl w:val="0"/>
          <w:numId w:val="2"/>
        </w:numPr>
        <w:spacing w:after="80"/>
      </w:pPr>
      <w:r>
        <w:t xml:space="preserve">Evidence panel: render retrieved policy passages and precedents beside the draft, so the reviewer sees the grounding, not just the conclusion.</w:t>
      </w:r>
    </w:p>
    <w:p>
      <w:pPr>
        <w:pStyle w:val="ListParagraph"/>
        <w:numPr>
          <w:ilvl w:val="0"/>
          <w:numId w:val="2"/>
        </w:numPr>
        <w:spacing w:after="80"/>
      </w:pPr>
      <w:r>
        <w:t xml:space="preserve">Citation chips: each [policy:id] becomes a chip linking to its passage; unverified citations render in red.</w:t>
      </w:r>
    </w:p>
    <w:p>
      <w:pPr>
        <w:pStyle w:val="ListParagraph"/>
        <w:numPr>
          <w:ilvl w:val="0"/>
          <w:numId w:val="2"/>
        </w:numPr>
        <w:spacing w:after="80"/>
      </w:pPr>
      <w:r>
        <w:t xml:space="preserve">Abstention state: when the agent routes to a human, show the reason instead of an empty draft.</w:t>
      </w:r>
    </w:p>
    <w:p>
      <w:pPr>
        <w:pStyle w:val="Heading1"/>
      </w:pPr>
      <w:r>
        <w:t xml:space="preserve">14. Rollout sequence</w:t>
      </w:r>
    </w:p>
    <w:p>
      <w:pPr>
        <w:spacing w:after="140" w:line="276"/>
      </w:pPr>
      <w:r>
        <w:t xml:space="preserve">Each phase is independently demoable and testable, so value lands early and the Vitest suite stays green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3360"/>
      </w:tblGrid>
      <w:tr>
        <w:trPr>
          <w:tblHeader/>
        </w:trPr>
        <w:tc>
          <w:tcPr>
            <w:tcW w:type="dxa" w:w="900"/>
            <w:tcBorders>
              <w:top w:val="single" w:color="D6DCE5" w:sz="1"/>
              <w:left w:val="single" w:color="D6DCE5" w:sz="1"/>
              <w:bottom w:val="single" w:color="D6DCE5" w:sz="1"/>
              <w:right w:val="single" w:color="D6DCE5" w:sz="1"/>
            </w:tcBorders>
            <w:shd w:fill="1F3864" w:val="clear"/>
            <w:tcMar>
              <w:top w:type="dxa" w:w="60"/>
              <w:left w:type="dxa" w:w="110"/>
              <w:bottom w:type="dxa" w:w="60"/>
              <w:right w:type="dxa" w:w="110"/>
            </w:tcMar>
          </w:tcPr>
          <w:p>
            <w:r>
              <w:rPr>
                <w:b/>
                <w:bCs/>
                <w:color w:val="FFFFFF"/>
                <w:sz w:val="19"/>
                <w:szCs w:val="19"/>
              </w:rPr>
              <w:t xml:space="preserve">Phase</w:t>
            </w:r>
          </w:p>
        </w:tc>
        <w:tc>
          <w:tcPr>
            <w:tcW w:type="dxa" w:w="5100"/>
            <w:tcBorders>
              <w:top w:val="single" w:color="D6DCE5" w:sz="1"/>
              <w:left w:val="single" w:color="D6DCE5" w:sz="1"/>
              <w:bottom w:val="single" w:color="D6DCE5" w:sz="1"/>
              <w:right w:val="single" w:color="D6DCE5" w:sz="1"/>
            </w:tcBorders>
            <w:shd w:fill="1F3864" w:val="clear"/>
            <w:tcMar>
              <w:top w:type="dxa" w:w="60"/>
              <w:left w:type="dxa" w:w="110"/>
              <w:bottom w:type="dxa" w:w="60"/>
              <w:right w:type="dxa" w:w="110"/>
            </w:tcMar>
          </w:tcPr>
          <w:p>
            <w:r>
              <w:rPr>
                <w:b/>
                <w:bCs/>
                <w:color w:val="FFFFFF"/>
                <w:sz w:val="19"/>
                <w:szCs w:val="19"/>
              </w:rPr>
              <w:t xml:space="preserve">Scope</w:t>
            </w:r>
          </w:p>
        </w:tc>
        <w:tc>
          <w:tcPr>
            <w:tcW w:type="dxa" w:w="3360"/>
            <w:tcBorders>
              <w:top w:val="single" w:color="D6DCE5" w:sz="1"/>
              <w:left w:val="single" w:color="D6DCE5" w:sz="1"/>
              <w:bottom w:val="single" w:color="D6DCE5" w:sz="1"/>
              <w:right w:val="single" w:color="D6DCE5" w:sz="1"/>
            </w:tcBorders>
            <w:shd w:fill="1F3864" w:val="clear"/>
            <w:tcMar>
              <w:top w:type="dxa" w:w="60"/>
              <w:left w:type="dxa" w:w="110"/>
              <w:bottom w:type="dxa" w:w="60"/>
              <w:right w:type="dxa" w:w="110"/>
            </w:tcMar>
          </w:tcPr>
          <w:p>
            <w:r>
              <w:rPr>
                <w:b/>
                <w:bCs/>
                <w:color w:val="FFFFFF"/>
                <w:sz w:val="19"/>
                <w:szCs w:val="19"/>
              </w:rPr>
              <w:t xml:space="preserve">Outcome</w:t>
            </w:r>
          </w:p>
        </w:tc>
      </w:tr>
      <w:tr>
        <w:tc>
          <w:tcPr>
            <w:tcW w:type="dxa" w:w="9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1</w:t>
            </w:r>
          </w:p>
        </w:tc>
        <w:tc>
          <w:tcPr>
            <w:tcW w:type="dxa" w:w="51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pgvector + policy chunking + basic policy retrieval</w:t>
            </w:r>
          </w:p>
        </w:tc>
        <w:tc>
          <w:tcPr>
            <w:tcW w:type="dxa" w:w="336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Immediate, visible grounding-quality gain</w:t>
            </w:r>
          </w:p>
        </w:tc>
      </w:tr>
      <w:tr>
        <w:tc>
          <w:tcPr>
            <w:tcW w:type="dxa" w:w="90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2</w:t>
            </w:r>
          </w:p>
        </w:tc>
        <w:tc>
          <w:tcPr>
            <w:tcW w:type="dxa" w:w="510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Resolved-ticket precedent retriever</w:t>
            </w:r>
          </w:p>
        </w:tc>
        <w:tc>
          <w:tcPr>
            <w:tcW w:type="dxa" w:w="336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House tone + known resolution paths in drafts</w:t>
            </w:r>
          </w:p>
        </w:tc>
      </w:tr>
      <w:tr>
        <w:tc>
          <w:tcPr>
            <w:tcW w:type="dxa" w:w="9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3</w:t>
            </w:r>
          </w:p>
        </w:tc>
        <w:tc>
          <w:tcPr>
            <w:tcW w:type="dxa" w:w="51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Citation parsing + verification</w:t>
            </w:r>
          </w:p>
        </w:tc>
        <w:tc>
          <w:tcPr>
            <w:tcW w:type="dxa" w:w="336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Fabricated citations become visible flags</w:t>
            </w:r>
          </w:p>
        </w:tc>
      </w:tr>
      <w:tr>
        <w:tc>
          <w:tcPr>
            <w:tcW w:type="dxa" w:w="90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4</w:t>
            </w:r>
          </w:p>
        </w:tc>
        <w:tc>
          <w:tcPr>
            <w:tcW w:type="dxa" w:w="510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Abstention + confidence routing</w:t>
            </w:r>
          </w:p>
        </w:tc>
        <w:tc>
          <w:tcPr>
            <w:tcW w:type="dxa" w:w="336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Agent declines low-confidence cases</w:t>
            </w:r>
          </w:p>
        </w:tc>
      </w:tr>
      <w:tr>
        <w:tc>
          <w:tcPr>
            <w:tcW w:type="dxa" w:w="9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5</w:t>
            </w:r>
          </w:p>
        </w:tc>
        <w:tc>
          <w:tcPr>
            <w:tcW w:type="dxa" w:w="51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Split retrieval/generation evals + retrieval_log</w:t>
            </w:r>
          </w:p>
        </w:tc>
        <w:tc>
          <w:tcPr>
            <w:tcW w:type="dxa" w:w="336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Diagnosable failures; eval-driven tuning</w:t>
            </w:r>
          </w:p>
        </w:tc>
      </w:tr>
    </w:tbl>
    <w:p>
      <w:pPr>
        <w:pStyle w:val="Heading1"/>
      </w:pPr>
      <w:r>
        <w:t xml:space="preserve">15. Risks and deferred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D6DCE5" w:sz="1"/>
              <w:left w:val="single" w:color="D6DCE5" w:sz="1"/>
              <w:bottom w:val="single" w:color="D6DCE5" w:sz="1"/>
              <w:right w:val="single" w:color="D6DCE5" w:sz="1"/>
            </w:tcBorders>
            <w:shd w:fill="1F3864" w:val="clear"/>
            <w:tcMar>
              <w:top w:type="dxa" w:w="60"/>
              <w:left w:type="dxa" w:w="110"/>
              <w:bottom w:type="dxa" w:w="60"/>
              <w:right w:type="dxa" w:w="110"/>
            </w:tcMar>
          </w:tcPr>
          <w:p>
            <w:r>
              <w:rPr>
                <w:b/>
                <w:bCs/>
                <w:color w:val="FFFFFF"/>
                <w:sz w:val="19"/>
                <w:szCs w:val="19"/>
              </w:rPr>
              <w:t xml:space="preserve">Item</w:t>
            </w:r>
          </w:p>
        </w:tc>
        <w:tc>
          <w:tcPr>
            <w:tcW w:type="dxa" w:w="3360"/>
            <w:tcBorders>
              <w:top w:val="single" w:color="D6DCE5" w:sz="1"/>
              <w:left w:val="single" w:color="D6DCE5" w:sz="1"/>
              <w:bottom w:val="single" w:color="D6DCE5" w:sz="1"/>
              <w:right w:val="single" w:color="D6DCE5" w:sz="1"/>
            </w:tcBorders>
            <w:shd w:fill="1F3864" w:val="clear"/>
            <w:tcMar>
              <w:top w:type="dxa" w:w="60"/>
              <w:left w:type="dxa" w:w="110"/>
              <w:bottom w:type="dxa" w:w="60"/>
              <w:right w:type="dxa" w:w="110"/>
            </w:tcMar>
          </w:tcPr>
          <w:p>
            <w:r>
              <w:rPr>
                <w:b/>
                <w:bCs/>
                <w:color w:val="FFFFFF"/>
                <w:sz w:val="19"/>
                <w:szCs w:val="19"/>
              </w:rPr>
              <w:t xml:space="preserve">Risk / note</w:t>
            </w:r>
          </w:p>
        </w:tc>
        <w:tc>
          <w:tcPr>
            <w:tcW w:type="dxa" w:w="3400"/>
            <w:tcBorders>
              <w:top w:val="single" w:color="D6DCE5" w:sz="1"/>
              <w:left w:val="single" w:color="D6DCE5" w:sz="1"/>
              <w:bottom w:val="single" w:color="D6DCE5" w:sz="1"/>
              <w:right w:val="single" w:color="D6DCE5" w:sz="1"/>
            </w:tcBorders>
            <w:shd w:fill="1F3864" w:val="clear"/>
            <w:tcMar>
              <w:top w:type="dxa" w:w="60"/>
              <w:left w:type="dxa" w:w="110"/>
              <w:bottom w:type="dxa" w:w="60"/>
              <w:right w:type="dxa" w:w="110"/>
            </w:tcMar>
          </w:tcPr>
          <w:p>
            <w:r>
              <w:rPr>
                <w:b/>
                <w:bCs/>
                <w:color w:val="FFFFFF"/>
                <w:sz w:val="19"/>
                <w:szCs w:val="19"/>
              </w:rPr>
              <w:t xml:space="preserve">Mitigation</w:t>
            </w:r>
          </w:p>
        </w:tc>
      </w:tr>
      <w:tr>
        <w:tc>
          <w:tcPr>
            <w:tcW w:type="dxa" w:w="26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Embedding drift on model swap</w:t>
            </w:r>
          </w:p>
        </w:tc>
        <w:tc>
          <w:tcPr>
            <w:tcW w:type="dxa" w:w="336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Mismatched dims silently break search</w:t>
            </w:r>
          </w:p>
        </w:tc>
        <w:tc>
          <w:tcPr>
            <w:tcW w:type="dxa" w:w="34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Runtime dimension check; re-ingest on change</w:t>
            </w:r>
          </w:p>
        </w:tc>
      </w:tr>
      <w:tr>
        <w:tc>
          <w:tcPr>
            <w:tcW w:type="dxa" w:w="260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Stale policy corpus</w:t>
            </w:r>
          </w:p>
        </w:tc>
        <w:tc>
          <w:tcPr>
            <w:tcW w:type="dxa" w:w="336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Drafts cite outdated policy</w:t>
            </w:r>
          </w:p>
        </w:tc>
        <w:tc>
          <w:tcPr>
            <w:tcW w:type="dxa" w:w="340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Re-ingest on policy updates; store source_url + version</w:t>
            </w:r>
          </w:p>
        </w:tc>
      </w:tr>
      <w:tr>
        <w:tc>
          <w:tcPr>
            <w:tcW w:type="dxa" w:w="26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Retrieval misses (low recall)</w:t>
            </w:r>
          </w:p>
        </w:tc>
        <w:tc>
          <w:tcPr>
            <w:tcW w:type="dxa" w:w="336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Good policy exists but isn't retrieved</w:t>
            </w:r>
          </w:p>
        </w:tc>
        <w:tc>
          <w:tcPr>
            <w:tcW w:type="dxa" w:w="34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Reranking; hybrid sparse+dense; eval-driven K tuning</w:t>
            </w:r>
          </w:p>
        </w:tc>
      </w:tr>
      <w:tr>
        <w:tc>
          <w:tcPr>
            <w:tcW w:type="dxa" w:w="260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Cost at scale</w:t>
            </w:r>
          </w:p>
        </w:tc>
        <w:tc>
          <w:tcPr>
            <w:tcW w:type="dxa" w:w="336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Embedding + draft calls per case</w:t>
            </w:r>
          </w:p>
        </w:tc>
        <w:tc>
          <w:tcPr>
            <w:tcW w:type="dxa" w:w="340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Cache embeddings; batch ingest; local embed in dev</w:t>
            </w:r>
          </w:p>
        </w:tc>
      </w:tr>
      <w:tr>
        <w:tc>
          <w:tcPr>
            <w:tcW w:type="dxa" w:w="26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Auth / rate limiting</w:t>
            </w:r>
          </w:p>
        </w:tc>
        <w:tc>
          <w:tcPr>
            <w:tcW w:type="dxa" w:w="336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Demo runs on localhost</w:t>
            </w:r>
          </w:p>
        </w:tc>
        <w:tc>
          <w:tcPr>
            <w:tcW w:type="dxa" w:w="34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API-key middleware before any production deployment</w:t>
            </w:r>
          </w:p>
        </w:tc>
      </w:tr>
    </w:tbl>
    <w:p>
      <w:pPr>
        <w:pStyle w:val="Heading1"/>
      </w:pPr>
      <w:r>
        <w:t xml:space="preserve">16. Appendix —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D6DCE5" w:sz="1"/>
              <w:left w:val="single" w:color="D6DCE5" w:sz="1"/>
              <w:bottom w:val="single" w:color="D6DCE5" w:sz="1"/>
              <w:right w:val="single" w:color="D6DCE5" w:sz="1"/>
            </w:tcBorders>
            <w:shd w:fill="1F3864" w:val="clear"/>
            <w:tcMar>
              <w:top w:type="dxa" w:w="60"/>
              <w:left w:type="dxa" w:w="110"/>
              <w:bottom w:type="dxa" w:w="60"/>
              <w:right w:type="dxa" w:w="110"/>
            </w:tcMar>
          </w:tcPr>
          <w:p>
            <w:r>
              <w:rPr>
                <w:b/>
                <w:bCs/>
                <w:color w:val="FFFFFF"/>
                <w:sz w:val="19"/>
                <w:szCs w:val="19"/>
              </w:rPr>
              <w:t xml:space="preserve">Variable</w:t>
            </w:r>
          </w:p>
        </w:tc>
        <w:tc>
          <w:tcPr>
            <w:tcW w:type="dxa" w:w="2200"/>
            <w:tcBorders>
              <w:top w:val="single" w:color="D6DCE5" w:sz="1"/>
              <w:left w:val="single" w:color="D6DCE5" w:sz="1"/>
              <w:bottom w:val="single" w:color="D6DCE5" w:sz="1"/>
              <w:right w:val="single" w:color="D6DCE5" w:sz="1"/>
            </w:tcBorders>
            <w:shd w:fill="1F3864" w:val="clear"/>
            <w:tcMar>
              <w:top w:type="dxa" w:w="60"/>
              <w:left w:type="dxa" w:w="110"/>
              <w:bottom w:type="dxa" w:w="60"/>
              <w:right w:type="dxa" w:w="110"/>
            </w:tcMar>
          </w:tcPr>
          <w:p>
            <w:r>
              <w:rPr>
                <w:b/>
                <w:bCs/>
                <w:color w:val="FFFFFF"/>
                <w:sz w:val="19"/>
                <w:szCs w:val="19"/>
              </w:rPr>
              <w:t xml:space="preserve">Default</w:t>
            </w:r>
          </w:p>
        </w:tc>
        <w:tc>
          <w:tcPr>
            <w:tcW w:type="dxa" w:w="4360"/>
            <w:tcBorders>
              <w:top w:val="single" w:color="D6DCE5" w:sz="1"/>
              <w:left w:val="single" w:color="D6DCE5" w:sz="1"/>
              <w:bottom w:val="single" w:color="D6DCE5" w:sz="1"/>
              <w:right w:val="single" w:color="D6DCE5" w:sz="1"/>
            </w:tcBorders>
            <w:shd w:fill="1F3864" w:val="clear"/>
            <w:tcMar>
              <w:top w:type="dxa" w:w="60"/>
              <w:left w:type="dxa" w:w="110"/>
              <w:bottom w:type="dxa" w:w="60"/>
              <w:right w:type="dxa" w:w="110"/>
            </w:tcMar>
          </w:tcPr>
          <w:p>
            <w:r>
              <w:rPr>
                <w:b/>
                <w:bCs/>
                <w:color w:val="FFFFFF"/>
                <w:sz w:val="19"/>
                <w:szCs w:val="19"/>
              </w:rPr>
              <w:t xml:space="preserve">Meaning</w:t>
            </w:r>
          </w:p>
        </w:tc>
      </w:tr>
      <w:tr>
        <w:tc>
          <w:tcPr>
            <w:tcW w:type="dxa" w:w="28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EMBED_PROVIDER</w:t>
            </w:r>
          </w:p>
        </w:tc>
        <w:tc>
          <w:tcPr>
            <w:tcW w:type="dxa" w:w="22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ollama</w:t>
            </w:r>
          </w:p>
        </w:tc>
        <w:tc>
          <w:tcPr>
            <w:tcW w:type="dxa" w:w="436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ollama (local) or voyage (hosted)</w:t>
            </w:r>
          </w:p>
        </w:tc>
      </w:tr>
      <w:tr>
        <w:tc>
          <w:tcPr>
            <w:tcW w:type="dxa" w:w="280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EMBED_DIM</w:t>
            </w:r>
          </w:p>
        </w:tc>
        <w:tc>
          <w:tcPr>
            <w:tcW w:type="dxa" w:w="220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768</w:t>
            </w:r>
          </w:p>
        </w:tc>
        <w:tc>
          <w:tcPr>
            <w:tcW w:type="dxa" w:w="436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Must match model + schema vector dimension</w:t>
            </w:r>
          </w:p>
        </w:tc>
      </w:tr>
      <w:tr>
        <w:tc>
          <w:tcPr>
            <w:tcW w:type="dxa" w:w="28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PRECEDENT_K</w:t>
            </w:r>
          </w:p>
        </w:tc>
        <w:tc>
          <w:tcPr>
            <w:tcW w:type="dxa" w:w="22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3</w:t>
            </w:r>
          </w:p>
        </w:tc>
        <w:tc>
          <w:tcPr>
            <w:tcW w:type="dxa" w:w="436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Similar resolved tickets retrieved</w:t>
            </w:r>
          </w:p>
        </w:tc>
      </w:tr>
      <w:tr>
        <w:tc>
          <w:tcPr>
            <w:tcW w:type="dxa" w:w="280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POLICY_K</w:t>
            </w:r>
          </w:p>
        </w:tc>
        <w:tc>
          <w:tcPr>
            <w:tcW w:type="dxa" w:w="220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5</w:t>
            </w:r>
          </w:p>
        </w:tc>
        <w:tc>
          <w:tcPr>
            <w:tcW w:type="dxa" w:w="436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Policy passages retrieved</w:t>
            </w:r>
          </w:p>
        </w:tc>
      </w:tr>
      <w:tr>
        <w:tc>
          <w:tcPr>
            <w:tcW w:type="dxa" w:w="28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MIN_SIMILARITY</w:t>
            </w:r>
          </w:p>
        </w:tc>
        <w:tc>
          <w:tcPr>
            <w:tcW w:type="dxa" w:w="220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0.45</w:t>
            </w:r>
          </w:p>
        </w:tc>
        <w:tc>
          <w:tcPr>
            <w:tcW w:type="dxa" w:w="4360"/>
            <w:tcBorders>
              <w:top w:val="single" w:color="D6DCE5" w:sz="1"/>
              <w:left w:val="single" w:color="D6DCE5" w:sz="1"/>
              <w:bottom w:val="single" w:color="D6DCE5" w:sz="1"/>
              <w:right w:val="single" w:color="D6DCE5" w:sz="1"/>
            </w:tcBorders>
            <w:shd w:fill="FFFFFF" w:val="clear"/>
            <w:tcMar>
              <w:top w:type="dxa" w:w="60"/>
              <w:left w:type="dxa" w:w="110"/>
              <w:bottom w:type="dxa" w:w="60"/>
              <w:right w:type="dxa" w:w="110"/>
            </w:tcMar>
          </w:tcPr>
          <w:p>
            <w:r>
              <w:rPr>
                <w:sz w:val="19"/>
                <w:szCs w:val="19"/>
              </w:rPr>
              <w:t xml:space="preserve">Cosine similarity floor; also the abstention threshold</w:t>
            </w:r>
          </w:p>
        </w:tc>
      </w:tr>
      <w:tr>
        <w:tc>
          <w:tcPr>
            <w:tcW w:type="dxa" w:w="280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DRAFT_MODEL</w:t>
            </w:r>
          </w:p>
        </w:tc>
        <w:tc>
          <w:tcPr>
            <w:tcW w:type="dxa" w:w="220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claude-sonnet-4-6</w:t>
            </w:r>
          </w:p>
        </w:tc>
        <w:tc>
          <w:tcPr>
            <w:tcW w:type="dxa" w:w="4360"/>
            <w:tcBorders>
              <w:top w:val="single" w:color="D6DCE5" w:sz="1"/>
              <w:left w:val="single" w:color="D6DCE5" w:sz="1"/>
              <w:bottom w:val="single" w:color="D6DCE5" w:sz="1"/>
              <w:right w:val="single" w:color="D6DCE5" w:sz="1"/>
            </w:tcBorders>
            <w:shd w:fill="F6F8FB" w:val="clear"/>
            <w:tcMar>
              <w:top w:type="dxa" w:w="60"/>
              <w:left w:type="dxa" w:w="110"/>
              <w:bottom w:type="dxa" w:w="60"/>
              <w:right w:type="dxa" w:w="110"/>
            </w:tcMar>
          </w:tcPr>
          <w:p>
            <w:r>
              <w:rPr>
                <w:sz w:val="19"/>
                <w:szCs w:val="19"/>
              </w:rPr>
              <w:t xml:space="preserve">Anthropic model used for drafting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E0" w:sz="4" w:space="4"/>
      </w:pBdr>
      <w:tabs>
        <w:tab w:val="right" w:pos="9360"/>
      </w:tabs>
    </w:pPr>
    <w:r>
      <w:rPr>
        <w:color w:val="595959"/>
        <w:sz w:val="16"/>
        <w:szCs w:val="16"/>
      </w:rPr>
      <w:t xml:space="preserve">Technical Specification</w:t>
    </w:r>
    <w:r>
      <w:rPr>
        <w:color w:val="595959"/>
        <w:sz w:val="16"/>
        <w:szCs w:val="16"/>
      </w:rPr>
      <w:t xml:space="preserve">	Benefits Support Triage Agent — RAG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2E0"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4B7A"/>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A3A3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Grounding — Benefits Support Triage Agent</dc:title>
  <dc:creator>John Baker</dc:creator>
  <cp:lastModifiedBy>Un-named</cp:lastModifiedBy>
  <cp:revision>1</cp:revision>
  <dcterms:created xsi:type="dcterms:W3CDTF">2026-06-20T00:26:43.153Z</dcterms:created>
  <dcterms:modified xsi:type="dcterms:W3CDTF">2026-06-20T00:26:43.153Z</dcterms:modified>
</cp:coreProperties>
</file>

<file path=docProps/custom.xml><?xml version="1.0" encoding="utf-8"?>
<Properties xmlns="http://schemas.openxmlformats.org/officeDocument/2006/custom-properties" xmlns:vt="http://schemas.openxmlformats.org/officeDocument/2006/docPropsVTypes"/>
</file>